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F9DB" w14:textId="77777777" w:rsidR="00443709" w:rsidRPr="00DD4864" w:rsidRDefault="00443709" w:rsidP="00443709">
      <w:pPr>
        <w:spacing w:after="160" w:line="259" w:lineRule="auto"/>
        <w:ind w:left="0"/>
        <w:rPr>
          <w:rFonts w:asciiTheme="majorBidi" w:eastAsiaTheme="minorEastAsia" w:hAnsiTheme="majorBidi" w:cstheme="majorBidi"/>
          <w:i/>
          <w:iCs/>
          <w:noProof/>
          <w:sz w:val="18"/>
          <w:szCs w:val="18"/>
          <w:lang w:eastAsia="zh-CN"/>
        </w:rPr>
      </w:pPr>
      <w:r>
        <w:rPr>
          <w:rFonts w:asciiTheme="majorBidi" w:eastAsiaTheme="minorEastAsia" w:hAnsiTheme="majorBidi" w:cstheme="majorBidi"/>
          <w:b/>
          <w:iCs/>
          <w:noProof/>
          <w:szCs w:val="18"/>
          <w:lang w:eastAsia="zh-CN"/>
        </w:rPr>
        <w:t>Supplementary appendices</w:t>
      </w:r>
    </w:p>
    <w:p w14:paraId="24D0FE9B" w14:textId="77777777" w:rsidR="00443709" w:rsidRDefault="00443709" w:rsidP="00443709">
      <w:pPr>
        <w:spacing w:after="0" w:line="240" w:lineRule="auto"/>
        <w:ind w:left="0"/>
        <w:rPr>
          <w:rFonts w:asciiTheme="majorBidi" w:eastAsiaTheme="minorEastAsia" w:hAnsiTheme="majorBidi" w:cstheme="majorBidi"/>
          <w:b/>
          <w:iCs/>
          <w:noProof/>
          <w:szCs w:val="18"/>
          <w:lang w:eastAsia="zh-CN"/>
        </w:rPr>
      </w:pPr>
      <w:r w:rsidRPr="00E8637A">
        <w:rPr>
          <w:rFonts w:asciiTheme="majorBidi" w:eastAsiaTheme="minorEastAsia" w:hAnsiTheme="majorBidi" w:cstheme="majorBidi"/>
          <w:b/>
          <w:iCs/>
          <w:noProof/>
          <w:szCs w:val="18"/>
          <w:lang w:eastAsia="zh-CN"/>
        </w:rPr>
        <w:t>1. Derivation of health state costs</w:t>
      </w:r>
    </w:p>
    <w:p w14:paraId="00C4550F" w14:textId="77777777" w:rsidR="00443709" w:rsidRPr="00644DA4" w:rsidRDefault="00443709" w:rsidP="00443709">
      <w:pPr>
        <w:spacing w:after="0" w:line="240" w:lineRule="auto"/>
        <w:ind w:left="0"/>
        <w:rPr>
          <w:rFonts w:asciiTheme="majorBidi" w:eastAsiaTheme="minorEastAsia" w:hAnsiTheme="majorBidi" w:cstheme="majorBidi"/>
          <w:b/>
          <w:iCs/>
          <w:noProof/>
          <w:sz w:val="10"/>
          <w:szCs w:val="18"/>
          <w:lang w:eastAsia="zh-CN"/>
        </w:rPr>
      </w:pPr>
    </w:p>
    <w:p w14:paraId="06FFBE46" w14:textId="77777777" w:rsidR="00443709" w:rsidRPr="00DD4864" w:rsidRDefault="00443709" w:rsidP="00443709">
      <w:pPr>
        <w:spacing w:after="0" w:line="240" w:lineRule="auto"/>
        <w:ind w:left="0"/>
        <w:rPr>
          <w:rFonts w:asciiTheme="majorBidi" w:eastAsiaTheme="minorEastAsia" w:hAnsiTheme="majorBidi" w:cstheme="majorBidi"/>
          <w:iCs/>
          <w:noProof/>
          <w:lang w:eastAsia="zh-CN"/>
        </w:rPr>
      </w:pPr>
      <w:r w:rsidRPr="00DD4864">
        <w:rPr>
          <w:rFonts w:asciiTheme="majorBidi" w:eastAsiaTheme="minorEastAsia" w:hAnsiTheme="majorBidi" w:cstheme="majorBidi"/>
          <w:iCs/>
          <w:noProof/>
          <w:lang w:eastAsia="zh-CN"/>
        </w:rPr>
        <w:t>The table below provides further detail of the unit costs and assumptions used to estimate health state costs in the economic model.</w:t>
      </w:r>
    </w:p>
    <w:p w14:paraId="1C334226" w14:textId="77777777" w:rsidR="00443709" w:rsidRPr="00DD4864" w:rsidRDefault="00443709" w:rsidP="00443709">
      <w:pPr>
        <w:spacing w:after="0" w:line="240" w:lineRule="auto"/>
        <w:ind w:left="0"/>
        <w:rPr>
          <w:rFonts w:asciiTheme="majorBidi" w:eastAsiaTheme="minorEastAsia" w:hAnsiTheme="majorBidi" w:cstheme="majorBidi"/>
          <w:iCs/>
          <w:noProof/>
          <w:lang w:eastAsia="zh-CN"/>
        </w:rPr>
      </w:pPr>
    </w:p>
    <w:p w14:paraId="757D6C0E" w14:textId="77777777" w:rsidR="00443709" w:rsidRPr="00DD4864" w:rsidRDefault="00443709" w:rsidP="00443709">
      <w:pPr>
        <w:pStyle w:val="Caption"/>
        <w:spacing w:after="100"/>
        <w:ind w:left="0"/>
        <w:rPr>
          <w:rFonts w:asciiTheme="majorBidi" w:eastAsiaTheme="minorEastAsia" w:hAnsiTheme="majorBidi" w:cstheme="majorBidi"/>
          <w:b/>
          <w:i w:val="0"/>
          <w:iCs w:val="0"/>
          <w:noProof/>
          <w:color w:val="auto"/>
          <w:sz w:val="22"/>
          <w:szCs w:val="22"/>
          <w:lang w:eastAsia="zh-CN"/>
        </w:rPr>
      </w:pPr>
      <w:r w:rsidRPr="00DD4864">
        <w:rPr>
          <w:b/>
          <w:i w:val="0"/>
          <w:color w:val="auto"/>
          <w:sz w:val="22"/>
          <w:szCs w:val="22"/>
        </w:rPr>
        <w:t xml:space="preserve">Table </w:t>
      </w:r>
      <w:r w:rsidR="00A877FC">
        <w:rPr>
          <w:b/>
          <w:i w:val="0"/>
          <w:color w:val="auto"/>
          <w:sz w:val="22"/>
          <w:szCs w:val="22"/>
        </w:rPr>
        <w:t>S1</w:t>
      </w:r>
      <w:r w:rsidRPr="00DD4864">
        <w:rPr>
          <w:b/>
          <w:i w:val="0"/>
          <w:color w:val="auto"/>
          <w:sz w:val="22"/>
          <w:szCs w:val="22"/>
        </w:rPr>
        <w:t>: Summary of unit costs and assumptions used to estimate health state costs in the economic model</w:t>
      </w: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21"/>
        <w:gridCol w:w="3850"/>
        <w:gridCol w:w="1721"/>
        <w:gridCol w:w="5557"/>
        <w:gridCol w:w="1708"/>
      </w:tblGrid>
      <w:tr w:rsidR="00443709" w:rsidRPr="006E39B6" w14:paraId="6629F389" w14:textId="77777777" w:rsidTr="00564DD1">
        <w:trPr>
          <w:trHeight w:val="77"/>
          <w:tblHeader/>
        </w:trPr>
        <w:tc>
          <w:tcPr>
            <w:tcW w:w="1521" w:type="dxa"/>
          </w:tcPr>
          <w:p w14:paraId="67A738C7" w14:textId="77777777" w:rsidR="00443709" w:rsidRPr="006E39B6" w:rsidRDefault="00443709" w:rsidP="00027E27">
            <w:pPr>
              <w:spacing w:after="0" w:line="221" w:lineRule="auto"/>
              <w:ind w:left="0"/>
              <w:rPr>
                <w:rFonts w:asciiTheme="majorBidi" w:eastAsiaTheme="minorEastAsia" w:hAnsiTheme="majorBidi" w:cstheme="majorBidi"/>
                <w:b/>
                <w:noProof/>
                <w:lang w:eastAsia="zh-CN"/>
              </w:rPr>
            </w:pPr>
            <w:r w:rsidRPr="006E39B6">
              <w:rPr>
                <w:rFonts w:asciiTheme="majorBidi" w:eastAsiaTheme="minorEastAsia" w:hAnsiTheme="majorBidi" w:cstheme="majorBidi"/>
                <w:b/>
                <w:noProof/>
                <w:lang w:eastAsia="zh-CN"/>
              </w:rPr>
              <w:t>Resource type</w:t>
            </w:r>
          </w:p>
        </w:tc>
        <w:tc>
          <w:tcPr>
            <w:tcW w:w="3850" w:type="dxa"/>
          </w:tcPr>
          <w:p w14:paraId="153A0AE1" w14:textId="77777777" w:rsidR="00443709" w:rsidRPr="006E39B6" w:rsidRDefault="00443709" w:rsidP="00027E27">
            <w:pPr>
              <w:spacing w:after="0" w:line="221" w:lineRule="auto"/>
              <w:ind w:left="0"/>
              <w:rPr>
                <w:rFonts w:asciiTheme="majorBidi" w:eastAsiaTheme="minorEastAsia" w:hAnsiTheme="majorBidi" w:cstheme="majorBidi"/>
                <w:b/>
                <w:noProof/>
                <w:lang w:eastAsia="zh-CN"/>
              </w:rPr>
            </w:pPr>
            <w:r w:rsidRPr="006E39B6">
              <w:rPr>
                <w:rFonts w:asciiTheme="majorBidi" w:eastAsiaTheme="minorEastAsia" w:hAnsiTheme="majorBidi" w:cstheme="majorBidi"/>
                <w:b/>
                <w:noProof/>
                <w:lang w:eastAsia="zh-CN"/>
              </w:rPr>
              <w:t>Resource component</w:t>
            </w:r>
          </w:p>
        </w:tc>
        <w:tc>
          <w:tcPr>
            <w:tcW w:w="1721" w:type="dxa"/>
          </w:tcPr>
          <w:p w14:paraId="6EC01262" w14:textId="7A8E900D" w:rsidR="00443709" w:rsidRPr="006E39B6" w:rsidRDefault="00443709" w:rsidP="00027E27">
            <w:pPr>
              <w:spacing w:after="0" w:line="221" w:lineRule="auto"/>
              <w:ind w:left="0"/>
              <w:rPr>
                <w:rFonts w:asciiTheme="majorBidi" w:eastAsiaTheme="minorEastAsia" w:hAnsiTheme="majorBidi" w:cstheme="majorBidi"/>
                <w:b/>
                <w:noProof/>
                <w:lang w:eastAsia="zh-CN"/>
              </w:rPr>
            </w:pPr>
            <w:r w:rsidRPr="006E39B6">
              <w:rPr>
                <w:rFonts w:asciiTheme="majorBidi" w:eastAsiaTheme="minorEastAsia" w:hAnsiTheme="majorBidi" w:cstheme="majorBidi"/>
                <w:b/>
                <w:noProof/>
                <w:lang w:eastAsia="zh-CN"/>
              </w:rPr>
              <w:t>Unit cost</w:t>
            </w:r>
            <w:r w:rsidR="004E4318">
              <w:rPr>
                <w:rFonts w:asciiTheme="majorBidi" w:eastAsiaTheme="minorEastAsia" w:hAnsiTheme="majorBidi" w:cstheme="majorBidi"/>
                <w:b/>
                <w:noProof/>
                <w:lang w:eastAsia="zh-CN"/>
              </w:rPr>
              <w:t xml:space="preserve"> (GBP)</w:t>
            </w:r>
          </w:p>
        </w:tc>
        <w:tc>
          <w:tcPr>
            <w:tcW w:w="5557" w:type="dxa"/>
          </w:tcPr>
          <w:p w14:paraId="598E1FBA" w14:textId="77777777" w:rsidR="00443709" w:rsidRPr="006E39B6" w:rsidRDefault="00443709" w:rsidP="00027E27">
            <w:pPr>
              <w:spacing w:after="0" w:line="221" w:lineRule="auto"/>
              <w:ind w:left="0"/>
              <w:rPr>
                <w:rFonts w:asciiTheme="majorBidi" w:eastAsiaTheme="minorEastAsia" w:hAnsiTheme="majorBidi" w:cstheme="majorBidi"/>
                <w:b/>
                <w:noProof/>
                <w:lang w:eastAsia="zh-CN"/>
              </w:rPr>
            </w:pPr>
            <w:r w:rsidRPr="006E39B6">
              <w:rPr>
                <w:rFonts w:asciiTheme="majorBidi" w:eastAsiaTheme="minorEastAsia" w:hAnsiTheme="majorBidi" w:cstheme="majorBidi"/>
                <w:b/>
                <w:noProof/>
                <w:lang w:eastAsia="zh-CN"/>
              </w:rPr>
              <w:t xml:space="preserve">Assumptions </w:t>
            </w:r>
          </w:p>
        </w:tc>
        <w:tc>
          <w:tcPr>
            <w:tcW w:w="1708" w:type="dxa"/>
          </w:tcPr>
          <w:p w14:paraId="3C641297" w14:textId="77777777" w:rsidR="00443709" w:rsidRPr="006E39B6" w:rsidRDefault="00443709" w:rsidP="00027E27">
            <w:pPr>
              <w:spacing w:after="0" w:line="221" w:lineRule="auto"/>
              <w:ind w:left="0"/>
              <w:rPr>
                <w:rFonts w:asciiTheme="majorBidi" w:eastAsiaTheme="minorEastAsia" w:hAnsiTheme="majorBidi" w:cstheme="majorBidi"/>
                <w:b/>
                <w:noProof/>
                <w:lang w:eastAsia="zh-CN"/>
              </w:rPr>
            </w:pPr>
            <w:r w:rsidRPr="006E39B6">
              <w:rPr>
                <w:rFonts w:asciiTheme="majorBidi" w:eastAsiaTheme="minorEastAsia" w:hAnsiTheme="majorBidi" w:cstheme="majorBidi"/>
                <w:b/>
                <w:noProof/>
                <w:lang w:eastAsia="zh-CN"/>
              </w:rPr>
              <w:t xml:space="preserve">Source </w:t>
            </w:r>
          </w:p>
        </w:tc>
      </w:tr>
      <w:tr w:rsidR="00443709" w:rsidRPr="004E4318" w14:paraId="455CA28C" w14:textId="77777777" w:rsidTr="00564DD1">
        <w:tc>
          <w:tcPr>
            <w:tcW w:w="1521" w:type="dxa"/>
            <w:vMerge w:val="restart"/>
          </w:tcPr>
          <w:p w14:paraId="7270AFF3"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IV drugs - hospital*</w:t>
            </w:r>
          </w:p>
        </w:tc>
        <w:tc>
          <w:tcPr>
            <w:tcW w:w="3850" w:type="dxa"/>
          </w:tcPr>
          <w:p w14:paraId="681AEDAB"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Ceftazidime 3g (per dose)</w:t>
            </w:r>
          </w:p>
        </w:tc>
        <w:tc>
          <w:tcPr>
            <w:tcW w:w="1721" w:type="dxa"/>
          </w:tcPr>
          <w:p w14:paraId="6C1CA4A4" w14:textId="241EAEAC" w:rsidR="00443709" w:rsidRPr="006E39B6" w:rsidRDefault="00CA1666" w:rsidP="00027E27">
            <w:pPr>
              <w:spacing w:after="0" w:line="221" w:lineRule="auto"/>
              <w:ind w:left="0"/>
              <w:rPr>
                <w:rFonts w:asciiTheme="majorBidi" w:eastAsiaTheme="minorEastAsia" w:hAnsiTheme="majorBidi" w:cstheme="majorBidi"/>
                <w:noProof/>
                <w:lang w:eastAsia="zh-CN"/>
              </w:rPr>
            </w:pPr>
            <w:r w:rsidRPr="00CA1666">
              <w:rPr>
                <w:rFonts w:asciiTheme="majorBidi" w:eastAsiaTheme="minorEastAsia" w:hAnsiTheme="majorBidi" w:cstheme="majorBidi"/>
                <w:noProof/>
                <w:lang w:eastAsia="zh-CN"/>
              </w:rPr>
              <w:t>3.38</w:t>
            </w:r>
          </w:p>
        </w:tc>
        <w:tc>
          <w:tcPr>
            <w:tcW w:w="5557" w:type="dxa"/>
          </w:tcPr>
          <w:p w14:paraId="21E51A85"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42 doses in 14 days</w:t>
            </w:r>
          </w:p>
        </w:tc>
        <w:tc>
          <w:tcPr>
            <w:tcW w:w="1708" w:type="dxa"/>
            <w:vMerge w:val="restart"/>
          </w:tcPr>
          <w:p w14:paraId="6D372C5E" w14:textId="77777777" w:rsidR="00443709" w:rsidRPr="006E39B6" w:rsidRDefault="00443709" w:rsidP="00027E27">
            <w:pPr>
              <w:spacing w:after="0" w:line="221" w:lineRule="auto"/>
              <w:ind w:left="0"/>
              <w:rPr>
                <w:rFonts w:asciiTheme="majorBidi" w:eastAsiaTheme="minorEastAsia" w:hAnsiTheme="majorBidi" w:cstheme="majorBidi"/>
                <w:noProof/>
                <w:lang w:val="fr-FR" w:eastAsia="zh-CN"/>
              </w:rPr>
            </w:pPr>
            <w:r w:rsidRPr="006E39B6">
              <w:rPr>
                <w:rFonts w:asciiTheme="majorBidi" w:eastAsiaTheme="minorEastAsia" w:hAnsiTheme="majorBidi" w:cstheme="majorBidi"/>
                <w:noProof/>
                <w:lang w:val="fr-FR" w:eastAsia="zh-CN"/>
              </w:rPr>
              <w:t>Personal communication (Clinical</w:t>
            </w:r>
          </w:p>
          <w:p w14:paraId="78ADF9FF" w14:textId="77777777" w:rsidR="00443709" w:rsidRPr="006E39B6" w:rsidRDefault="00443709" w:rsidP="00027E27">
            <w:pPr>
              <w:spacing w:after="0" w:line="221" w:lineRule="auto"/>
              <w:ind w:left="0"/>
              <w:rPr>
                <w:rFonts w:asciiTheme="majorBidi" w:eastAsiaTheme="minorEastAsia" w:hAnsiTheme="majorBidi" w:cstheme="majorBidi"/>
                <w:noProof/>
                <w:lang w:val="fr-FR" w:eastAsia="zh-CN"/>
              </w:rPr>
            </w:pPr>
            <w:r w:rsidRPr="006E39B6">
              <w:rPr>
                <w:rFonts w:asciiTheme="majorBidi" w:eastAsiaTheme="minorEastAsia" w:hAnsiTheme="majorBidi" w:cstheme="majorBidi"/>
                <w:noProof/>
                <w:lang w:val="fr-FR" w:eastAsia="zh-CN"/>
              </w:rPr>
              <w:t>Pharmacist)</w:t>
            </w:r>
            <w:r w:rsidRPr="006E39B6">
              <w:rPr>
                <w:rFonts w:asciiTheme="majorBidi" w:eastAsiaTheme="minorEastAsia" w:hAnsiTheme="majorBidi" w:cstheme="majorBidi"/>
                <w:noProof/>
                <w:vertAlign w:val="superscript"/>
                <w:lang w:val="fr-FR" w:eastAsia="zh-CN"/>
              </w:rPr>
              <w:t>a</w:t>
            </w:r>
          </w:p>
        </w:tc>
      </w:tr>
      <w:tr w:rsidR="00443709" w:rsidRPr="006E39B6" w14:paraId="028AB000" w14:textId="77777777" w:rsidTr="00564DD1">
        <w:tc>
          <w:tcPr>
            <w:tcW w:w="1521" w:type="dxa"/>
            <w:vMerge/>
          </w:tcPr>
          <w:p w14:paraId="0DD4B8E4" w14:textId="77777777" w:rsidR="00443709" w:rsidRPr="006E39B6" w:rsidRDefault="00443709" w:rsidP="00027E27">
            <w:pPr>
              <w:spacing w:after="0" w:line="221" w:lineRule="auto"/>
              <w:ind w:left="0"/>
              <w:rPr>
                <w:rFonts w:asciiTheme="majorBidi" w:eastAsiaTheme="minorEastAsia" w:hAnsiTheme="majorBidi" w:cstheme="majorBidi"/>
                <w:noProof/>
                <w:lang w:val="fr-FR" w:eastAsia="zh-CN"/>
              </w:rPr>
            </w:pPr>
          </w:p>
        </w:tc>
        <w:tc>
          <w:tcPr>
            <w:tcW w:w="3850" w:type="dxa"/>
          </w:tcPr>
          <w:p w14:paraId="34C5C91D"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Tobramycin 481-560mg (per dose)</w:t>
            </w:r>
          </w:p>
        </w:tc>
        <w:tc>
          <w:tcPr>
            <w:tcW w:w="1721" w:type="dxa"/>
          </w:tcPr>
          <w:p w14:paraId="22C11F8D" w14:textId="714E8745" w:rsidR="00443709" w:rsidRPr="006E39B6" w:rsidRDefault="00CA1666" w:rsidP="00027E27">
            <w:pPr>
              <w:spacing w:after="0" w:line="221" w:lineRule="auto"/>
              <w:ind w:left="0"/>
              <w:rPr>
                <w:rFonts w:asciiTheme="majorBidi" w:eastAsiaTheme="minorEastAsia" w:hAnsiTheme="majorBidi" w:cstheme="majorBidi"/>
                <w:noProof/>
                <w:lang w:eastAsia="zh-CN"/>
              </w:rPr>
            </w:pPr>
            <w:r w:rsidRPr="00CA1666">
              <w:rPr>
                <w:rFonts w:asciiTheme="majorBidi" w:eastAsiaTheme="minorEastAsia" w:hAnsiTheme="majorBidi" w:cstheme="majorBidi"/>
                <w:noProof/>
                <w:lang w:eastAsia="zh-CN"/>
              </w:rPr>
              <w:t>16.25</w:t>
            </w:r>
          </w:p>
        </w:tc>
        <w:tc>
          <w:tcPr>
            <w:tcW w:w="5557" w:type="dxa"/>
          </w:tcPr>
          <w:p w14:paraId="65E418AC"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14 doses in 14 days</w:t>
            </w:r>
          </w:p>
        </w:tc>
        <w:tc>
          <w:tcPr>
            <w:tcW w:w="1708" w:type="dxa"/>
            <w:vMerge/>
          </w:tcPr>
          <w:p w14:paraId="7A935E0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26328BBB" w14:textId="77777777" w:rsidTr="00564DD1">
        <w:tc>
          <w:tcPr>
            <w:tcW w:w="1521" w:type="dxa"/>
            <w:vMerge/>
          </w:tcPr>
          <w:p w14:paraId="1D8E9CE2"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03255C61"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Sodium chloride 0.9% (per dose)</w:t>
            </w:r>
          </w:p>
        </w:tc>
        <w:tc>
          <w:tcPr>
            <w:tcW w:w="1721" w:type="dxa"/>
          </w:tcPr>
          <w:p w14:paraId="4B55AA4A" w14:textId="6CA867A9"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 xml:space="preserve">0.06 </w:t>
            </w:r>
          </w:p>
        </w:tc>
        <w:tc>
          <w:tcPr>
            <w:tcW w:w="5557" w:type="dxa"/>
          </w:tcPr>
          <w:p w14:paraId="3072A371"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28 doses in 14 days</w:t>
            </w:r>
          </w:p>
        </w:tc>
        <w:tc>
          <w:tcPr>
            <w:tcW w:w="1708" w:type="dxa"/>
            <w:vMerge/>
          </w:tcPr>
          <w:p w14:paraId="38F4E64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56A823D0" w14:textId="77777777" w:rsidTr="00564DD1">
        <w:tc>
          <w:tcPr>
            <w:tcW w:w="1521" w:type="dxa"/>
            <w:vMerge/>
          </w:tcPr>
          <w:p w14:paraId="7C27544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0BD935B6" w14:textId="77777777" w:rsidR="00443709" w:rsidRPr="006E39B6" w:rsidRDefault="00443709" w:rsidP="00027E27">
            <w:pPr>
              <w:spacing w:after="0" w:line="221" w:lineRule="auto"/>
              <w:ind w:left="0"/>
              <w:rPr>
                <w:rFonts w:asciiTheme="majorBidi" w:eastAsiaTheme="minorEastAsia" w:hAnsiTheme="majorBidi" w:cstheme="majorBidi"/>
                <w:noProof/>
                <w:lang w:val="it-IT" w:eastAsia="zh-CN"/>
              </w:rPr>
            </w:pPr>
            <w:r w:rsidRPr="006E39B6">
              <w:rPr>
                <w:rFonts w:asciiTheme="majorBidi" w:eastAsiaTheme="minorEastAsia" w:hAnsiTheme="majorBidi" w:cstheme="majorBidi"/>
                <w:noProof/>
                <w:lang w:val="it-IT" w:eastAsia="zh-CN"/>
              </w:rPr>
              <w:t>Heparin 50units in 5ml (per dose)</w:t>
            </w:r>
          </w:p>
        </w:tc>
        <w:tc>
          <w:tcPr>
            <w:tcW w:w="1721" w:type="dxa"/>
          </w:tcPr>
          <w:p w14:paraId="26EE3BCB" w14:textId="18DBE750" w:rsidR="00443709" w:rsidRPr="006E39B6" w:rsidRDefault="00CA1666" w:rsidP="00027E27">
            <w:pPr>
              <w:spacing w:after="0" w:line="221" w:lineRule="auto"/>
              <w:ind w:left="0"/>
              <w:rPr>
                <w:rFonts w:asciiTheme="majorBidi" w:eastAsiaTheme="minorEastAsia" w:hAnsiTheme="majorBidi" w:cstheme="majorBidi"/>
                <w:noProof/>
                <w:lang w:eastAsia="zh-CN"/>
              </w:rPr>
            </w:pPr>
            <w:r w:rsidRPr="00CA1666">
              <w:rPr>
                <w:rFonts w:asciiTheme="majorBidi" w:eastAsiaTheme="minorEastAsia" w:hAnsiTheme="majorBidi" w:cstheme="majorBidi"/>
                <w:noProof/>
                <w:lang w:eastAsia="zh-CN"/>
              </w:rPr>
              <w:t>0.44</w:t>
            </w:r>
          </w:p>
        </w:tc>
        <w:tc>
          <w:tcPr>
            <w:tcW w:w="5557" w:type="dxa"/>
          </w:tcPr>
          <w:p w14:paraId="1C78A8D3"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42 doses in 14 days</w:t>
            </w:r>
          </w:p>
        </w:tc>
        <w:tc>
          <w:tcPr>
            <w:tcW w:w="1708" w:type="dxa"/>
            <w:vMerge/>
          </w:tcPr>
          <w:p w14:paraId="5BF1647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2F7FF881" w14:textId="77777777" w:rsidTr="00564DD1">
        <w:tc>
          <w:tcPr>
            <w:tcW w:w="1521" w:type="dxa"/>
            <w:vMerge/>
          </w:tcPr>
          <w:p w14:paraId="0B72C2B3"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4CA4023A" w14:textId="77777777" w:rsidR="00443709" w:rsidRPr="006E39B6" w:rsidRDefault="00443709" w:rsidP="00027E27">
            <w:pPr>
              <w:spacing w:after="0" w:line="221" w:lineRule="auto"/>
              <w:ind w:left="0"/>
              <w:rPr>
                <w:rFonts w:asciiTheme="majorBidi" w:eastAsiaTheme="minorEastAsia" w:hAnsiTheme="majorBidi" w:cstheme="majorBidi"/>
                <w:b/>
                <w:bCs/>
                <w:noProof/>
                <w:lang w:eastAsia="zh-CN"/>
              </w:rPr>
            </w:pPr>
            <w:r w:rsidRPr="006E39B6">
              <w:rPr>
                <w:rFonts w:asciiTheme="majorBidi" w:eastAsiaTheme="minorEastAsia" w:hAnsiTheme="majorBidi" w:cstheme="majorBidi"/>
                <w:b/>
                <w:bCs/>
                <w:noProof/>
                <w:lang w:eastAsia="zh-CN"/>
              </w:rPr>
              <w:t>Total (per IV day)</w:t>
            </w:r>
          </w:p>
        </w:tc>
        <w:tc>
          <w:tcPr>
            <w:tcW w:w="1721" w:type="dxa"/>
          </w:tcPr>
          <w:p w14:paraId="4AF6438F" w14:textId="53FF93B8" w:rsidR="00443709" w:rsidRPr="006E39B6" w:rsidRDefault="00CA1666" w:rsidP="00027E27">
            <w:pPr>
              <w:spacing w:after="0" w:line="221" w:lineRule="auto"/>
              <w:ind w:left="0"/>
              <w:rPr>
                <w:rFonts w:asciiTheme="majorBidi" w:eastAsiaTheme="minorEastAsia" w:hAnsiTheme="majorBidi" w:cstheme="majorBidi"/>
                <w:b/>
                <w:bCs/>
                <w:noProof/>
                <w:lang w:eastAsia="zh-CN"/>
              </w:rPr>
            </w:pPr>
            <w:r w:rsidRPr="00CA1666">
              <w:rPr>
                <w:rFonts w:asciiTheme="majorBidi" w:eastAsiaTheme="minorEastAsia" w:hAnsiTheme="majorBidi" w:cstheme="majorBidi"/>
                <w:b/>
                <w:bCs/>
                <w:noProof/>
                <w:lang w:eastAsia="zh-CN"/>
              </w:rPr>
              <w:t>27.82</w:t>
            </w:r>
          </w:p>
        </w:tc>
        <w:tc>
          <w:tcPr>
            <w:tcW w:w="5557" w:type="dxa"/>
          </w:tcPr>
          <w:p w14:paraId="648AB2A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1708" w:type="dxa"/>
            <w:vMerge/>
          </w:tcPr>
          <w:p w14:paraId="37F43AC9"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4E4318" w14:paraId="16CD572A" w14:textId="77777777" w:rsidTr="00564DD1">
        <w:tc>
          <w:tcPr>
            <w:tcW w:w="1521" w:type="dxa"/>
            <w:vMerge w:val="restart"/>
          </w:tcPr>
          <w:p w14:paraId="5B6D2B47"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IV drugs - homecare*</w:t>
            </w:r>
          </w:p>
        </w:tc>
        <w:tc>
          <w:tcPr>
            <w:tcW w:w="3850" w:type="dxa"/>
          </w:tcPr>
          <w:p w14:paraId="0622286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Ceftazidime 3g (per dose)</w:t>
            </w:r>
          </w:p>
        </w:tc>
        <w:tc>
          <w:tcPr>
            <w:tcW w:w="1721" w:type="dxa"/>
          </w:tcPr>
          <w:p w14:paraId="67749038" w14:textId="7C1CD856" w:rsidR="00443709" w:rsidRPr="006E39B6" w:rsidRDefault="00CA1666" w:rsidP="00027E27">
            <w:pPr>
              <w:spacing w:after="0" w:line="221" w:lineRule="auto"/>
              <w:ind w:left="0"/>
              <w:rPr>
                <w:rFonts w:asciiTheme="majorBidi" w:eastAsiaTheme="minorEastAsia" w:hAnsiTheme="majorBidi" w:cstheme="majorBidi"/>
                <w:noProof/>
                <w:lang w:eastAsia="zh-CN"/>
              </w:rPr>
            </w:pPr>
            <w:r w:rsidRPr="00CA1666">
              <w:rPr>
                <w:rFonts w:asciiTheme="majorBidi" w:eastAsiaTheme="minorEastAsia" w:hAnsiTheme="majorBidi" w:cstheme="majorBidi"/>
                <w:noProof/>
                <w:lang w:eastAsia="zh-CN"/>
              </w:rPr>
              <w:t>32.88</w:t>
            </w:r>
          </w:p>
        </w:tc>
        <w:tc>
          <w:tcPr>
            <w:tcW w:w="5557" w:type="dxa"/>
          </w:tcPr>
          <w:p w14:paraId="7DCD92E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42 doses in 14 days</w:t>
            </w:r>
          </w:p>
        </w:tc>
        <w:tc>
          <w:tcPr>
            <w:tcW w:w="1708" w:type="dxa"/>
            <w:vMerge w:val="restart"/>
          </w:tcPr>
          <w:p w14:paraId="52898A99" w14:textId="77777777" w:rsidR="00443709" w:rsidRPr="006E39B6" w:rsidRDefault="00443709" w:rsidP="00027E27">
            <w:pPr>
              <w:spacing w:after="0" w:line="221" w:lineRule="auto"/>
              <w:ind w:left="0"/>
              <w:rPr>
                <w:rFonts w:asciiTheme="majorBidi" w:eastAsiaTheme="minorEastAsia" w:hAnsiTheme="majorBidi" w:cstheme="majorBidi"/>
                <w:noProof/>
                <w:lang w:val="fr-FR" w:eastAsia="zh-CN"/>
              </w:rPr>
            </w:pPr>
            <w:r w:rsidRPr="006E39B6">
              <w:rPr>
                <w:rFonts w:asciiTheme="majorBidi" w:eastAsiaTheme="minorEastAsia" w:hAnsiTheme="majorBidi" w:cstheme="majorBidi"/>
                <w:noProof/>
                <w:lang w:val="fr-FR" w:eastAsia="zh-CN"/>
              </w:rPr>
              <w:t>Personal communication (Clinical</w:t>
            </w:r>
          </w:p>
          <w:p w14:paraId="0196F1F8" w14:textId="77777777" w:rsidR="00443709" w:rsidRPr="006E39B6" w:rsidRDefault="00443709" w:rsidP="00027E27">
            <w:pPr>
              <w:spacing w:after="0" w:line="221" w:lineRule="auto"/>
              <w:ind w:left="0"/>
              <w:rPr>
                <w:rFonts w:asciiTheme="majorBidi" w:eastAsiaTheme="minorEastAsia" w:hAnsiTheme="majorBidi" w:cstheme="majorBidi"/>
                <w:noProof/>
                <w:lang w:val="fr-FR" w:eastAsia="zh-CN"/>
              </w:rPr>
            </w:pPr>
            <w:r w:rsidRPr="006E39B6">
              <w:rPr>
                <w:rFonts w:asciiTheme="majorBidi" w:eastAsiaTheme="minorEastAsia" w:hAnsiTheme="majorBidi" w:cstheme="majorBidi"/>
                <w:noProof/>
                <w:lang w:val="fr-FR" w:eastAsia="zh-CN"/>
              </w:rPr>
              <w:t>Pharmacist)</w:t>
            </w:r>
            <w:r w:rsidRPr="006E39B6">
              <w:rPr>
                <w:rFonts w:asciiTheme="majorBidi" w:eastAsiaTheme="minorEastAsia" w:hAnsiTheme="majorBidi" w:cstheme="majorBidi"/>
                <w:noProof/>
                <w:vertAlign w:val="superscript"/>
                <w:lang w:val="fr-FR" w:eastAsia="zh-CN"/>
              </w:rPr>
              <w:t>a</w:t>
            </w:r>
          </w:p>
        </w:tc>
      </w:tr>
      <w:tr w:rsidR="00443709" w:rsidRPr="006E39B6" w14:paraId="341FA38A" w14:textId="77777777" w:rsidTr="00564DD1">
        <w:tc>
          <w:tcPr>
            <w:tcW w:w="1521" w:type="dxa"/>
            <w:vMerge/>
          </w:tcPr>
          <w:p w14:paraId="5E95B63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val="fr-FR" w:eastAsia="zh-CN"/>
              </w:rPr>
            </w:pPr>
          </w:p>
        </w:tc>
        <w:tc>
          <w:tcPr>
            <w:tcW w:w="3850" w:type="dxa"/>
          </w:tcPr>
          <w:p w14:paraId="307BED5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Tobramycin 481-560mg (per dose)</w:t>
            </w:r>
          </w:p>
        </w:tc>
        <w:tc>
          <w:tcPr>
            <w:tcW w:w="1721" w:type="dxa"/>
          </w:tcPr>
          <w:p w14:paraId="1D4C780C" w14:textId="6851DAB9" w:rsidR="00443709" w:rsidRPr="006E39B6" w:rsidRDefault="00CA1666" w:rsidP="00027E27">
            <w:pPr>
              <w:spacing w:after="0" w:line="221" w:lineRule="auto"/>
              <w:ind w:left="0"/>
              <w:rPr>
                <w:rFonts w:asciiTheme="majorBidi" w:eastAsiaTheme="minorEastAsia" w:hAnsiTheme="majorBidi" w:cstheme="majorBidi"/>
                <w:noProof/>
                <w:lang w:eastAsia="zh-CN"/>
              </w:rPr>
            </w:pPr>
            <w:r w:rsidRPr="00CA1666">
              <w:rPr>
                <w:rFonts w:asciiTheme="majorBidi" w:eastAsiaTheme="minorEastAsia" w:hAnsiTheme="majorBidi" w:cstheme="majorBidi"/>
                <w:noProof/>
                <w:lang w:eastAsia="zh-CN"/>
              </w:rPr>
              <w:t>48.04</w:t>
            </w:r>
          </w:p>
        </w:tc>
        <w:tc>
          <w:tcPr>
            <w:tcW w:w="5557" w:type="dxa"/>
          </w:tcPr>
          <w:p w14:paraId="19A6379B"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14 doses in 14 days</w:t>
            </w:r>
          </w:p>
        </w:tc>
        <w:tc>
          <w:tcPr>
            <w:tcW w:w="1708" w:type="dxa"/>
            <w:vMerge/>
          </w:tcPr>
          <w:p w14:paraId="18B00795"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40DEEC4A" w14:textId="77777777" w:rsidTr="00564DD1">
        <w:tc>
          <w:tcPr>
            <w:tcW w:w="1521" w:type="dxa"/>
            <w:vMerge/>
          </w:tcPr>
          <w:p w14:paraId="3CD1B8C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54A992DD"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Sodium Chloride 0.9% (per dose)</w:t>
            </w:r>
          </w:p>
        </w:tc>
        <w:tc>
          <w:tcPr>
            <w:tcW w:w="1721" w:type="dxa"/>
          </w:tcPr>
          <w:p w14:paraId="0873FE75" w14:textId="7B8946E1"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0.6</w:t>
            </w:r>
            <w:r w:rsidR="00CA1666">
              <w:rPr>
                <w:rFonts w:asciiTheme="majorBidi" w:eastAsiaTheme="minorEastAsia" w:hAnsiTheme="majorBidi" w:cstheme="majorBidi"/>
                <w:noProof/>
                <w:lang w:eastAsia="zh-CN"/>
              </w:rPr>
              <w:t>4</w:t>
            </w:r>
            <w:r w:rsidRPr="006E39B6">
              <w:rPr>
                <w:rFonts w:asciiTheme="majorBidi" w:eastAsiaTheme="minorEastAsia" w:hAnsiTheme="majorBidi" w:cstheme="majorBidi"/>
                <w:noProof/>
                <w:lang w:eastAsia="zh-CN"/>
              </w:rPr>
              <w:t xml:space="preserve"> </w:t>
            </w:r>
          </w:p>
        </w:tc>
        <w:tc>
          <w:tcPr>
            <w:tcW w:w="5557" w:type="dxa"/>
          </w:tcPr>
          <w:p w14:paraId="64F57DA2"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28 doses in 14 days</w:t>
            </w:r>
          </w:p>
        </w:tc>
        <w:tc>
          <w:tcPr>
            <w:tcW w:w="1708" w:type="dxa"/>
            <w:vMerge/>
          </w:tcPr>
          <w:p w14:paraId="38E1935B"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22543B02" w14:textId="77777777" w:rsidTr="00564DD1">
        <w:tc>
          <w:tcPr>
            <w:tcW w:w="1521" w:type="dxa"/>
            <w:vMerge/>
          </w:tcPr>
          <w:p w14:paraId="431BB1BE"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187E9E37" w14:textId="77777777" w:rsidR="00443709" w:rsidRPr="006E39B6" w:rsidRDefault="00443709" w:rsidP="00027E27">
            <w:pPr>
              <w:spacing w:after="0" w:line="221" w:lineRule="auto"/>
              <w:ind w:left="0"/>
              <w:rPr>
                <w:rFonts w:asciiTheme="majorBidi" w:eastAsiaTheme="minorEastAsia" w:hAnsiTheme="majorBidi" w:cstheme="majorBidi"/>
                <w:noProof/>
                <w:lang w:val="it-IT" w:eastAsia="zh-CN"/>
              </w:rPr>
            </w:pPr>
            <w:r w:rsidRPr="006E39B6">
              <w:rPr>
                <w:rFonts w:asciiTheme="majorBidi" w:eastAsiaTheme="minorEastAsia" w:hAnsiTheme="majorBidi" w:cstheme="majorBidi"/>
                <w:noProof/>
                <w:lang w:val="it-IT" w:eastAsia="zh-CN"/>
              </w:rPr>
              <w:t>Heparin 50units in 5ml (per dose)</w:t>
            </w:r>
          </w:p>
        </w:tc>
        <w:tc>
          <w:tcPr>
            <w:tcW w:w="1721" w:type="dxa"/>
          </w:tcPr>
          <w:p w14:paraId="4C8875CD" w14:textId="249201BE"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3.</w:t>
            </w:r>
            <w:r w:rsidR="00CA1666">
              <w:rPr>
                <w:rFonts w:asciiTheme="majorBidi" w:eastAsiaTheme="minorEastAsia" w:hAnsiTheme="majorBidi" w:cstheme="majorBidi"/>
                <w:noProof/>
                <w:lang w:eastAsia="zh-CN"/>
              </w:rPr>
              <w:t>22</w:t>
            </w:r>
            <w:r w:rsidRPr="006E39B6">
              <w:rPr>
                <w:rFonts w:asciiTheme="majorBidi" w:eastAsiaTheme="minorEastAsia" w:hAnsiTheme="majorBidi" w:cstheme="majorBidi"/>
                <w:noProof/>
                <w:lang w:eastAsia="zh-CN"/>
              </w:rPr>
              <w:t xml:space="preserve"> </w:t>
            </w:r>
          </w:p>
        </w:tc>
        <w:tc>
          <w:tcPr>
            <w:tcW w:w="5557" w:type="dxa"/>
          </w:tcPr>
          <w:p w14:paraId="2A1C20CD"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42 doses in 14 days</w:t>
            </w:r>
          </w:p>
        </w:tc>
        <w:tc>
          <w:tcPr>
            <w:tcW w:w="1708" w:type="dxa"/>
            <w:vMerge/>
          </w:tcPr>
          <w:p w14:paraId="14231E75"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221FFD59" w14:textId="77777777" w:rsidTr="00564DD1">
        <w:tc>
          <w:tcPr>
            <w:tcW w:w="1521" w:type="dxa"/>
            <w:vMerge/>
          </w:tcPr>
          <w:p w14:paraId="146880A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081CB16F"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30L WIVA waste bin (per 14-day course)</w:t>
            </w:r>
          </w:p>
        </w:tc>
        <w:tc>
          <w:tcPr>
            <w:tcW w:w="1721" w:type="dxa"/>
          </w:tcPr>
          <w:p w14:paraId="4FCFA13A" w14:textId="5A9D0FE3"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5.</w:t>
            </w:r>
            <w:r w:rsidR="00CA1666">
              <w:rPr>
                <w:rFonts w:asciiTheme="majorBidi" w:eastAsiaTheme="minorEastAsia" w:hAnsiTheme="majorBidi" w:cstheme="majorBidi"/>
                <w:noProof/>
                <w:lang w:eastAsia="zh-CN"/>
              </w:rPr>
              <w:t>9</w:t>
            </w:r>
            <w:r w:rsidRPr="006E39B6">
              <w:rPr>
                <w:rFonts w:asciiTheme="majorBidi" w:eastAsiaTheme="minorEastAsia" w:hAnsiTheme="majorBidi" w:cstheme="majorBidi"/>
                <w:noProof/>
                <w:lang w:eastAsia="zh-CN"/>
              </w:rPr>
              <w:t xml:space="preserve">9 </w:t>
            </w:r>
          </w:p>
        </w:tc>
        <w:tc>
          <w:tcPr>
            <w:tcW w:w="5557" w:type="dxa"/>
          </w:tcPr>
          <w:p w14:paraId="6B6906DC"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 unit</w:t>
            </w:r>
          </w:p>
        </w:tc>
        <w:tc>
          <w:tcPr>
            <w:tcW w:w="1708" w:type="dxa"/>
            <w:vMerge/>
          </w:tcPr>
          <w:p w14:paraId="37390921"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3DBDA538" w14:textId="77777777" w:rsidTr="00564DD1">
        <w:tc>
          <w:tcPr>
            <w:tcW w:w="1521" w:type="dxa"/>
            <w:vMerge/>
          </w:tcPr>
          <w:p w14:paraId="40470850"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0016BBC2"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1x100 Sani-cloth wipes (per 14-day course)</w:t>
            </w:r>
          </w:p>
        </w:tc>
        <w:tc>
          <w:tcPr>
            <w:tcW w:w="1721" w:type="dxa"/>
          </w:tcPr>
          <w:p w14:paraId="032DBB07" w14:textId="3EA9FEA4"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24.</w:t>
            </w:r>
            <w:r w:rsidR="00CA1666">
              <w:rPr>
                <w:rFonts w:asciiTheme="majorBidi" w:eastAsiaTheme="minorEastAsia" w:hAnsiTheme="majorBidi" w:cstheme="majorBidi"/>
                <w:noProof/>
                <w:lang w:eastAsia="zh-CN"/>
              </w:rPr>
              <w:t>85</w:t>
            </w:r>
            <w:r w:rsidRPr="006E39B6">
              <w:rPr>
                <w:rFonts w:asciiTheme="majorBidi" w:eastAsiaTheme="minorEastAsia" w:hAnsiTheme="majorBidi" w:cstheme="majorBidi"/>
                <w:noProof/>
                <w:lang w:eastAsia="zh-CN"/>
              </w:rPr>
              <w:t xml:space="preserve"> </w:t>
            </w:r>
          </w:p>
        </w:tc>
        <w:tc>
          <w:tcPr>
            <w:tcW w:w="5557" w:type="dxa"/>
          </w:tcPr>
          <w:p w14:paraId="0C6C9BD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 unit</w:t>
            </w:r>
          </w:p>
        </w:tc>
        <w:tc>
          <w:tcPr>
            <w:tcW w:w="1708" w:type="dxa"/>
            <w:vMerge/>
          </w:tcPr>
          <w:p w14:paraId="3DA35340"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06B78CD6" w14:textId="77777777" w:rsidTr="00564DD1">
        <w:tc>
          <w:tcPr>
            <w:tcW w:w="1521" w:type="dxa"/>
            <w:vMerge/>
          </w:tcPr>
          <w:p w14:paraId="2F783D5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32D6374E"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Delivery (per 14-day course)</w:t>
            </w:r>
          </w:p>
        </w:tc>
        <w:tc>
          <w:tcPr>
            <w:tcW w:w="1721" w:type="dxa"/>
          </w:tcPr>
          <w:p w14:paraId="5F14791C" w14:textId="092EB563" w:rsidR="00443709" w:rsidRPr="006E39B6" w:rsidRDefault="00B67D80" w:rsidP="00027E27">
            <w:pPr>
              <w:spacing w:after="0" w:line="221" w:lineRule="auto"/>
              <w:ind w:left="0"/>
              <w:rPr>
                <w:rFonts w:asciiTheme="majorBidi" w:eastAsiaTheme="minorEastAsia" w:hAnsiTheme="majorBidi" w:cstheme="majorBidi"/>
                <w:noProof/>
                <w:lang w:eastAsia="zh-CN"/>
              </w:rPr>
            </w:pPr>
            <w:r w:rsidRPr="00B67D80">
              <w:rPr>
                <w:rFonts w:asciiTheme="majorBidi" w:eastAsiaTheme="minorEastAsia" w:hAnsiTheme="majorBidi" w:cstheme="majorBidi"/>
                <w:noProof/>
                <w:lang w:eastAsia="zh-CN"/>
              </w:rPr>
              <w:t>77.64</w:t>
            </w:r>
          </w:p>
        </w:tc>
        <w:tc>
          <w:tcPr>
            <w:tcW w:w="5557" w:type="dxa"/>
          </w:tcPr>
          <w:p w14:paraId="2F7715D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 unit</w:t>
            </w:r>
          </w:p>
        </w:tc>
        <w:tc>
          <w:tcPr>
            <w:tcW w:w="1708" w:type="dxa"/>
            <w:vMerge/>
          </w:tcPr>
          <w:p w14:paraId="068DBDD0"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5CA97B1B" w14:textId="77777777" w:rsidTr="00564DD1">
        <w:trPr>
          <w:trHeight w:val="163"/>
        </w:trPr>
        <w:tc>
          <w:tcPr>
            <w:tcW w:w="1521" w:type="dxa"/>
            <w:vMerge/>
          </w:tcPr>
          <w:p w14:paraId="4AA2B107"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5E6E37BA" w14:textId="77777777" w:rsidR="00443709" w:rsidRPr="006E39B6" w:rsidRDefault="00443709" w:rsidP="00027E27">
            <w:pPr>
              <w:spacing w:after="0" w:line="221" w:lineRule="auto"/>
              <w:ind w:left="0"/>
              <w:rPr>
                <w:rFonts w:asciiTheme="majorBidi" w:eastAsiaTheme="minorEastAsia" w:hAnsiTheme="majorBidi" w:cstheme="majorBidi"/>
                <w:b/>
                <w:bCs/>
                <w:noProof/>
                <w:lang w:eastAsia="zh-CN"/>
              </w:rPr>
            </w:pPr>
            <w:r w:rsidRPr="006E39B6">
              <w:rPr>
                <w:rFonts w:asciiTheme="majorBidi" w:eastAsiaTheme="minorEastAsia" w:hAnsiTheme="majorBidi" w:cstheme="majorBidi"/>
                <w:b/>
                <w:bCs/>
                <w:noProof/>
                <w:lang w:eastAsia="zh-CN"/>
              </w:rPr>
              <w:t>Total (per IV day)</w:t>
            </w:r>
          </w:p>
        </w:tc>
        <w:tc>
          <w:tcPr>
            <w:tcW w:w="1721" w:type="dxa"/>
          </w:tcPr>
          <w:p w14:paraId="455CC0C6" w14:textId="456012A1" w:rsidR="00443709" w:rsidRPr="006E39B6" w:rsidRDefault="00B67D80" w:rsidP="00027E27">
            <w:pPr>
              <w:spacing w:after="0" w:line="221" w:lineRule="auto"/>
              <w:ind w:left="0"/>
              <w:rPr>
                <w:rFonts w:asciiTheme="majorBidi" w:eastAsiaTheme="minorEastAsia" w:hAnsiTheme="majorBidi" w:cstheme="majorBidi"/>
                <w:b/>
                <w:bCs/>
                <w:noProof/>
                <w:lang w:eastAsia="zh-CN"/>
              </w:rPr>
            </w:pPr>
            <w:r w:rsidRPr="00B67D80">
              <w:rPr>
                <w:rFonts w:asciiTheme="majorBidi" w:eastAsiaTheme="minorEastAsia" w:hAnsiTheme="majorBidi" w:cstheme="majorBidi"/>
                <w:b/>
                <w:bCs/>
                <w:noProof/>
                <w:lang w:eastAsia="zh-CN"/>
              </w:rPr>
              <w:t>165.36</w:t>
            </w:r>
          </w:p>
        </w:tc>
        <w:tc>
          <w:tcPr>
            <w:tcW w:w="5557" w:type="dxa"/>
          </w:tcPr>
          <w:p w14:paraId="125C3C7B"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1708" w:type="dxa"/>
            <w:vMerge/>
          </w:tcPr>
          <w:p w14:paraId="7788F84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17FAE701" w14:textId="77777777" w:rsidTr="00564DD1">
        <w:tc>
          <w:tcPr>
            <w:tcW w:w="1521" w:type="dxa"/>
            <w:vMerge w:val="restart"/>
          </w:tcPr>
          <w:p w14:paraId="6CE4A761"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r w:rsidRPr="006E39B6">
              <w:rPr>
                <w:rFonts w:asciiTheme="majorBidi" w:eastAsiaTheme="minorEastAsia" w:hAnsiTheme="majorBidi" w:cstheme="majorBidi"/>
                <w:noProof/>
                <w:lang w:eastAsia="zh-CN"/>
              </w:rPr>
              <w:t>Nebulised drugs‡</w:t>
            </w:r>
          </w:p>
        </w:tc>
        <w:tc>
          <w:tcPr>
            <w:tcW w:w="3850" w:type="dxa"/>
          </w:tcPr>
          <w:p w14:paraId="1AF615A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Tobramycin solution (per year)</w:t>
            </w:r>
          </w:p>
        </w:tc>
        <w:tc>
          <w:tcPr>
            <w:tcW w:w="1721" w:type="dxa"/>
          </w:tcPr>
          <w:p w14:paraId="6DA939E0" w14:textId="49846EDE" w:rsidR="00443709" w:rsidRPr="006E39B6" w:rsidRDefault="004924AD" w:rsidP="00027E27">
            <w:pPr>
              <w:spacing w:after="0" w:line="221" w:lineRule="auto"/>
              <w:ind w:left="0"/>
              <w:rPr>
                <w:rFonts w:asciiTheme="majorBidi" w:eastAsiaTheme="minorEastAsia" w:hAnsiTheme="majorBidi" w:cstheme="majorBidi"/>
                <w:noProof/>
                <w:lang w:eastAsia="zh-CN"/>
              </w:rPr>
            </w:pPr>
            <w:r w:rsidRPr="004924AD">
              <w:rPr>
                <w:rFonts w:asciiTheme="majorBidi" w:eastAsiaTheme="minorEastAsia" w:hAnsiTheme="majorBidi" w:cstheme="majorBidi"/>
                <w:noProof/>
                <w:lang w:eastAsia="zh-CN"/>
              </w:rPr>
              <w:t>1,739.56</w:t>
            </w:r>
          </w:p>
        </w:tc>
        <w:tc>
          <w:tcPr>
            <w:tcW w:w="5557" w:type="dxa"/>
          </w:tcPr>
          <w:p w14:paraId="101E258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Tobramycin 300mg/5ml; daily dose: 600mg</w:t>
            </w:r>
          </w:p>
        </w:tc>
        <w:tc>
          <w:tcPr>
            <w:tcW w:w="1708" w:type="dxa"/>
            <w:vMerge w:val="restart"/>
          </w:tcPr>
          <w:p w14:paraId="6F92C69E" w14:textId="63A331CA" w:rsidR="00443709" w:rsidRPr="006E39B6" w:rsidRDefault="00066179" w:rsidP="00027E27">
            <w:pPr>
              <w:spacing w:after="0" w:line="221" w:lineRule="auto"/>
              <w:ind w:left="0"/>
              <w:rPr>
                <w:rFonts w:asciiTheme="majorBidi" w:eastAsiaTheme="minorEastAsia" w:hAnsiTheme="majorBidi" w:cstheme="majorBidi"/>
                <w:noProof/>
                <w:lang w:eastAsia="zh-CN"/>
              </w:rPr>
            </w:pPr>
            <w:r>
              <w:rPr>
                <w:rFonts w:asciiTheme="majorBidi" w:eastAsiaTheme="minorEastAsia" w:hAnsiTheme="majorBidi" w:cstheme="majorBidi"/>
                <w:noProof/>
                <w:color w:val="000000"/>
                <w:lang w:eastAsia="zh-CN"/>
              </w:rPr>
              <w:t xml:space="preserve">BNF </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&lt;EndNote&gt;&lt;Cite&gt;&lt;Author&gt;Joint Formulary Committee&lt;/Author&gt;&lt;Year&gt;2019&lt;/Year&gt;&lt;RecNum&gt;17&lt;/RecNum&gt;&lt;DisplayText&gt;(1)&lt;/DisplayText&gt;&lt;record&gt;&lt;rec-number&gt;17&lt;/rec-number&gt;&lt;foreign-keys&gt;&lt;key app="EN" db-id="ex5prv2vwatev4ed2s8pswvcat9v92xa0ape" timestamp="1648809832"&gt;17&lt;/key&gt;&lt;/foreign-keys&gt;&lt;ref-type name="Report"&gt;27&lt;/ref-type&gt;&lt;contributors&gt;&lt;authors&gt;&lt;author&gt;Joint Formulary Committee,&lt;/author&gt;&lt;/authors&gt;&lt;tertiary-authors&gt;&lt;author&gt;BMJ Group and Pharmaceutical Press&lt;/author&gt;&lt;/tertiary-authors&gt;&lt;/contributors&gt;&lt;titles&gt;&lt;title&gt;British National Formulary (online)&lt;/title&gt;&lt;/titles&gt;&lt;dates&gt;&lt;year&gt;2019&lt;/year&gt;&lt;/dates&gt;&lt;pub-location&gt;London&lt;/pub-location&gt;&lt;urls&gt;&lt;related-urls&gt;&lt;url&gt;Available from: https://bnf.nice.org.uk/ (accessed 01/10/2019)&lt;/url&gt;&lt;/related-urls&gt;&lt;/urls&gt;&lt;/record&gt;&lt;/Cite&gt;&lt;/EndNote&gt;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(1)</w:t>
            </w:r>
            <w:r w:rsidR="007901B7">
              <w:rPr>
                <w:rFonts w:asciiTheme="majorBidi" w:eastAsiaTheme="minorEastAsia" w:hAnsiTheme="majorBidi" w:cstheme="majorBidi"/>
                <w:noProof/>
                <w:color w:val="000000"/>
                <w:lang w:eastAsia="zh-CN"/>
              </w:rPr>
              <w:fldChar w:fldCharType="end"/>
            </w:r>
            <w:r>
              <w:rPr>
                <w:rFonts w:asciiTheme="majorBidi" w:eastAsiaTheme="minorEastAsia" w:hAnsiTheme="majorBidi" w:cstheme="majorBidi"/>
                <w:noProof/>
                <w:color w:val="000000"/>
                <w:lang w:eastAsia="zh-CN"/>
              </w:rPr>
              <w:t>,</w:t>
            </w:r>
            <w:r w:rsidR="00443709" w:rsidRPr="006E39B6">
              <w:rPr>
                <w:rFonts w:asciiTheme="majorBidi" w:eastAsiaTheme="minorEastAsia" w:hAnsiTheme="majorBidi" w:cstheme="majorBidi"/>
                <w:noProof/>
                <w:color w:val="000000"/>
                <w:lang w:eastAsia="zh-CN"/>
              </w:rPr>
              <w:t xml:space="preserve"> CF Registry</w:t>
            </w:r>
            <w:r w:rsidR="007901B7">
              <w:rPr>
                <w:rFonts w:asciiTheme="majorBidi" w:eastAsiaTheme="minorEastAsia" w:hAnsiTheme="majorBidi" w:cstheme="majorBidi"/>
                <w:noProof/>
                <w:color w:val="000000"/>
                <w:lang w:eastAsia="zh-CN"/>
              </w:rPr>
              <w:t xml:space="preserve"> Report 2018</w:t>
            </w:r>
            <w:r>
              <w:rPr>
                <w:rFonts w:asciiTheme="majorBidi" w:eastAsiaTheme="minorEastAsia" w:hAnsiTheme="majorBidi" w:cstheme="majorBidi"/>
                <w:noProof/>
                <w:color w:val="000000"/>
                <w:lang w:eastAsia="zh-CN"/>
              </w:rPr>
              <w:t xml:space="preserve"> </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&lt;EndNote&gt;&lt;Cite&gt;&lt;Author&gt;Cystic Fibrosis Trust&lt;/Author&gt;&lt;Year&gt;2019&lt;/Year&gt;&lt;RecNum&gt;36&lt;/RecNum&gt;&lt;DisplayText&gt;(2)&lt;/DisplayText&gt;&lt;record&gt;&lt;rec-number&gt;36&lt;/rec-number&gt;&lt;foreign-keys&gt;&lt;key app="EN" db-id="0awad2fvhdsrsre0tzkv22zgszp9atae2z5s" timestamp="1634814477"&gt;36&lt;/key&gt;&lt;/foreign-keys&gt;&lt;ref-type name="Report"&gt;27&lt;/ref-type&gt;&lt;contributors&gt;&lt;authors&gt;&lt;author&gt;Cystic Fibrosis Trust,&lt;/author&gt;&lt;/authors&gt;&lt;tertiary-authors&gt;&lt;author&gt;CF Trust&lt;/author&gt;&lt;/tertiary-authors&gt;&lt;/contributors&gt;&lt;titles&gt;&lt;title&gt;UK Cystic Fibrosis Registry Annual Data Report 2018&lt;/title&gt;&lt;/titles&gt;&lt;pages&gt;1-88&lt;/pages&gt;&lt;dates&gt;&lt;year&gt;2019&lt;/year&gt;&lt;/dates&gt;&lt;pub-location&gt;London, UK&lt;/pub-location&gt;&lt;urls&gt;&lt;/urls&gt;&lt;/record&gt;&lt;/Cite&gt;&lt;/EndNote&gt;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(2)</w:t>
            </w:r>
            <w:r w:rsidR="007901B7">
              <w:rPr>
                <w:rFonts w:asciiTheme="majorBidi" w:eastAsiaTheme="minorEastAsia" w:hAnsiTheme="majorBidi" w:cstheme="majorBidi"/>
                <w:noProof/>
                <w:color w:val="000000"/>
                <w:lang w:eastAsia="zh-CN"/>
              </w:rPr>
              <w:fldChar w:fldCharType="end"/>
            </w:r>
            <w:r>
              <w:rPr>
                <w:rFonts w:asciiTheme="majorBidi" w:eastAsiaTheme="minorEastAsia" w:hAnsiTheme="majorBidi" w:cstheme="majorBidi"/>
                <w:noProof/>
                <w:color w:val="000000"/>
                <w:lang w:eastAsia="zh-CN"/>
              </w:rPr>
              <w:t>,</w:t>
            </w:r>
            <w:r w:rsidR="00443709" w:rsidRPr="006E39B6">
              <w:rPr>
                <w:rFonts w:asciiTheme="majorBidi" w:eastAsiaTheme="minorEastAsia" w:hAnsiTheme="majorBidi" w:cstheme="majorBidi"/>
                <w:noProof/>
                <w:color w:val="000000"/>
                <w:lang w:eastAsia="zh-CN"/>
              </w:rPr>
              <w:t xml:space="preserve"> personal communication </w:t>
            </w:r>
            <w:r w:rsidR="00443709" w:rsidRPr="006E39B6">
              <w:rPr>
                <w:rFonts w:asciiTheme="majorBidi" w:eastAsiaTheme="minorEastAsia" w:hAnsiTheme="majorBidi" w:cstheme="majorBidi"/>
                <w:noProof/>
                <w:lang w:eastAsia="zh-CN"/>
              </w:rPr>
              <w:t>(Clinical</w:t>
            </w:r>
          </w:p>
          <w:p w14:paraId="6CDA9109"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Pharmacist,</w:t>
            </w:r>
            <w:r w:rsidRPr="006E39B6">
              <w:rPr>
                <w:rFonts w:asciiTheme="majorBidi" w:eastAsiaTheme="minorEastAsia" w:hAnsiTheme="majorBidi" w:cstheme="majorBidi"/>
                <w:noProof/>
                <w:vertAlign w:val="superscript"/>
                <w:lang w:eastAsia="zh-CN"/>
              </w:rPr>
              <w:t xml:space="preserve">a </w:t>
            </w:r>
            <w:r w:rsidRPr="006E39B6">
              <w:rPr>
                <w:rFonts w:asciiTheme="majorBidi" w:eastAsiaTheme="minorEastAsia" w:hAnsiTheme="majorBidi" w:cstheme="majorBidi"/>
                <w:noProof/>
                <w:lang w:eastAsia="zh-CN"/>
              </w:rPr>
              <w:t>Consultant in Respiratory Medicine and Adult Cystic Fibrosis</w:t>
            </w:r>
            <w:r w:rsidRPr="006E39B6">
              <w:rPr>
                <w:rFonts w:asciiTheme="majorBidi" w:eastAsiaTheme="minorEastAsia" w:hAnsiTheme="majorBidi" w:cstheme="majorBidi"/>
                <w:noProof/>
                <w:color w:val="000000"/>
                <w:vertAlign w:val="superscript"/>
                <w:lang w:eastAsia="zh-CN"/>
              </w:rPr>
              <w:t>b</w:t>
            </w:r>
            <w:r w:rsidRPr="006E39B6">
              <w:rPr>
                <w:rFonts w:asciiTheme="majorBidi" w:eastAsiaTheme="minorEastAsia" w:hAnsiTheme="majorBidi" w:cstheme="majorBidi"/>
                <w:noProof/>
                <w:color w:val="000000"/>
                <w:lang w:eastAsia="zh-CN"/>
              </w:rPr>
              <w:t xml:space="preserve">) </w:t>
            </w:r>
          </w:p>
        </w:tc>
      </w:tr>
      <w:tr w:rsidR="00443709" w:rsidRPr="006E39B6" w14:paraId="1BD0FC19" w14:textId="77777777" w:rsidTr="00564DD1">
        <w:tc>
          <w:tcPr>
            <w:tcW w:w="1521" w:type="dxa"/>
            <w:vMerge/>
          </w:tcPr>
          <w:p w14:paraId="0F7CD80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43781CAC"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Other aminoglycoside</w:t>
            </w:r>
          </w:p>
        </w:tc>
        <w:tc>
          <w:tcPr>
            <w:tcW w:w="1721" w:type="dxa"/>
          </w:tcPr>
          <w:p w14:paraId="71F0B8B1" w14:textId="789E1190"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5.89</w:t>
            </w:r>
          </w:p>
        </w:tc>
        <w:tc>
          <w:tcPr>
            <w:tcW w:w="5557" w:type="dxa"/>
          </w:tcPr>
          <w:p w14:paraId="3AEA3FB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val="it-IT" w:eastAsia="zh-CN"/>
              </w:rPr>
            </w:pPr>
            <w:r w:rsidRPr="006E39B6">
              <w:rPr>
                <w:rFonts w:asciiTheme="majorBidi" w:eastAsiaTheme="minorEastAsia" w:hAnsiTheme="majorBidi" w:cstheme="majorBidi"/>
                <w:noProof/>
                <w:color w:val="000000"/>
                <w:lang w:val="it-IT" w:eastAsia="zh-CN"/>
              </w:rPr>
              <w:t xml:space="preserve">Gentamicin 80ml/2ml; </w:t>
            </w:r>
            <w:r w:rsidRPr="006E39B6">
              <w:rPr>
                <w:rFonts w:asciiTheme="majorBidi" w:eastAsiaTheme="minorEastAsia" w:hAnsiTheme="majorBidi" w:cstheme="majorBidi"/>
                <w:noProof/>
                <w:color w:val="000000"/>
                <w:lang w:eastAsia="zh-CN"/>
              </w:rPr>
              <w:t xml:space="preserve">daily dose: </w:t>
            </w:r>
            <w:r w:rsidRPr="006E39B6">
              <w:rPr>
                <w:rFonts w:asciiTheme="majorBidi" w:eastAsiaTheme="minorEastAsia" w:hAnsiTheme="majorBidi" w:cstheme="majorBidi"/>
                <w:noProof/>
                <w:color w:val="000000"/>
                <w:lang w:val="it-IT" w:eastAsia="zh-CN"/>
              </w:rPr>
              <w:t>160mg</w:t>
            </w:r>
          </w:p>
        </w:tc>
        <w:tc>
          <w:tcPr>
            <w:tcW w:w="1708" w:type="dxa"/>
            <w:vMerge/>
          </w:tcPr>
          <w:p w14:paraId="479AE1B0"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val="it-IT" w:eastAsia="zh-CN"/>
              </w:rPr>
            </w:pPr>
          </w:p>
        </w:tc>
      </w:tr>
      <w:tr w:rsidR="00443709" w:rsidRPr="006E39B6" w14:paraId="17E11CA6" w14:textId="77777777" w:rsidTr="00564DD1">
        <w:tc>
          <w:tcPr>
            <w:tcW w:w="1521" w:type="dxa"/>
            <w:vMerge/>
          </w:tcPr>
          <w:p w14:paraId="3B6418C9" w14:textId="77777777" w:rsidR="00443709" w:rsidRPr="006E39B6" w:rsidRDefault="00443709" w:rsidP="00027E27">
            <w:pPr>
              <w:spacing w:after="0" w:line="221" w:lineRule="auto"/>
              <w:ind w:left="0"/>
              <w:rPr>
                <w:rFonts w:asciiTheme="majorBidi" w:eastAsiaTheme="minorEastAsia" w:hAnsiTheme="majorBidi" w:cstheme="majorBidi"/>
                <w:noProof/>
                <w:lang w:val="it-IT" w:eastAsia="zh-CN"/>
              </w:rPr>
            </w:pPr>
          </w:p>
        </w:tc>
        <w:tc>
          <w:tcPr>
            <w:tcW w:w="3850" w:type="dxa"/>
          </w:tcPr>
          <w:p w14:paraId="0A17985C"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Colistin</w:t>
            </w:r>
          </w:p>
        </w:tc>
        <w:tc>
          <w:tcPr>
            <w:tcW w:w="1721" w:type="dxa"/>
          </w:tcPr>
          <w:p w14:paraId="463CC3E2" w14:textId="6314B620"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442.19</w:t>
            </w:r>
          </w:p>
        </w:tc>
        <w:tc>
          <w:tcPr>
            <w:tcW w:w="5557" w:type="dxa"/>
          </w:tcPr>
          <w:p w14:paraId="2433935D"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Colomycin 2 million unit powder; daily dose: 2 million units</w:t>
            </w:r>
          </w:p>
        </w:tc>
        <w:tc>
          <w:tcPr>
            <w:tcW w:w="1708" w:type="dxa"/>
            <w:vMerge/>
          </w:tcPr>
          <w:p w14:paraId="69A91D97"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3144F810" w14:textId="77777777" w:rsidTr="00564DD1">
        <w:tc>
          <w:tcPr>
            <w:tcW w:w="1521" w:type="dxa"/>
            <w:vMerge/>
          </w:tcPr>
          <w:p w14:paraId="3214CA4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62A09B3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Promixin</w:t>
            </w:r>
          </w:p>
        </w:tc>
        <w:tc>
          <w:tcPr>
            <w:tcW w:w="1721" w:type="dxa"/>
          </w:tcPr>
          <w:p w14:paraId="466FB199" w14:textId="2C9BCA5C"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1,158.39</w:t>
            </w:r>
          </w:p>
        </w:tc>
        <w:tc>
          <w:tcPr>
            <w:tcW w:w="5557" w:type="dxa"/>
          </w:tcPr>
          <w:p w14:paraId="45FD16E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Promixin 1million unit powder; daily dose: 4 million units</w:t>
            </w:r>
          </w:p>
        </w:tc>
        <w:tc>
          <w:tcPr>
            <w:tcW w:w="1708" w:type="dxa"/>
            <w:vMerge/>
          </w:tcPr>
          <w:p w14:paraId="196420A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4CF55BAD" w14:textId="77777777" w:rsidTr="00564DD1">
        <w:tc>
          <w:tcPr>
            <w:tcW w:w="1521" w:type="dxa"/>
            <w:vMerge/>
          </w:tcPr>
          <w:p w14:paraId="3DED5867"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5565320C"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Aztreonam</w:t>
            </w:r>
          </w:p>
        </w:tc>
        <w:tc>
          <w:tcPr>
            <w:tcW w:w="1721" w:type="dxa"/>
          </w:tcPr>
          <w:p w14:paraId="263DCCE7" w14:textId="6FAEF200"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1,506.06</w:t>
            </w:r>
          </w:p>
        </w:tc>
        <w:tc>
          <w:tcPr>
            <w:tcW w:w="5557" w:type="dxa"/>
          </w:tcPr>
          <w:p w14:paraId="2BEA8BE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Cayston 75mg powder; daily dose: 225mg</w:t>
            </w:r>
          </w:p>
        </w:tc>
        <w:tc>
          <w:tcPr>
            <w:tcW w:w="1708" w:type="dxa"/>
            <w:vMerge/>
          </w:tcPr>
          <w:p w14:paraId="600578B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5E2DC124" w14:textId="77777777" w:rsidTr="00564DD1">
        <w:tc>
          <w:tcPr>
            <w:tcW w:w="1521" w:type="dxa"/>
            <w:vMerge/>
          </w:tcPr>
          <w:p w14:paraId="7BCAC91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2D91A85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Colistimethate dry powder</w:t>
            </w:r>
          </w:p>
        </w:tc>
        <w:tc>
          <w:tcPr>
            <w:tcW w:w="1721" w:type="dxa"/>
          </w:tcPr>
          <w:p w14:paraId="47F3C694" w14:textId="2586EE40"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923.62</w:t>
            </w:r>
          </w:p>
        </w:tc>
        <w:tc>
          <w:tcPr>
            <w:tcW w:w="5557" w:type="dxa"/>
          </w:tcPr>
          <w:p w14:paraId="6E1605B6"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Colobreathe 1.6 million units powder capsules; Daily dose: 3.32 million units</w:t>
            </w:r>
          </w:p>
        </w:tc>
        <w:tc>
          <w:tcPr>
            <w:tcW w:w="1708" w:type="dxa"/>
            <w:vMerge/>
          </w:tcPr>
          <w:p w14:paraId="5DE6112D"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4A11C198" w14:textId="77777777" w:rsidTr="00564DD1">
        <w:tc>
          <w:tcPr>
            <w:tcW w:w="1521" w:type="dxa"/>
            <w:vMerge/>
          </w:tcPr>
          <w:p w14:paraId="1C575B1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5E4E7977"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Tobramycin dry powder</w:t>
            </w:r>
          </w:p>
        </w:tc>
        <w:tc>
          <w:tcPr>
            <w:tcW w:w="1721" w:type="dxa"/>
          </w:tcPr>
          <w:p w14:paraId="0396AA98" w14:textId="446ED7A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1,212.22</w:t>
            </w:r>
          </w:p>
        </w:tc>
        <w:tc>
          <w:tcPr>
            <w:tcW w:w="5557" w:type="dxa"/>
          </w:tcPr>
          <w:p w14:paraId="461B2CF6"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Tobramycin 28mg powder capsules; daily dose: 224mg</w:t>
            </w:r>
          </w:p>
        </w:tc>
        <w:tc>
          <w:tcPr>
            <w:tcW w:w="1708" w:type="dxa"/>
            <w:vMerge/>
          </w:tcPr>
          <w:p w14:paraId="1B98A57F"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2DC76B0A" w14:textId="77777777" w:rsidTr="00564DD1">
        <w:tc>
          <w:tcPr>
            <w:tcW w:w="1521" w:type="dxa"/>
            <w:vMerge/>
          </w:tcPr>
          <w:p w14:paraId="263CB07F"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014BCE88"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Azithromycin</w:t>
            </w:r>
          </w:p>
        </w:tc>
        <w:tc>
          <w:tcPr>
            <w:tcW w:w="1721" w:type="dxa"/>
          </w:tcPr>
          <w:p w14:paraId="543EFB71" w14:textId="1203C375" w:rsidR="00443709" w:rsidRPr="006E39B6" w:rsidRDefault="004924AD" w:rsidP="00027E27">
            <w:pPr>
              <w:spacing w:after="0" w:line="221" w:lineRule="auto"/>
              <w:ind w:left="0"/>
              <w:rPr>
                <w:rFonts w:asciiTheme="majorBidi" w:eastAsiaTheme="minorEastAsia" w:hAnsiTheme="majorBidi" w:cstheme="majorBidi"/>
                <w:noProof/>
                <w:lang w:eastAsia="zh-CN"/>
              </w:rPr>
            </w:pPr>
            <w:r w:rsidRPr="004924AD">
              <w:rPr>
                <w:rFonts w:asciiTheme="majorBidi" w:eastAsiaTheme="minorEastAsia" w:hAnsiTheme="majorBidi" w:cstheme="majorBidi"/>
                <w:noProof/>
                <w:lang w:eastAsia="zh-CN"/>
              </w:rPr>
              <w:t>47.51</w:t>
            </w:r>
          </w:p>
        </w:tc>
        <w:tc>
          <w:tcPr>
            <w:tcW w:w="5557" w:type="dxa"/>
          </w:tcPr>
          <w:p w14:paraId="0F40F532"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Azithromycin 250mg tablets; daily dose: 250mg</w:t>
            </w:r>
          </w:p>
        </w:tc>
        <w:tc>
          <w:tcPr>
            <w:tcW w:w="1708" w:type="dxa"/>
            <w:vMerge/>
          </w:tcPr>
          <w:p w14:paraId="4A0B479F"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10A11355" w14:textId="77777777" w:rsidTr="00564DD1">
        <w:tc>
          <w:tcPr>
            <w:tcW w:w="1521" w:type="dxa"/>
            <w:vMerge/>
          </w:tcPr>
          <w:p w14:paraId="5662350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10991195"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Prophylactic flucloxacillin</w:t>
            </w:r>
          </w:p>
        </w:tc>
        <w:tc>
          <w:tcPr>
            <w:tcW w:w="1721" w:type="dxa"/>
          </w:tcPr>
          <w:p w14:paraId="5B4431E8" w14:textId="5ECECB55" w:rsidR="00443709" w:rsidRPr="006E39B6" w:rsidRDefault="004924AD" w:rsidP="00027E27">
            <w:pPr>
              <w:spacing w:after="0" w:line="221" w:lineRule="auto"/>
              <w:ind w:left="0"/>
              <w:rPr>
                <w:rFonts w:asciiTheme="majorBidi" w:eastAsiaTheme="minorEastAsia" w:hAnsiTheme="majorBidi" w:cstheme="majorBidi"/>
                <w:noProof/>
                <w:lang w:eastAsia="zh-CN"/>
              </w:rPr>
            </w:pPr>
            <w:r w:rsidRPr="004924AD">
              <w:rPr>
                <w:rFonts w:asciiTheme="majorBidi" w:eastAsiaTheme="minorEastAsia" w:hAnsiTheme="majorBidi" w:cstheme="majorBidi"/>
                <w:noProof/>
                <w:lang w:eastAsia="zh-CN"/>
              </w:rPr>
              <w:t>4.00</w:t>
            </w:r>
          </w:p>
        </w:tc>
        <w:tc>
          <w:tcPr>
            <w:tcW w:w="5557" w:type="dxa"/>
          </w:tcPr>
          <w:p w14:paraId="623B74A2"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Flucloxacillin 250mg or 500mg capsules; daily dose:1g</w:t>
            </w:r>
          </w:p>
        </w:tc>
        <w:tc>
          <w:tcPr>
            <w:tcW w:w="1708" w:type="dxa"/>
            <w:vMerge/>
          </w:tcPr>
          <w:p w14:paraId="1DF6658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6CA84B51" w14:textId="77777777" w:rsidTr="00564DD1">
        <w:tc>
          <w:tcPr>
            <w:tcW w:w="1521" w:type="dxa"/>
            <w:vMerge/>
          </w:tcPr>
          <w:p w14:paraId="0E6F54F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601B13DE"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Mannitol</w:t>
            </w:r>
          </w:p>
        </w:tc>
        <w:tc>
          <w:tcPr>
            <w:tcW w:w="1721" w:type="dxa"/>
          </w:tcPr>
          <w:p w14:paraId="09D615D3" w14:textId="51F6F9E0" w:rsidR="00443709" w:rsidRPr="006E39B6" w:rsidRDefault="004924AD" w:rsidP="00027E27">
            <w:pPr>
              <w:spacing w:after="0" w:line="221" w:lineRule="auto"/>
              <w:ind w:left="0"/>
              <w:rPr>
                <w:rFonts w:asciiTheme="majorBidi" w:eastAsiaTheme="minorEastAsia" w:hAnsiTheme="majorBidi" w:cstheme="majorBidi"/>
                <w:noProof/>
                <w:lang w:eastAsia="zh-CN"/>
              </w:rPr>
            </w:pPr>
            <w:r w:rsidRPr="004924AD">
              <w:rPr>
                <w:rFonts w:asciiTheme="majorBidi" w:eastAsiaTheme="minorEastAsia" w:hAnsiTheme="majorBidi" w:cstheme="majorBidi"/>
                <w:noProof/>
                <w:lang w:eastAsia="zh-CN"/>
              </w:rPr>
              <w:t>341.04</w:t>
            </w:r>
          </w:p>
        </w:tc>
        <w:tc>
          <w:tcPr>
            <w:tcW w:w="5557" w:type="dxa"/>
          </w:tcPr>
          <w:p w14:paraId="751001E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Bronchitol 40mg inhalation powder capsules; daily dose: 800mg</w:t>
            </w:r>
          </w:p>
        </w:tc>
        <w:tc>
          <w:tcPr>
            <w:tcW w:w="1708" w:type="dxa"/>
            <w:vMerge/>
          </w:tcPr>
          <w:p w14:paraId="02255130"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3BC43828" w14:textId="77777777" w:rsidTr="00564DD1">
        <w:tc>
          <w:tcPr>
            <w:tcW w:w="1521" w:type="dxa"/>
            <w:vMerge/>
          </w:tcPr>
          <w:p w14:paraId="0F5E5B11"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31D8504D"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DNase</w:t>
            </w:r>
          </w:p>
        </w:tc>
        <w:tc>
          <w:tcPr>
            <w:tcW w:w="1721" w:type="dxa"/>
          </w:tcPr>
          <w:p w14:paraId="528D6B7E" w14:textId="0ADCEC81"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4,160.35</w:t>
            </w:r>
          </w:p>
        </w:tc>
        <w:tc>
          <w:tcPr>
            <w:tcW w:w="5557" w:type="dxa"/>
          </w:tcPr>
          <w:p w14:paraId="1661B29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Pulmozyme 2.5mg; daily dose: 2.5mg</w:t>
            </w:r>
          </w:p>
        </w:tc>
        <w:tc>
          <w:tcPr>
            <w:tcW w:w="1708" w:type="dxa"/>
            <w:vMerge/>
          </w:tcPr>
          <w:p w14:paraId="3D0D215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16E208C0" w14:textId="77777777" w:rsidTr="00564DD1">
        <w:tc>
          <w:tcPr>
            <w:tcW w:w="1521" w:type="dxa"/>
            <w:vMerge/>
          </w:tcPr>
          <w:p w14:paraId="71AB298D"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4E65E9F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Hypertonic saline</w:t>
            </w:r>
          </w:p>
        </w:tc>
        <w:tc>
          <w:tcPr>
            <w:tcW w:w="1721" w:type="dxa"/>
          </w:tcPr>
          <w:p w14:paraId="36CD067D" w14:textId="5869DA71"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91.33</w:t>
            </w:r>
          </w:p>
        </w:tc>
        <w:tc>
          <w:tcPr>
            <w:tcW w:w="5557" w:type="dxa"/>
          </w:tcPr>
          <w:p w14:paraId="727EC2DF"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6% or 7% inhalation solution; daily dose: 8ml</w:t>
            </w:r>
          </w:p>
        </w:tc>
        <w:tc>
          <w:tcPr>
            <w:tcW w:w="1708" w:type="dxa"/>
            <w:vMerge/>
          </w:tcPr>
          <w:p w14:paraId="0406E09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7898A3EF" w14:textId="77777777" w:rsidTr="00564DD1">
        <w:tc>
          <w:tcPr>
            <w:tcW w:w="1521" w:type="dxa"/>
            <w:vMerge/>
          </w:tcPr>
          <w:p w14:paraId="78765AB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c>
          <w:tcPr>
            <w:tcW w:w="3850" w:type="dxa"/>
          </w:tcPr>
          <w:p w14:paraId="6F82AAFE"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r w:rsidRPr="006E39B6">
              <w:rPr>
                <w:rFonts w:asciiTheme="majorBidi" w:eastAsiaTheme="minorEastAsia" w:hAnsiTheme="majorBidi" w:cstheme="majorBidi"/>
                <w:b/>
                <w:bCs/>
                <w:noProof/>
                <w:color w:val="000000"/>
                <w:lang w:eastAsia="zh-CN"/>
              </w:rPr>
              <w:t>Total</w:t>
            </w:r>
          </w:p>
        </w:tc>
        <w:tc>
          <w:tcPr>
            <w:tcW w:w="1721" w:type="dxa"/>
          </w:tcPr>
          <w:p w14:paraId="02E6B901" w14:textId="19E0F5EE" w:rsidR="00443709" w:rsidRPr="006E39B6" w:rsidRDefault="004924AD" w:rsidP="00027E27">
            <w:pPr>
              <w:spacing w:after="0" w:line="221" w:lineRule="auto"/>
              <w:ind w:left="0"/>
              <w:rPr>
                <w:rFonts w:asciiTheme="majorBidi" w:eastAsiaTheme="minorEastAsia" w:hAnsiTheme="majorBidi" w:cstheme="majorBidi"/>
                <w:b/>
                <w:bCs/>
                <w:noProof/>
                <w:color w:val="000000"/>
                <w:lang w:eastAsia="zh-CN"/>
              </w:rPr>
            </w:pPr>
            <w:r w:rsidRPr="004924AD">
              <w:rPr>
                <w:rFonts w:asciiTheme="majorBidi" w:eastAsiaTheme="minorEastAsia" w:hAnsiTheme="majorBidi" w:cstheme="majorBidi"/>
                <w:b/>
                <w:bCs/>
                <w:noProof/>
                <w:color w:val="000000"/>
                <w:lang w:eastAsia="zh-CN"/>
              </w:rPr>
              <w:t>11,632.15</w:t>
            </w:r>
          </w:p>
        </w:tc>
        <w:tc>
          <w:tcPr>
            <w:tcW w:w="5557" w:type="dxa"/>
          </w:tcPr>
          <w:p w14:paraId="68541009"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r w:rsidRPr="006E39B6">
              <w:rPr>
                <w:rFonts w:asciiTheme="majorBidi" w:eastAsiaTheme="minorEastAsia" w:hAnsiTheme="majorBidi" w:cstheme="majorBidi"/>
                <w:b/>
                <w:bCs/>
                <w:noProof/>
                <w:color w:val="000000"/>
                <w:lang w:eastAsia="zh-CN"/>
              </w:rPr>
              <w:t>-</w:t>
            </w:r>
          </w:p>
        </w:tc>
        <w:tc>
          <w:tcPr>
            <w:tcW w:w="1708" w:type="dxa"/>
            <w:vMerge/>
          </w:tcPr>
          <w:p w14:paraId="7BF81DB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4F7E2531" w14:textId="77777777" w:rsidTr="00564DD1">
        <w:tc>
          <w:tcPr>
            <w:tcW w:w="1521" w:type="dxa"/>
            <w:vMerge w:val="restart"/>
          </w:tcPr>
          <w:p w14:paraId="12D5F95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Adherence intervention</w:t>
            </w:r>
          </w:p>
        </w:tc>
        <w:tc>
          <w:tcPr>
            <w:tcW w:w="3850" w:type="dxa"/>
          </w:tcPr>
          <w:p w14:paraId="35CB5FA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Data transfer</w:t>
            </w:r>
          </w:p>
        </w:tc>
        <w:tc>
          <w:tcPr>
            <w:tcW w:w="1721" w:type="dxa"/>
          </w:tcPr>
          <w:p w14:paraId="5620D2AB" w14:textId="77777777" w:rsidR="00443709" w:rsidRPr="00E66F27"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b/>
                <w:bCs/>
                <w:noProof/>
                <w:color w:val="000000"/>
                <w:u w:val="single"/>
                <w:lang w:eastAsia="zh-CN"/>
              </w:rPr>
              <w:t>N/A (CD)</w:t>
            </w:r>
          </w:p>
        </w:tc>
        <w:tc>
          <w:tcPr>
            <w:tcW w:w="5557" w:type="dxa"/>
          </w:tcPr>
          <w:p w14:paraId="443EDDE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Commercial value</w:t>
            </w:r>
          </w:p>
        </w:tc>
        <w:tc>
          <w:tcPr>
            <w:tcW w:w="1708" w:type="dxa"/>
          </w:tcPr>
          <w:p w14:paraId="3AD3194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Pr>
                <w:rFonts w:asciiTheme="majorBidi" w:eastAsiaTheme="minorEastAsia" w:hAnsiTheme="majorBidi" w:cstheme="majorBidi"/>
                <w:noProof/>
                <w:color w:val="000000"/>
                <w:lang w:eastAsia="zh-CN"/>
              </w:rPr>
              <w:t xml:space="preserve">PARI </w:t>
            </w:r>
            <w:r w:rsidRPr="00E66F27">
              <w:rPr>
                <w:rFonts w:asciiTheme="majorBidi" w:eastAsiaTheme="minorEastAsia" w:hAnsiTheme="majorBidi" w:cstheme="majorBidi"/>
                <w:noProof/>
                <w:color w:val="000000"/>
                <w:lang w:eastAsia="zh-CN"/>
              </w:rPr>
              <w:t>GmbH</w:t>
            </w:r>
          </w:p>
        </w:tc>
      </w:tr>
      <w:tr w:rsidR="00443709" w:rsidRPr="006E39B6" w14:paraId="26F02830" w14:textId="77777777" w:rsidTr="00564DD1">
        <w:tc>
          <w:tcPr>
            <w:tcW w:w="1521" w:type="dxa"/>
            <w:vMerge/>
          </w:tcPr>
          <w:p w14:paraId="3565A590"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p>
        </w:tc>
        <w:tc>
          <w:tcPr>
            <w:tcW w:w="3850" w:type="dxa"/>
          </w:tcPr>
          <w:p w14:paraId="178D5A36"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Monitoring</w:t>
            </w:r>
          </w:p>
        </w:tc>
        <w:tc>
          <w:tcPr>
            <w:tcW w:w="1721" w:type="dxa"/>
          </w:tcPr>
          <w:p w14:paraId="24CA7561" w14:textId="77777777" w:rsidR="00443709" w:rsidRPr="00230789" w:rsidRDefault="00443709" w:rsidP="00027E27">
            <w:pPr>
              <w:spacing w:after="0" w:line="221" w:lineRule="auto"/>
              <w:ind w:left="0"/>
              <w:rPr>
                <w:rFonts w:asciiTheme="majorBidi" w:eastAsiaTheme="minorEastAsia" w:hAnsiTheme="majorBidi" w:cstheme="majorBidi"/>
                <w:noProof/>
                <w:lang w:eastAsia="zh-CN"/>
              </w:rPr>
            </w:pPr>
            <w:r w:rsidRPr="00230789">
              <w:rPr>
                <w:rFonts w:asciiTheme="majorBidi" w:eastAsiaTheme="minorEastAsia" w:hAnsiTheme="majorBidi" w:cstheme="majorBidi"/>
                <w:b/>
                <w:bCs/>
                <w:noProof/>
                <w:color w:val="000000"/>
                <w:lang w:eastAsia="zh-CN"/>
              </w:rPr>
              <w:t>N/A (CD)</w:t>
            </w:r>
          </w:p>
        </w:tc>
        <w:tc>
          <w:tcPr>
            <w:tcW w:w="5557" w:type="dxa"/>
          </w:tcPr>
          <w:p w14:paraId="0605C0B7"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Same costs as in the trial, conversion rate €1= £0.88756 (01/10/2019)</w:t>
            </w:r>
          </w:p>
        </w:tc>
        <w:tc>
          <w:tcPr>
            <w:tcW w:w="1708" w:type="dxa"/>
          </w:tcPr>
          <w:p w14:paraId="25BEE1F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PARI</w:t>
            </w:r>
            <w:r>
              <w:rPr>
                <w:rFonts w:asciiTheme="majorBidi" w:eastAsiaTheme="minorEastAsia" w:hAnsiTheme="majorBidi" w:cstheme="majorBidi"/>
                <w:noProof/>
                <w:color w:val="000000"/>
                <w:lang w:eastAsia="zh-CN"/>
              </w:rPr>
              <w:t xml:space="preserve"> </w:t>
            </w:r>
            <w:r w:rsidRPr="00E66F27">
              <w:rPr>
                <w:rFonts w:asciiTheme="majorBidi" w:eastAsiaTheme="minorEastAsia" w:hAnsiTheme="majorBidi" w:cstheme="majorBidi"/>
                <w:noProof/>
                <w:color w:val="000000"/>
                <w:lang w:eastAsia="zh-CN"/>
              </w:rPr>
              <w:t>GmbH</w:t>
            </w:r>
          </w:p>
        </w:tc>
      </w:tr>
      <w:tr w:rsidR="00443709" w:rsidRPr="006E39B6" w14:paraId="5105920D" w14:textId="77777777" w:rsidTr="00564DD1">
        <w:tc>
          <w:tcPr>
            <w:tcW w:w="1521" w:type="dxa"/>
            <w:vMerge/>
          </w:tcPr>
          <w:p w14:paraId="66427048"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p>
        </w:tc>
        <w:tc>
          <w:tcPr>
            <w:tcW w:w="3850" w:type="dxa"/>
          </w:tcPr>
          <w:p w14:paraId="1DDA78DD"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Data platform (management, maintenance,  costumer support, hosting &amp; penetration testing)</w:t>
            </w:r>
          </w:p>
        </w:tc>
        <w:tc>
          <w:tcPr>
            <w:tcW w:w="1721" w:type="dxa"/>
          </w:tcPr>
          <w:p w14:paraId="615B6FAE" w14:textId="5E64C894" w:rsidR="00443709" w:rsidRPr="006E39B6" w:rsidRDefault="00504367" w:rsidP="00027E27">
            <w:pPr>
              <w:spacing w:after="0" w:line="221" w:lineRule="auto"/>
              <w:ind w:left="0"/>
              <w:rPr>
                <w:rFonts w:asciiTheme="majorBidi" w:eastAsiaTheme="minorEastAsia" w:hAnsiTheme="majorBidi" w:cstheme="majorBidi"/>
                <w:noProof/>
                <w:lang w:eastAsia="zh-CN"/>
              </w:rPr>
            </w:pPr>
            <w:r>
              <w:t>20.60</w:t>
            </w:r>
          </w:p>
        </w:tc>
        <w:tc>
          <w:tcPr>
            <w:tcW w:w="5557" w:type="dxa"/>
          </w:tcPr>
          <w:p w14:paraId="0BD8454C"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Costs of running the CFHealthHub plataform for 12 months divided by</w:t>
            </w:r>
            <w:r w:rsidRPr="006E39B6">
              <w:rPr>
                <w:rStyle w:val="fontstyle01"/>
                <w:rFonts w:asciiTheme="majorBidi" w:hAnsiTheme="majorBidi" w:cstheme="majorBidi"/>
              </w:rPr>
              <w:t xml:space="preserve"> </w:t>
            </w:r>
            <w:r w:rsidRPr="006E39B6">
              <w:rPr>
                <w:rFonts w:asciiTheme="majorBidi" w:eastAsiaTheme="minorEastAsia" w:hAnsiTheme="majorBidi" w:cstheme="majorBidi"/>
                <w:noProof/>
                <w:color w:val="000000"/>
                <w:lang w:eastAsia="zh-CN"/>
              </w:rPr>
              <w:t>5,900 patients eligible for the intervention</w:t>
            </w:r>
          </w:p>
        </w:tc>
        <w:tc>
          <w:tcPr>
            <w:tcW w:w="1708" w:type="dxa"/>
          </w:tcPr>
          <w:p w14:paraId="02E73B59"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Farr Institute</w:t>
            </w:r>
          </w:p>
          <w:p w14:paraId="7BDC646D"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75347B39" w14:textId="77777777" w:rsidTr="00564DD1">
        <w:tc>
          <w:tcPr>
            <w:tcW w:w="1521" w:type="dxa"/>
            <w:vMerge/>
          </w:tcPr>
          <w:p w14:paraId="5DC0CF38"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p>
        </w:tc>
        <w:tc>
          <w:tcPr>
            <w:tcW w:w="3850" w:type="dxa"/>
          </w:tcPr>
          <w:p w14:paraId="48DA70A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Interventionists training</w:t>
            </w:r>
          </w:p>
        </w:tc>
        <w:tc>
          <w:tcPr>
            <w:tcW w:w="1721" w:type="dxa"/>
          </w:tcPr>
          <w:p w14:paraId="7F20CAA6" w14:textId="67CA524E" w:rsidR="00443709" w:rsidRPr="006E39B6" w:rsidRDefault="00504367" w:rsidP="00027E27">
            <w:pPr>
              <w:spacing w:after="0" w:line="221" w:lineRule="auto"/>
              <w:ind w:left="0"/>
              <w:rPr>
                <w:rFonts w:asciiTheme="majorBidi" w:eastAsiaTheme="minorEastAsia" w:hAnsiTheme="majorBidi" w:cstheme="majorBidi"/>
                <w:noProof/>
                <w:color w:val="000000"/>
                <w:lang w:eastAsia="zh-CN"/>
              </w:rPr>
            </w:pPr>
            <w:r w:rsidRPr="00504367">
              <w:rPr>
                <w:rFonts w:asciiTheme="majorBidi" w:eastAsiaTheme="minorEastAsia" w:hAnsiTheme="majorBidi" w:cstheme="majorBidi"/>
                <w:noProof/>
                <w:color w:val="000000"/>
                <w:lang w:eastAsia="zh-CN"/>
              </w:rPr>
              <w:t>21.37</w:t>
            </w:r>
          </w:p>
        </w:tc>
        <w:tc>
          <w:tcPr>
            <w:tcW w:w="5557" w:type="dxa"/>
          </w:tcPr>
          <w:p w14:paraId="280B388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 xml:space="preserve">Three trainers (2 × 180.5 hours and 61 hours for developing training, delivering face-to-face and competency assessment), 30 interventionists (grade 7 physiotherapists); includes overheads for academic staff; divided </w:t>
            </w:r>
            <w:r w:rsidRPr="006E39B6">
              <w:rPr>
                <w:rFonts w:asciiTheme="majorBidi" w:eastAsiaTheme="minorEastAsia" w:hAnsiTheme="majorBidi" w:cstheme="majorBidi"/>
                <w:noProof/>
                <w:lang w:eastAsia="zh-CN"/>
              </w:rPr>
              <w:t>by</w:t>
            </w:r>
            <w:r w:rsidRPr="006E39B6">
              <w:rPr>
                <w:rFonts w:asciiTheme="majorBidi" w:eastAsiaTheme="minorEastAsia" w:hAnsiTheme="majorBidi" w:cstheme="majorBidi"/>
                <w:noProof/>
                <w:color w:val="000000"/>
                <w:lang w:eastAsia="zh-CN"/>
              </w:rPr>
              <w:t xml:space="preserve"> 5,900 patients eligible for the intervention; applicable only for the first year of the model</w:t>
            </w:r>
          </w:p>
        </w:tc>
        <w:tc>
          <w:tcPr>
            <w:tcW w:w="1708" w:type="dxa"/>
            <w:vMerge w:val="restart"/>
          </w:tcPr>
          <w:p w14:paraId="5184F83F" w14:textId="24847580" w:rsidR="00443709" w:rsidRPr="006E39B6" w:rsidRDefault="00443709" w:rsidP="00066179">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 xml:space="preserve">University of Sheffield (wages); PSSRU </w:t>
            </w:r>
            <w:r w:rsidRPr="006E39B6">
              <w:rPr>
                <w:rFonts w:asciiTheme="majorBidi" w:eastAsiaTheme="minorEastAsia" w:hAnsiTheme="majorBidi" w:cstheme="majorBidi"/>
                <w:noProof/>
                <w:lang w:eastAsia="zh-CN"/>
              </w:rPr>
              <w:t xml:space="preserve">report </w:t>
            </w:r>
            <w:r w:rsidR="00CA1666" w:rsidRPr="006E39B6">
              <w:rPr>
                <w:rFonts w:asciiTheme="majorBidi" w:eastAsiaTheme="minorEastAsia" w:hAnsiTheme="majorBidi" w:cstheme="majorBidi"/>
                <w:noProof/>
                <w:lang w:eastAsia="zh-CN"/>
              </w:rPr>
              <w:t>20</w:t>
            </w:r>
            <w:r w:rsidR="00CA1666">
              <w:rPr>
                <w:rFonts w:asciiTheme="majorBidi" w:eastAsiaTheme="minorEastAsia" w:hAnsiTheme="majorBidi" w:cstheme="majorBidi"/>
                <w:noProof/>
                <w:lang w:eastAsia="zh-CN"/>
              </w:rPr>
              <w:t>21</w:t>
            </w:r>
            <w:r w:rsidR="00CA1666">
              <w:rPr>
                <w:rFonts w:asciiTheme="majorBidi" w:eastAsiaTheme="minorEastAsia" w:hAnsiTheme="majorBidi" w:cstheme="majorBidi"/>
                <w:noProof/>
                <w:color w:val="000000"/>
                <w:lang w:eastAsia="zh-CN"/>
              </w:rPr>
              <w:t xml:space="preserve"> </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&lt;EndNote&gt;&lt;Cite&gt;&lt;Author&gt;Curtis LA&lt;/Author&gt;&lt;Year&gt;2018&lt;/Year&gt;&lt;RecNum&gt;16&lt;/RecNum&gt;&lt;DisplayText&gt;(3)&lt;/DisplayText&gt;&lt;record&gt;&lt;rec-number&gt;16&lt;/rec-number&gt;&lt;foreign-keys&gt;&lt;key app="EN" db-id="ex5prv2vwatev4ed2s8pswvcat9v92xa0ape" timestamp="1648809832"&gt;16&lt;/key&gt;&lt;/foreign-keys&gt;&lt;ref-type name="Report"&gt;27&lt;/ref-type&gt;&lt;contributors&gt;&lt;authors&gt;&lt;author&gt;Curtis LA, &lt;/author&gt;&lt;author&gt;Burns A,&lt;/author&gt;&lt;/authors&gt;&lt;tertiary-authors&gt;&lt;author&gt;Personal Social Services Research Unit; University of Kent&lt;/author&gt;&lt;/tertiary-authors&gt;&lt;/contributors&gt;&lt;titles&gt;&lt;title&gt;Unit costs of health and social care 2018&lt;/title&gt;&lt;/titles&gt;&lt;dates&gt;&lt;year&gt;2018&lt;/year&gt;&lt;/dates&gt;&lt;pub-location&gt;Kent, UK&lt;/pub-location&gt;&lt;urls&gt;&lt;related-urls&gt;&lt;url&gt;Available from: https://kar.kent.ac.uk/70995/ (accessed 09/12/2019)&lt;/url&gt;&lt;/related-urls&gt;&lt;/urls&gt;&lt;/record&gt;&lt;/Cite&gt;&lt;/EndNote&gt;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(3)</w:t>
            </w:r>
            <w:r w:rsidR="007901B7">
              <w:rPr>
                <w:rFonts w:asciiTheme="majorBidi" w:eastAsiaTheme="minorEastAsia" w:hAnsiTheme="majorBidi" w:cstheme="majorBidi"/>
                <w:noProof/>
                <w:color w:val="000000"/>
                <w:lang w:eastAsia="zh-CN"/>
              </w:rPr>
              <w:fldChar w:fldCharType="end"/>
            </w:r>
            <w:r w:rsidRPr="006E39B6">
              <w:rPr>
                <w:rFonts w:asciiTheme="majorBidi" w:eastAsiaTheme="minorEastAsia" w:hAnsiTheme="majorBidi" w:cstheme="majorBidi"/>
                <w:noProof/>
                <w:color w:val="000000"/>
                <w:lang w:eastAsia="zh-CN"/>
              </w:rPr>
              <w:t xml:space="preserve"> personal communication (hours and personnel involved)</w:t>
            </w:r>
            <w:r w:rsidRPr="006E39B6">
              <w:rPr>
                <w:rFonts w:asciiTheme="majorBidi" w:eastAsiaTheme="minorEastAsia" w:hAnsiTheme="majorBidi" w:cstheme="majorBidi"/>
                <w:noProof/>
                <w:color w:val="000000"/>
                <w:vertAlign w:val="superscript"/>
                <w:lang w:eastAsia="zh-CN"/>
              </w:rPr>
              <w:t>c</w:t>
            </w:r>
          </w:p>
        </w:tc>
      </w:tr>
      <w:tr w:rsidR="00443709" w:rsidRPr="006E39B6" w14:paraId="72386690" w14:textId="77777777" w:rsidTr="00564DD1">
        <w:tc>
          <w:tcPr>
            <w:tcW w:w="1521" w:type="dxa"/>
            <w:vMerge/>
          </w:tcPr>
          <w:p w14:paraId="796840F3"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p>
        </w:tc>
        <w:tc>
          <w:tcPr>
            <w:tcW w:w="3850" w:type="dxa"/>
          </w:tcPr>
          <w:p w14:paraId="2F90A53C"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Ongoing fidelity support</w:t>
            </w:r>
          </w:p>
        </w:tc>
        <w:tc>
          <w:tcPr>
            <w:tcW w:w="1721" w:type="dxa"/>
          </w:tcPr>
          <w:p w14:paraId="5B1FCB7B" w14:textId="7636F854" w:rsidR="00443709" w:rsidRPr="006E39B6" w:rsidRDefault="00504367" w:rsidP="00027E27">
            <w:pPr>
              <w:spacing w:after="0" w:line="221" w:lineRule="auto"/>
              <w:ind w:left="0"/>
              <w:rPr>
                <w:rFonts w:asciiTheme="majorBidi" w:eastAsiaTheme="minorEastAsia" w:hAnsiTheme="majorBidi" w:cstheme="majorBidi"/>
                <w:noProof/>
                <w:color w:val="000000"/>
                <w:lang w:eastAsia="zh-CN"/>
              </w:rPr>
            </w:pPr>
            <w:r w:rsidRPr="00504367">
              <w:rPr>
                <w:rFonts w:asciiTheme="majorBidi" w:eastAsiaTheme="minorEastAsia" w:hAnsiTheme="majorBidi" w:cstheme="majorBidi"/>
                <w:noProof/>
                <w:color w:val="000000"/>
                <w:lang w:eastAsia="zh-CN"/>
              </w:rPr>
              <w:t>3.62</w:t>
            </w:r>
          </w:p>
        </w:tc>
        <w:tc>
          <w:tcPr>
            <w:tcW w:w="5557" w:type="dxa"/>
          </w:tcPr>
          <w:p w14:paraId="6DCE21F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 xml:space="preserve">Includes the costs of 15 interventionists, one programme manager, one data specialist, two research assistants, one trainer and overheads for academic staff; </w:t>
            </w:r>
            <w:r w:rsidRPr="006E39B6">
              <w:rPr>
                <w:rFonts w:asciiTheme="majorBidi" w:eastAsiaTheme="minorEastAsia" w:hAnsiTheme="majorBidi" w:cstheme="majorBidi"/>
                <w:noProof/>
                <w:lang w:eastAsia="zh-CN"/>
              </w:rPr>
              <w:t>divided by</w:t>
            </w:r>
            <w:r w:rsidRPr="006E39B6">
              <w:rPr>
                <w:rFonts w:asciiTheme="majorBidi" w:eastAsiaTheme="minorEastAsia" w:hAnsiTheme="majorBidi" w:cstheme="majorBidi"/>
                <w:noProof/>
                <w:color w:val="000000"/>
                <w:lang w:eastAsia="zh-CN"/>
              </w:rPr>
              <w:t xml:space="preserve"> 5,900 patients eligible for the intervention</w:t>
            </w:r>
          </w:p>
        </w:tc>
        <w:tc>
          <w:tcPr>
            <w:tcW w:w="1708" w:type="dxa"/>
            <w:vMerge/>
          </w:tcPr>
          <w:p w14:paraId="17FA23B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4E4318" w14:paraId="50701498" w14:textId="77777777" w:rsidTr="00564DD1">
        <w:tc>
          <w:tcPr>
            <w:tcW w:w="1521" w:type="dxa"/>
            <w:vMerge/>
          </w:tcPr>
          <w:p w14:paraId="78C388A9"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p>
        </w:tc>
        <w:tc>
          <w:tcPr>
            <w:tcW w:w="3850" w:type="dxa"/>
          </w:tcPr>
          <w:p w14:paraId="005EC06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Initial data set-up visit</w:t>
            </w:r>
          </w:p>
        </w:tc>
        <w:tc>
          <w:tcPr>
            <w:tcW w:w="1721" w:type="dxa"/>
          </w:tcPr>
          <w:p w14:paraId="4E07A60D" w14:textId="2DCA9CA9" w:rsidR="00443709" w:rsidRPr="006E39B6" w:rsidRDefault="00504367" w:rsidP="00027E27">
            <w:pPr>
              <w:spacing w:after="0" w:line="221" w:lineRule="auto"/>
              <w:ind w:left="0"/>
              <w:rPr>
                <w:rFonts w:asciiTheme="majorBidi" w:eastAsiaTheme="minorEastAsia" w:hAnsiTheme="majorBidi" w:cstheme="majorBidi"/>
                <w:noProof/>
                <w:color w:val="000000"/>
                <w:lang w:eastAsia="zh-CN"/>
              </w:rPr>
            </w:pPr>
            <w:r w:rsidRPr="00504367">
              <w:rPr>
                <w:rFonts w:asciiTheme="majorBidi" w:eastAsiaTheme="minorEastAsia" w:hAnsiTheme="majorBidi" w:cstheme="majorBidi"/>
                <w:noProof/>
                <w:color w:val="000000"/>
                <w:lang w:eastAsia="zh-CN"/>
              </w:rPr>
              <w:t>195.00</w:t>
            </w:r>
          </w:p>
        </w:tc>
        <w:tc>
          <w:tcPr>
            <w:tcW w:w="5557" w:type="dxa"/>
          </w:tcPr>
          <w:p w14:paraId="167A25E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Includes the costs of grade 7 physiotherapists and total of 3 hours of visits per patient; applicable only for the first year of the model</w:t>
            </w:r>
          </w:p>
        </w:tc>
        <w:tc>
          <w:tcPr>
            <w:tcW w:w="1708" w:type="dxa"/>
          </w:tcPr>
          <w:p w14:paraId="670BF2D7" w14:textId="50E8D4F6" w:rsidR="00443709" w:rsidRPr="006E39B6" w:rsidRDefault="00443709" w:rsidP="00066179">
            <w:pPr>
              <w:spacing w:after="0" w:line="221" w:lineRule="auto"/>
              <w:ind w:left="0"/>
              <w:rPr>
                <w:rFonts w:asciiTheme="majorBidi" w:eastAsiaTheme="minorEastAsia" w:hAnsiTheme="majorBidi" w:cstheme="majorBidi"/>
                <w:noProof/>
                <w:color w:val="000000"/>
                <w:lang w:val="fr-FR" w:eastAsia="zh-CN"/>
              </w:rPr>
            </w:pPr>
            <w:r w:rsidRPr="006E39B6">
              <w:rPr>
                <w:rFonts w:asciiTheme="majorBidi" w:eastAsiaTheme="minorEastAsia" w:hAnsiTheme="majorBidi" w:cstheme="majorBidi"/>
                <w:noProof/>
                <w:color w:val="000000"/>
                <w:lang w:val="fr-FR" w:eastAsia="zh-CN"/>
              </w:rPr>
              <w:t xml:space="preserve">PSSRU </w:t>
            </w:r>
            <w:r w:rsidR="007901B7">
              <w:rPr>
                <w:rFonts w:asciiTheme="majorBidi" w:eastAsiaTheme="minorEastAsia" w:hAnsiTheme="majorBidi" w:cstheme="majorBidi"/>
                <w:noProof/>
                <w:color w:val="000000"/>
                <w:lang w:val="fr-FR" w:eastAsia="zh-CN"/>
              </w:rPr>
              <w:t>r</w:t>
            </w:r>
            <w:r w:rsidR="00066179">
              <w:rPr>
                <w:rFonts w:asciiTheme="majorBidi" w:eastAsiaTheme="minorEastAsia" w:hAnsiTheme="majorBidi" w:cstheme="majorBidi"/>
                <w:noProof/>
                <w:color w:val="000000"/>
                <w:lang w:val="fr-FR" w:eastAsia="zh-CN"/>
              </w:rPr>
              <w:t xml:space="preserve">eport </w:t>
            </w:r>
            <w:r w:rsidR="00CA1666">
              <w:rPr>
                <w:rFonts w:asciiTheme="majorBidi" w:eastAsiaTheme="minorEastAsia" w:hAnsiTheme="majorBidi" w:cstheme="majorBidi"/>
                <w:noProof/>
                <w:color w:val="000000"/>
                <w:lang w:val="fr-FR" w:eastAsia="zh-CN"/>
              </w:rPr>
              <w:t xml:space="preserve">2021 </w:t>
            </w:r>
            <w:r w:rsidR="007901B7">
              <w:rPr>
                <w:rFonts w:asciiTheme="majorBidi" w:eastAsiaTheme="minorEastAsia" w:hAnsiTheme="majorBidi" w:cstheme="majorBidi"/>
                <w:noProof/>
                <w:color w:val="000000"/>
                <w:lang w:val="fr-FR" w:eastAsia="zh-CN"/>
              </w:rPr>
              <w:fldChar w:fldCharType="begin"/>
            </w:r>
            <w:r w:rsidR="00D25A74">
              <w:rPr>
                <w:rFonts w:asciiTheme="majorBidi" w:eastAsiaTheme="minorEastAsia" w:hAnsiTheme="majorBidi" w:cstheme="majorBidi"/>
                <w:noProof/>
                <w:color w:val="000000"/>
                <w:lang w:val="fr-FR" w:eastAsia="zh-CN"/>
              </w:rPr>
              <w:instrText xml:space="preserve"> ADDIN EN.CITE &lt;EndNote&gt;&lt;Cite&gt;&lt;Author&gt;Curtis LA&lt;/Author&gt;&lt;Year&gt;2018&lt;/Year&gt;&lt;RecNum&gt;16&lt;/RecNum&gt;&lt;DisplayText&gt;(3)&lt;/DisplayText&gt;&lt;record&gt;&lt;rec-number&gt;16&lt;/rec-number&gt;&lt;foreign-keys&gt;&lt;key app="EN" db-id="ex5prv2vwatev4ed2s8pswvcat9v92xa0ape" timestamp="1648809832"&gt;16&lt;/key&gt;&lt;/foreign-keys&gt;&lt;ref-type name="Report"&gt;27&lt;/ref-type&gt;&lt;contributors&gt;&lt;authors&gt;&lt;author&gt;Curtis LA, &lt;/author&gt;&lt;author&gt;Burns A,&lt;/author&gt;&lt;/authors&gt;&lt;tertiary-authors&gt;&lt;author&gt;Personal Social Services Research Unit; University of Kent&lt;/author&gt;&lt;/tertiary-authors&gt;&lt;/contributors&gt;&lt;titles&gt;&lt;title&gt;Unit costs of health and social care 2018&lt;/title&gt;&lt;/titles&gt;&lt;dates&gt;&lt;year&gt;2018&lt;/year&gt;&lt;/dates&gt;&lt;pub-location&gt;Kent, UK&lt;/pub-location&gt;&lt;urls&gt;&lt;related-urls&gt;&lt;url&gt;Available from: https://kar.kent.ac.uk/70995/ (accessed 09/12/2019)&lt;/url&gt;&lt;/related-urls&gt;&lt;/urls&gt;&lt;/record&gt;&lt;/Cite&gt;&lt;/EndNote&gt;</w:instrText>
            </w:r>
            <w:r w:rsidR="007901B7">
              <w:rPr>
                <w:rFonts w:asciiTheme="majorBidi" w:eastAsiaTheme="minorEastAsia" w:hAnsiTheme="majorBidi" w:cstheme="majorBidi"/>
                <w:noProof/>
                <w:color w:val="000000"/>
                <w:lang w:val="fr-FR" w:eastAsia="zh-CN"/>
              </w:rPr>
              <w:fldChar w:fldCharType="separate"/>
            </w:r>
            <w:r w:rsidR="00D25A74">
              <w:rPr>
                <w:rFonts w:asciiTheme="majorBidi" w:eastAsiaTheme="minorEastAsia" w:hAnsiTheme="majorBidi" w:cstheme="majorBidi"/>
                <w:noProof/>
                <w:color w:val="000000"/>
                <w:lang w:val="fr-FR" w:eastAsia="zh-CN"/>
              </w:rPr>
              <w:t>(3)</w:t>
            </w:r>
            <w:r w:rsidR="007901B7">
              <w:rPr>
                <w:rFonts w:asciiTheme="majorBidi" w:eastAsiaTheme="minorEastAsia" w:hAnsiTheme="majorBidi" w:cstheme="majorBidi"/>
                <w:noProof/>
                <w:color w:val="000000"/>
                <w:lang w:val="fr-FR" w:eastAsia="zh-CN"/>
              </w:rPr>
              <w:fldChar w:fldCharType="end"/>
            </w:r>
            <w:r w:rsidR="00066179">
              <w:rPr>
                <w:rFonts w:asciiTheme="majorBidi" w:eastAsiaTheme="minorEastAsia" w:hAnsiTheme="majorBidi" w:cstheme="majorBidi"/>
                <w:noProof/>
                <w:color w:val="000000"/>
                <w:lang w:val="fr-FR" w:eastAsia="zh-CN"/>
              </w:rPr>
              <w:t>;</w:t>
            </w:r>
            <w:r w:rsidRPr="006E39B6">
              <w:rPr>
                <w:rFonts w:asciiTheme="majorBidi" w:eastAsiaTheme="minorEastAsia" w:hAnsiTheme="majorBidi" w:cstheme="majorBidi"/>
                <w:noProof/>
                <w:color w:val="000000"/>
                <w:lang w:val="fr-FR" w:eastAsia="zh-CN"/>
              </w:rPr>
              <w:t xml:space="preserve"> personal communication</w:t>
            </w:r>
            <w:r w:rsidRPr="006E39B6">
              <w:rPr>
                <w:rFonts w:asciiTheme="majorBidi" w:eastAsiaTheme="minorEastAsia" w:hAnsiTheme="majorBidi" w:cstheme="majorBidi"/>
                <w:noProof/>
                <w:color w:val="000000"/>
                <w:vertAlign w:val="superscript"/>
                <w:lang w:val="fr-FR" w:eastAsia="zh-CN"/>
              </w:rPr>
              <w:t xml:space="preserve"> c</w:t>
            </w:r>
            <w:r w:rsidRPr="006E39B6">
              <w:rPr>
                <w:rFonts w:asciiTheme="majorBidi" w:eastAsiaTheme="minorEastAsia" w:hAnsiTheme="majorBidi" w:cstheme="majorBidi"/>
                <w:noProof/>
                <w:color w:val="000000"/>
                <w:lang w:val="fr-FR" w:eastAsia="zh-CN"/>
              </w:rPr>
              <w:t xml:space="preserve"> </w:t>
            </w:r>
          </w:p>
        </w:tc>
      </w:tr>
      <w:tr w:rsidR="00443709" w:rsidRPr="006E39B6" w14:paraId="7474D619" w14:textId="77777777" w:rsidTr="00564DD1">
        <w:tc>
          <w:tcPr>
            <w:tcW w:w="1521" w:type="dxa"/>
            <w:vMerge/>
          </w:tcPr>
          <w:p w14:paraId="76D2FA09"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val="fr-FR" w:eastAsia="zh-CN"/>
              </w:rPr>
            </w:pPr>
          </w:p>
        </w:tc>
        <w:tc>
          <w:tcPr>
            <w:tcW w:w="3850" w:type="dxa"/>
          </w:tcPr>
          <w:p w14:paraId="16CF1DE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Delivery of intervention</w:t>
            </w:r>
          </w:p>
        </w:tc>
        <w:tc>
          <w:tcPr>
            <w:tcW w:w="1721" w:type="dxa"/>
          </w:tcPr>
          <w:p w14:paraId="22BB4A30" w14:textId="771ED536" w:rsidR="00443709" w:rsidRPr="006E39B6" w:rsidRDefault="00504367" w:rsidP="00027E27">
            <w:pPr>
              <w:spacing w:after="0" w:line="221" w:lineRule="auto"/>
              <w:ind w:left="0"/>
              <w:rPr>
                <w:rFonts w:asciiTheme="majorBidi" w:eastAsiaTheme="minorEastAsia" w:hAnsiTheme="majorBidi" w:cstheme="majorBidi"/>
                <w:noProof/>
                <w:color w:val="000000"/>
                <w:lang w:eastAsia="zh-CN"/>
              </w:rPr>
            </w:pPr>
            <w:r w:rsidRPr="00504367">
              <w:rPr>
                <w:rFonts w:asciiTheme="majorBidi" w:eastAsiaTheme="minorEastAsia" w:hAnsiTheme="majorBidi" w:cstheme="majorBidi"/>
                <w:noProof/>
                <w:color w:val="000000"/>
                <w:lang w:eastAsia="zh-CN"/>
              </w:rPr>
              <w:t>315.19</w:t>
            </w:r>
          </w:p>
        </w:tc>
        <w:tc>
          <w:tcPr>
            <w:tcW w:w="5557" w:type="dxa"/>
          </w:tcPr>
          <w:p w14:paraId="0619E56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 xml:space="preserve">Data from the intervention log from the trial, assumed the same average cost per patient for the 305 trial patients in the intervention arm </w:t>
            </w:r>
          </w:p>
        </w:tc>
        <w:tc>
          <w:tcPr>
            <w:tcW w:w="1708" w:type="dxa"/>
          </w:tcPr>
          <w:p w14:paraId="2A82BC0C" w14:textId="74E67E36"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PSSRU Report 20</w:t>
            </w:r>
            <w:r w:rsidR="00CA1666">
              <w:rPr>
                <w:rFonts w:asciiTheme="majorBidi" w:eastAsiaTheme="minorEastAsia" w:hAnsiTheme="majorBidi" w:cstheme="majorBidi"/>
                <w:noProof/>
                <w:color w:val="000000"/>
                <w:lang w:eastAsia="zh-CN"/>
              </w:rPr>
              <w:t>21</w:t>
            </w:r>
            <w:r w:rsidR="00066179">
              <w:rPr>
                <w:rFonts w:asciiTheme="majorBidi" w:eastAsiaTheme="minorEastAsia" w:hAnsiTheme="majorBidi" w:cstheme="majorBidi"/>
                <w:noProof/>
                <w:color w:val="000000"/>
                <w:lang w:eastAsia="zh-CN"/>
              </w:rPr>
              <w:t xml:space="preserve"> </w:t>
            </w:r>
            <w:r w:rsidR="00066179">
              <w:rPr>
                <w:rFonts w:asciiTheme="majorBidi" w:eastAsiaTheme="minorEastAsia" w:hAnsiTheme="majorBidi" w:cstheme="majorBidi"/>
                <w:noProof/>
                <w:color w:val="000000"/>
                <w:lang w:val="fr-FR" w:eastAsia="zh-CN"/>
              </w:rPr>
              <w:fldChar w:fldCharType="begin"/>
            </w:r>
            <w:r w:rsidR="00D25A74">
              <w:rPr>
                <w:rFonts w:asciiTheme="majorBidi" w:eastAsiaTheme="minorEastAsia" w:hAnsiTheme="majorBidi" w:cstheme="majorBidi"/>
                <w:noProof/>
                <w:color w:val="000000"/>
                <w:lang w:val="fr-FR" w:eastAsia="zh-CN"/>
              </w:rPr>
              <w:instrText xml:space="preserve"> ADDIN EN.CITE &lt;EndNote&gt;&lt;Cite&gt;&lt;Author&gt;Curtis LA&lt;/Author&gt;&lt;Year&gt;2018&lt;/Year&gt;&lt;RecNum&gt;16&lt;/RecNum&gt;&lt;DisplayText&gt;(3)&lt;/DisplayText&gt;&lt;record&gt;&lt;rec-number&gt;16&lt;/rec-number&gt;&lt;foreign-keys&gt;&lt;key app="EN" db-id="ex5prv2vwatev4ed2s8pswvcat9v92xa0ape" timestamp="1648809832"&gt;16&lt;/key&gt;&lt;/foreign-keys&gt;&lt;ref-type name="Report"&gt;27&lt;/ref-type&gt;&lt;contributors&gt;&lt;authors&gt;&lt;author&gt;Curtis LA, &lt;/author&gt;&lt;author&gt;Burns A,&lt;/author&gt;&lt;/authors&gt;&lt;tertiary-authors&gt;&lt;author&gt;Personal Social Services Research Unit; University of Kent&lt;/author&gt;&lt;/tertiary-authors&gt;&lt;/contributors&gt;&lt;titles&gt;&lt;title&gt;Unit costs of health and social care 2018&lt;/title&gt;&lt;/titles&gt;&lt;dates&gt;&lt;year&gt;2018&lt;/year&gt;&lt;/dates&gt;&lt;pub-location&gt;Kent, UK&lt;/pub-location&gt;&lt;urls&gt;&lt;related-urls&gt;&lt;url&gt;Available from: https://kar.kent.ac.uk/70995/ (accessed 09/12/2019)&lt;/url&gt;&lt;/related-urls&gt;&lt;/urls&gt;&lt;/record&gt;&lt;/Cite&gt;&lt;/EndNote&gt;</w:instrText>
            </w:r>
            <w:r w:rsidR="00066179">
              <w:rPr>
                <w:rFonts w:asciiTheme="majorBidi" w:eastAsiaTheme="minorEastAsia" w:hAnsiTheme="majorBidi" w:cstheme="majorBidi"/>
                <w:noProof/>
                <w:color w:val="000000"/>
                <w:lang w:val="fr-FR" w:eastAsia="zh-CN"/>
              </w:rPr>
              <w:fldChar w:fldCharType="separate"/>
            </w:r>
            <w:r w:rsidR="00D25A74">
              <w:rPr>
                <w:rFonts w:asciiTheme="majorBidi" w:eastAsiaTheme="minorEastAsia" w:hAnsiTheme="majorBidi" w:cstheme="majorBidi"/>
                <w:noProof/>
                <w:color w:val="000000"/>
                <w:lang w:val="fr-FR" w:eastAsia="zh-CN"/>
              </w:rPr>
              <w:t>(3)</w:t>
            </w:r>
            <w:r w:rsidR="00066179">
              <w:rPr>
                <w:rFonts w:asciiTheme="majorBidi" w:eastAsiaTheme="minorEastAsia" w:hAnsiTheme="majorBidi" w:cstheme="majorBidi"/>
                <w:noProof/>
                <w:color w:val="000000"/>
                <w:lang w:val="fr-FR" w:eastAsia="zh-CN"/>
              </w:rPr>
              <w:fldChar w:fldCharType="end"/>
            </w:r>
            <w:r w:rsidRPr="006E39B6">
              <w:rPr>
                <w:rFonts w:asciiTheme="majorBidi" w:eastAsiaTheme="minorEastAsia" w:hAnsiTheme="majorBidi" w:cstheme="majorBidi"/>
                <w:noProof/>
                <w:color w:val="000000"/>
                <w:lang w:eastAsia="zh-CN"/>
              </w:rPr>
              <w:t>; A</w:t>
            </w:r>
            <w:r>
              <w:rPr>
                <w:rFonts w:asciiTheme="majorBidi" w:eastAsiaTheme="minorEastAsia" w:hAnsiTheme="majorBidi" w:cstheme="majorBidi"/>
                <w:noProof/>
                <w:color w:val="000000"/>
                <w:lang w:eastAsia="zh-CN"/>
              </w:rPr>
              <w:t>C</w:t>
            </w:r>
            <w:r w:rsidRPr="006E39B6">
              <w:rPr>
                <w:rFonts w:asciiTheme="majorBidi" w:eastAsiaTheme="minorEastAsia" w:hAnsiTheme="majorBidi" w:cstheme="majorBidi"/>
                <w:noProof/>
                <w:color w:val="000000"/>
                <w:lang w:eastAsia="zh-CN"/>
              </w:rPr>
              <w:t>ti</w:t>
            </w:r>
            <w:r>
              <w:rPr>
                <w:rFonts w:asciiTheme="majorBidi" w:eastAsiaTheme="minorEastAsia" w:hAnsiTheme="majorBidi" w:cstheme="majorBidi"/>
                <w:noProof/>
                <w:color w:val="000000"/>
                <w:lang w:eastAsia="zh-CN"/>
              </w:rPr>
              <w:t>F</w:t>
            </w:r>
            <w:r w:rsidRPr="006E39B6">
              <w:rPr>
                <w:rFonts w:asciiTheme="majorBidi" w:eastAsiaTheme="minorEastAsia" w:hAnsiTheme="majorBidi" w:cstheme="majorBidi"/>
                <w:noProof/>
                <w:color w:val="000000"/>
                <w:lang w:eastAsia="zh-CN"/>
              </w:rPr>
              <w:t xml:space="preserve"> trial</w:t>
            </w:r>
          </w:p>
        </w:tc>
      </w:tr>
      <w:tr w:rsidR="00443709" w:rsidRPr="006E39B6" w14:paraId="43C27CAC" w14:textId="77777777" w:rsidTr="00564DD1">
        <w:tc>
          <w:tcPr>
            <w:tcW w:w="1521" w:type="dxa"/>
            <w:vMerge/>
          </w:tcPr>
          <w:p w14:paraId="414670B2"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p>
        </w:tc>
        <w:tc>
          <w:tcPr>
            <w:tcW w:w="3850" w:type="dxa"/>
          </w:tcPr>
          <w:p w14:paraId="465E40FE"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lang w:eastAsia="zh-CN"/>
              </w:rPr>
            </w:pPr>
            <w:r w:rsidRPr="006E39B6">
              <w:rPr>
                <w:rFonts w:asciiTheme="majorBidi" w:eastAsiaTheme="minorEastAsia" w:hAnsiTheme="majorBidi" w:cstheme="majorBidi"/>
                <w:b/>
                <w:bCs/>
                <w:noProof/>
                <w:color w:val="000000"/>
                <w:lang w:eastAsia="zh-CN"/>
              </w:rPr>
              <w:t>Total 1</w:t>
            </w:r>
            <w:r w:rsidRPr="006E39B6">
              <w:rPr>
                <w:rFonts w:asciiTheme="majorBidi" w:eastAsiaTheme="minorEastAsia" w:hAnsiTheme="majorBidi" w:cstheme="majorBidi"/>
                <w:b/>
                <w:bCs/>
                <w:noProof/>
                <w:color w:val="000000"/>
                <w:vertAlign w:val="superscript"/>
                <w:lang w:eastAsia="zh-CN"/>
              </w:rPr>
              <w:t>st</w:t>
            </w:r>
            <w:r w:rsidRPr="006E39B6">
              <w:rPr>
                <w:rFonts w:asciiTheme="majorBidi" w:eastAsiaTheme="minorEastAsia" w:hAnsiTheme="majorBidi" w:cstheme="majorBidi"/>
                <w:b/>
                <w:bCs/>
                <w:noProof/>
                <w:color w:val="000000"/>
                <w:lang w:eastAsia="zh-CN"/>
              </w:rPr>
              <w:t xml:space="preserve"> year (annual costs)</w:t>
            </w:r>
          </w:p>
        </w:tc>
        <w:tc>
          <w:tcPr>
            <w:tcW w:w="1721" w:type="dxa"/>
          </w:tcPr>
          <w:p w14:paraId="28F0326E" w14:textId="087B1BD5" w:rsidR="00443709" w:rsidRPr="006E39B6" w:rsidRDefault="00504367" w:rsidP="00027E27">
            <w:pPr>
              <w:spacing w:after="0" w:line="221" w:lineRule="auto"/>
              <w:ind w:left="0"/>
              <w:rPr>
                <w:rFonts w:asciiTheme="majorBidi" w:eastAsiaTheme="minorEastAsia" w:hAnsiTheme="majorBidi" w:cstheme="majorBidi"/>
                <w:noProof/>
                <w:color w:val="000000"/>
                <w:lang w:eastAsia="zh-CN"/>
              </w:rPr>
            </w:pPr>
            <w:r w:rsidRPr="00504367">
              <w:rPr>
                <w:rFonts w:asciiTheme="majorBidi" w:eastAsiaTheme="minorEastAsia" w:hAnsiTheme="majorBidi" w:cstheme="majorBidi"/>
                <w:noProof/>
                <w:color w:val="000000"/>
                <w:lang w:eastAsia="zh-CN"/>
              </w:rPr>
              <w:t>777.18</w:t>
            </w:r>
          </w:p>
        </w:tc>
        <w:tc>
          <w:tcPr>
            <w:tcW w:w="5557" w:type="dxa"/>
          </w:tcPr>
          <w:p w14:paraId="21CB7DD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1708" w:type="dxa"/>
          </w:tcPr>
          <w:p w14:paraId="16A7F08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2AB0C59C" w14:textId="77777777" w:rsidTr="00564DD1">
        <w:tc>
          <w:tcPr>
            <w:tcW w:w="1521" w:type="dxa"/>
          </w:tcPr>
          <w:p w14:paraId="1735BD56"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03AD4079"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b/>
                <w:bCs/>
                <w:noProof/>
                <w:color w:val="000000"/>
                <w:lang w:eastAsia="zh-CN"/>
              </w:rPr>
              <w:t>Total subsequent years (annual costs)</w:t>
            </w:r>
          </w:p>
        </w:tc>
        <w:tc>
          <w:tcPr>
            <w:tcW w:w="1721" w:type="dxa"/>
          </w:tcPr>
          <w:p w14:paraId="288F0639" w14:textId="4D28BCCE" w:rsidR="00443709" w:rsidRPr="006E39B6" w:rsidRDefault="00504367" w:rsidP="00027E27">
            <w:pPr>
              <w:spacing w:after="0" w:line="221" w:lineRule="auto"/>
              <w:ind w:left="0"/>
              <w:rPr>
                <w:rFonts w:asciiTheme="majorBidi" w:eastAsiaTheme="minorEastAsia" w:hAnsiTheme="majorBidi" w:cstheme="majorBidi"/>
                <w:noProof/>
                <w:color w:val="000000"/>
                <w:lang w:eastAsia="zh-CN"/>
              </w:rPr>
            </w:pPr>
            <w:r w:rsidRPr="00504367">
              <w:rPr>
                <w:rFonts w:asciiTheme="majorBidi" w:eastAsiaTheme="minorEastAsia" w:hAnsiTheme="majorBidi" w:cstheme="majorBidi"/>
                <w:noProof/>
                <w:color w:val="000000"/>
                <w:lang w:eastAsia="zh-CN"/>
              </w:rPr>
              <w:t>560.81</w:t>
            </w:r>
          </w:p>
        </w:tc>
        <w:tc>
          <w:tcPr>
            <w:tcW w:w="5557" w:type="dxa"/>
          </w:tcPr>
          <w:p w14:paraId="11EE8F4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1708" w:type="dxa"/>
          </w:tcPr>
          <w:p w14:paraId="07FA5C3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4DDBDE1E" w14:textId="77777777" w:rsidTr="00564DD1">
        <w:tc>
          <w:tcPr>
            <w:tcW w:w="1521" w:type="dxa"/>
          </w:tcPr>
          <w:p w14:paraId="5A99AF69"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Nebuliser – intervention</w:t>
            </w:r>
          </w:p>
        </w:tc>
        <w:tc>
          <w:tcPr>
            <w:tcW w:w="3850" w:type="dxa"/>
          </w:tcPr>
          <w:p w14:paraId="54EB42C2"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eTrack</w:t>
            </w:r>
          </w:p>
        </w:tc>
        <w:tc>
          <w:tcPr>
            <w:tcW w:w="1721" w:type="dxa"/>
          </w:tcPr>
          <w:p w14:paraId="606CF0BB"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u w:val="single"/>
                <w:lang w:eastAsia="zh-CN"/>
              </w:rPr>
            </w:pPr>
            <w:r w:rsidRPr="006E39B6">
              <w:rPr>
                <w:rFonts w:asciiTheme="majorBidi" w:eastAsiaTheme="minorEastAsia" w:hAnsiTheme="majorBidi" w:cstheme="majorBidi"/>
                <w:b/>
                <w:bCs/>
                <w:noProof/>
                <w:color w:val="000000"/>
                <w:u w:val="single"/>
                <w:lang w:eastAsia="zh-CN"/>
              </w:rPr>
              <w:t>N/A (CD)</w:t>
            </w:r>
          </w:p>
        </w:tc>
        <w:tc>
          <w:tcPr>
            <w:tcW w:w="5557" w:type="dxa"/>
            <w:vMerge w:val="restart"/>
          </w:tcPr>
          <w:p w14:paraId="4E5C111F"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Annuitised cost per patient; equipment lifetime of 5 years and discount rate of 3.5%</w:t>
            </w:r>
          </w:p>
          <w:p w14:paraId="3D09AE46"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1708" w:type="dxa"/>
            <w:vMerge w:val="restart"/>
          </w:tcPr>
          <w:p w14:paraId="376F8F5E"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PARI</w:t>
            </w:r>
            <w:r>
              <w:rPr>
                <w:rFonts w:asciiTheme="majorBidi" w:eastAsiaTheme="minorEastAsia" w:hAnsiTheme="majorBidi" w:cstheme="majorBidi"/>
                <w:noProof/>
                <w:color w:val="000000"/>
                <w:lang w:eastAsia="zh-CN"/>
              </w:rPr>
              <w:t xml:space="preserve"> </w:t>
            </w:r>
            <w:r w:rsidRPr="00E66F27">
              <w:rPr>
                <w:rFonts w:asciiTheme="majorBidi" w:eastAsiaTheme="minorEastAsia" w:hAnsiTheme="majorBidi" w:cstheme="majorBidi"/>
                <w:noProof/>
                <w:color w:val="000000"/>
                <w:lang w:eastAsia="zh-CN"/>
              </w:rPr>
              <w:t>GmbH</w:t>
            </w:r>
          </w:p>
        </w:tc>
      </w:tr>
      <w:tr w:rsidR="00443709" w:rsidRPr="006E39B6" w14:paraId="37E5F8EA" w14:textId="77777777" w:rsidTr="00564DD1">
        <w:tc>
          <w:tcPr>
            <w:tcW w:w="1521" w:type="dxa"/>
          </w:tcPr>
          <w:p w14:paraId="06E4FDFE"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Nebuliser – intervention</w:t>
            </w:r>
          </w:p>
        </w:tc>
        <w:tc>
          <w:tcPr>
            <w:tcW w:w="3850" w:type="dxa"/>
          </w:tcPr>
          <w:p w14:paraId="19F0ABA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eflow</w:t>
            </w:r>
          </w:p>
        </w:tc>
        <w:tc>
          <w:tcPr>
            <w:tcW w:w="1721" w:type="dxa"/>
          </w:tcPr>
          <w:p w14:paraId="40F4F55D" w14:textId="77777777" w:rsidR="00443709" w:rsidRPr="006E39B6" w:rsidRDefault="00443709" w:rsidP="00027E27">
            <w:pPr>
              <w:spacing w:after="0" w:line="221" w:lineRule="auto"/>
              <w:ind w:left="0"/>
              <w:rPr>
                <w:rFonts w:asciiTheme="majorBidi" w:eastAsiaTheme="minorEastAsia" w:hAnsiTheme="majorBidi" w:cstheme="majorBidi"/>
                <w:b/>
                <w:bCs/>
                <w:noProof/>
                <w:color w:val="000000"/>
                <w:u w:val="single"/>
                <w:lang w:eastAsia="zh-CN"/>
              </w:rPr>
            </w:pPr>
            <w:r w:rsidRPr="006E39B6">
              <w:rPr>
                <w:rFonts w:asciiTheme="majorBidi" w:eastAsiaTheme="minorEastAsia" w:hAnsiTheme="majorBidi" w:cstheme="majorBidi"/>
                <w:b/>
                <w:bCs/>
                <w:noProof/>
                <w:color w:val="000000"/>
                <w:u w:val="single"/>
                <w:lang w:eastAsia="zh-CN"/>
              </w:rPr>
              <w:t>N/A (CD)</w:t>
            </w:r>
          </w:p>
        </w:tc>
        <w:tc>
          <w:tcPr>
            <w:tcW w:w="5557" w:type="dxa"/>
            <w:vMerge/>
          </w:tcPr>
          <w:p w14:paraId="1075BB4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1708" w:type="dxa"/>
            <w:vMerge/>
          </w:tcPr>
          <w:p w14:paraId="0F9DE850"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7A522E7E" w14:textId="77777777" w:rsidTr="00564DD1">
        <w:tc>
          <w:tcPr>
            <w:tcW w:w="1521" w:type="dxa"/>
            <w:vMerge w:val="restart"/>
          </w:tcPr>
          <w:p w14:paraId="0C8AF729"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Resource use</w:t>
            </w:r>
          </w:p>
        </w:tc>
        <w:tc>
          <w:tcPr>
            <w:tcW w:w="3850" w:type="dxa"/>
          </w:tcPr>
          <w:p w14:paraId="4A38A4AE"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IV in hospital (days)</w:t>
            </w:r>
          </w:p>
        </w:tc>
        <w:tc>
          <w:tcPr>
            <w:tcW w:w="1721" w:type="dxa"/>
          </w:tcPr>
          <w:p w14:paraId="7A12774E" w14:textId="62797A05" w:rsidR="00443709" w:rsidRPr="006E39B6" w:rsidRDefault="00504367" w:rsidP="00027E27">
            <w:pPr>
              <w:spacing w:after="0" w:line="221" w:lineRule="auto"/>
              <w:ind w:left="0"/>
              <w:rPr>
                <w:rFonts w:asciiTheme="majorBidi" w:eastAsiaTheme="minorEastAsia" w:hAnsiTheme="majorBidi" w:cstheme="majorBidi"/>
                <w:b/>
                <w:bCs/>
                <w:noProof/>
                <w:color w:val="000000"/>
                <w:u w:val="single"/>
                <w:lang w:eastAsia="zh-CN"/>
              </w:rPr>
            </w:pPr>
            <w:r w:rsidRPr="00504367">
              <w:rPr>
                <w:rFonts w:asciiTheme="majorBidi" w:eastAsiaTheme="minorEastAsia" w:hAnsiTheme="majorBidi" w:cstheme="majorBidi"/>
                <w:noProof/>
                <w:color w:val="000000"/>
                <w:lang w:eastAsia="zh-CN"/>
              </w:rPr>
              <w:t>410.75</w:t>
            </w:r>
          </w:p>
        </w:tc>
        <w:tc>
          <w:tcPr>
            <w:tcW w:w="5557" w:type="dxa"/>
          </w:tcPr>
          <w:p w14:paraId="3177F23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 xml:space="preserve">Assumed to reflect cost of bronchiectasis, cost per non-elective bed-day (codes DZ12C to DZ12F), weighted by FCEs and average length of stay </w:t>
            </w:r>
          </w:p>
        </w:tc>
        <w:tc>
          <w:tcPr>
            <w:tcW w:w="1708" w:type="dxa"/>
            <w:vMerge w:val="restart"/>
          </w:tcPr>
          <w:p w14:paraId="6193B34B" w14:textId="7B814F37" w:rsidR="00443709" w:rsidRPr="006E39B6" w:rsidRDefault="00443709" w:rsidP="00066179">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 xml:space="preserve">NHS Reference Costs </w:t>
            </w:r>
            <w:r w:rsidR="00CA1666">
              <w:rPr>
                <w:rFonts w:asciiTheme="majorBidi" w:eastAsiaTheme="minorEastAsia" w:hAnsiTheme="majorBidi" w:cstheme="majorBidi"/>
                <w:noProof/>
                <w:color w:val="000000"/>
                <w:lang w:eastAsia="zh-CN"/>
              </w:rPr>
              <w:t>2020/2021</w:t>
            </w:r>
            <w:r w:rsidR="00CA1666" w:rsidRPr="006E39B6" w:rsidDel="00CA1666">
              <w:rPr>
                <w:rFonts w:asciiTheme="majorBidi" w:eastAsiaTheme="minorEastAsia" w:hAnsiTheme="majorBidi" w:cstheme="majorBidi"/>
                <w:noProof/>
                <w:color w:val="000000"/>
                <w:lang w:eastAsia="zh-CN"/>
              </w:rPr>
              <w:t xml:space="preserve"> </w:t>
            </w:r>
            <w:r w:rsidR="00066179">
              <w:rPr>
                <w:rFonts w:asciiTheme="majorBidi" w:eastAsiaTheme="minorEastAsia" w:hAnsiTheme="majorBidi" w:cstheme="majorBidi"/>
                <w:noProof/>
                <w:color w:val="000000"/>
                <w:lang w:eastAsia="zh-CN"/>
              </w:rPr>
              <w:t>[</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&lt;EndNote&gt;&lt;Cite&gt;&lt;Author&gt;Department of Health&lt;/Author&gt;&lt;Year&gt;2018&lt;/Year&gt;&lt;RecNum&gt;15&lt;/RecNum&gt;&lt;DisplayText&gt;(4)&lt;/DisplayText&gt;&lt;record&gt;&lt;rec-number&gt;15&lt;/rec-number&gt;&lt;foreign-keys&gt;&lt;key app="EN" db-id="ex5prv2vwatev4ed2s8pswvcat9v92xa0ape" timestamp="1648809832"&gt;15&lt;/key&gt;&lt;/foreign-keys&gt;&lt;ref-type name="Report"&gt;27&lt;/ref-type&gt;&lt;contributors&gt;&lt;authors&gt;&lt;author&gt;Department of Health,&lt;/author&gt;&lt;/authors&gt;&lt;tertiary-authors&gt;&lt;author&gt;DH&lt;/author&gt;&lt;/tertiary-authors&gt;&lt;/contributors&gt;&lt;titles&gt;&lt;title&gt;NHS Reference Costs 2017/18&lt;/title&gt;&lt;/titles&gt;&lt;dates&gt;&lt;year&gt;2018&lt;/year&gt;&lt;/dates&gt;&lt;urls&gt;&lt;related-urls&gt;&lt;url&gt;Available from: https://improvement.nhs.uk/resources/reference-costs/ (accessed 09/12/2019)&lt;/url&gt;&lt;/related-urls&gt;&lt;/urls&gt;&lt;/record&gt;&lt;/Cite&gt;&lt;/EndNote&gt;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(4)</w:t>
            </w:r>
            <w:r w:rsidR="007901B7">
              <w:rPr>
                <w:rFonts w:asciiTheme="majorBidi" w:eastAsiaTheme="minorEastAsia" w:hAnsiTheme="majorBidi" w:cstheme="majorBidi"/>
                <w:noProof/>
                <w:color w:val="000000"/>
                <w:lang w:eastAsia="zh-CN"/>
              </w:rPr>
              <w:fldChar w:fldCharType="end"/>
            </w:r>
          </w:p>
        </w:tc>
      </w:tr>
      <w:tr w:rsidR="00443709" w:rsidRPr="006E39B6" w14:paraId="511911BD" w14:textId="77777777" w:rsidTr="00564DD1">
        <w:tc>
          <w:tcPr>
            <w:tcW w:w="1521" w:type="dxa"/>
            <w:vMerge/>
          </w:tcPr>
          <w:p w14:paraId="3DCE875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372B0047"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Other hospitalisation IVs (total days)</w:t>
            </w:r>
          </w:p>
        </w:tc>
        <w:tc>
          <w:tcPr>
            <w:tcW w:w="1721" w:type="dxa"/>
          </w:tcPr>
          <w:p w14:paraId="07B67E4F" w14:textId="2AB0640E" w:rsidR="00443709" w:rsidRPr="006E39B6" w:rsidRDefault="00504367" w:rsidP="00027E27">
            <w:pPr>
              <w:spacing w:after="0" w:line="221" w:lineRule="auto"/>
              <w:ind w:left="0"/>
              <w:rPr>
                <w:rFonts w:asciiTheme="majorBidi" w:eastAsiaTheme="minorEastAsia" w:hAnsiTheme="majorBidi" w:cstheme="majorBidi"/>
                <w:b/>
                <w:bCs/>
                <w:noProof/>
                <w:color w:val="000000"/>
                <w:u w:val="single"/>
                <w:lang w:eastAsia="zh-CN"/>
              </w:rPr>
            </w:pPr>
            <w:r w:rsidRPr="00504367">
              <w:rPr>
                <w:rFonts w:asciiTheme="majorBidi" w:eastAsiaTheme="minorEastAsia" w:hAnsiTheme="majorBidi" w:cstheme="majorBidi"/>
                <w:noProof/>
                <w:color w:val="000000"/>
                <w:lang w:eastAsia="zh-CN"/>
              </w:rPr>
              <w:t>349.25</w:t>
            </w:r>
          </w:p>
        </w:tc>
        <w:tc>
          <w:tcPr>
            <w:tcW w:w="5557" w:type="dxa"/>
          </w:tcPr>
          <w:p w14:paraId="7F18605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Cost per non-elective excess bed-day weighted by FCEs; weighted average across all interventions</w:t>
            </w:r>
          </w:p>
        </w:tc>
        <w:tc>
          <w:tcPr>
            <w:tcW w:w="1708" w:type="dxa"/>
            <w:vMerge/>
          </w:tcPr>
          <w:p w14:paraId="6535841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372B8D5E" w14:textId="77777777" w:rsidTr="00564DD1">
        <w:tc>
          <w:tcPr>
            <w:tcW w:w="1521" w:type="dxa"/>
            <w:vMerge/>
          </w:tcPr>
          <w:p w14:paraId="49CA600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73D269E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GP (mins) - surgery and at home</w:t>
            </w:r>
          </w:p>
        </w:tc>
        <w:tc>
          <w:tcPr>
            <w:tcW w:w="1721" w:type="dxa"/>
          </w:tcPr>
          <w:p w14:paraId="6A364EDC" w14:textId="354AD8F2" w:rsidR="00443709" w:rsidRPr="006E39B6" w:rsidRDefault="00CA1666" w:rsidP="00027E27">
            <w:pPr>
              <w:spacing w:after="0" w:line="221" w:lineRule="auto"/>
              <w:ind w:left="0"/>
              <w:rPr>
                <w:rFonts w:asciiTheme="majorBidi" w:eastAsiaTheme="minorEastAsia" w:hAnsiTheme="majorBidi" w:cstheme="majorBidi"/>
                <w:b/>
                <w:bCs/>
                <w:noProof/>
                <w:color w:val="000000"/>
                <w:u w:val="single"/>
                <w:lang w:eastAsia="zh-CN"/>
              </w:rPr>
            </w:pPr>
            <w:r w:rsidRPr="00CA1666">
              <w:rPr>
                <w:rFonts w:asciiTheme="majorBidi" w:eastAsiaTheme="minorEastAsia" w:hAnsiTheme="majorBidi" w:cstheme="majorBidi"/>
                <w:noProof/>
                <w:color w:val="000000"/>
                <w:lang w:eastAsia="zh-CN"/>
              </w:rPr>
              <w:t>4.23</w:t>
            </w:r>
          </w:p>
        </w:tc>
        <w:tc>
          <w:tcPr>
            <w:tcW w:w="5557" w:type="dxa"/>
          </w:tcPr>
          <w:p w14:paraId="407C3CBE"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GP appointments of 9.22 minutes were assumed; unit cost includes direct care staff and qualification costs, and carbon emissions</w:t>
            </w:r>
          </w:p>
        </w:tc>
        <w:tc>
          <w:tcPr>
            <w:tcW w:w="1708" w:type="dxa"/>
          </w:tcPr>
          <w:p w14:paraId="7933114C" w14:textId="05183AFB" w:rsidR="00443709" w:rsidRPr="006E39B6" w:rsidRDefault="007901B7" w:rsidP="00066179">
            <w:pPr>
              <w:spacing w:after="0" w:line="221" w:lineRule="auto"/>
              <w:ind w:left="0"/>
              <w:rPr>
                <w:rFonts w:asciiTheme="majorBidi" w:eastAsiaTheme="minorEastAsia" w:hAnsiTheme="majorBidi" w:cstheme="majorBidi"/>
                <w:noProof/>
                <w:color w:val="000000"/>
                <w:lang w:eastAsia="zh-CN"/>
              </w:rPr>
            </w:pPr>
            <w:r>
              <w:rPr>
                <w:rFonts w:asciiTheme="majorBidi" w:eastAsiaTheme="minorEastAsia" w:hAnsiTheme="majorBidi" w:cstheme="majorBidi"/>
                <w:noProof/>
                <w:color w:val="000000"/>
                <w:lang w:eastAsia="zh-CN"/>
              </w:rPr>
              <w:t>PSSRU r</w:t>
            </w:r>
            <w:r w:rsidR="00443709" w:rsidRPr="006E39B6">
              <w:rPr>
                <w:rFonts w:asciiTheme="majorBidi" w:eastAsiaTheme="minorEastAsia" w:hAnsiTheme="majorBidi" w:cstheme="majorBidi"/>
                <w:noProof/>
                <w:color w:val="000000"/>
                <w:lang w:eastAsia="zh-CN"/>
              </w:rPr>
              <w:t xml:space="preserve">eport </w:t>
            </w:r>
            <w:r w:rsidR="00CA1666" w:rsidRPr="006E39B6">
              <w:rPr>
                <w:rFonts w:asciiTheme="majorBidi" w:eastAsiaTheme="minorEastAsia" w:hAnsiTheme="majorBidi" w:cstheme="majorBidi"/>
                <w:noProof/>
                <w:color w:val="000000"/>
                <w:lang w:eastAsia="zh-CN"/>
              </w:rPr>
              <w:t>20</w:t>
            </w:r>
            <w:r w:rsidR="00CA1666">
              <w:rPr>
                <w:rFonts w:asciiTheme="majorBidi" w:eastAsiaTheme="minorEastAsia" w:hAnsiTheme="majorBidi" w:cstheme="majorBidi"/>
                <w:noProof/>
                <w:color w:val="000000"/>
                <w:lang w:eastAsia="zh-CN"/>
              </w:rPr>
              <w:t xml:space="preserve">21 </w:t>
            </w:r>
            <w:r>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&lt;EndNote&gt;&lt;Cite&gt;&lt;Author&gt;Curtis LA&lt;/Author&gt;&lt;Year&gt;2018&lt;/Year&gt;&lt;RecNum&gt;16&lt;/RecNum&gt;&lt;DisplayText&gt;(3)&lt;/DisplayText&gt;&lt;record&gt;&lt;rec-number&gt;16&lt;/rec-number&gt;&lt;foreign-keys&gt;&lt;key app="EN" db-id="ex5prv2vwatev4ed2s8pswvcat9v92xa0ape" timestamp="1648809832"&gt;16&lt;/key&gt;&lt;/foreign-keys&gt;&lt;ref-type name="Report"&gt;27&lt;/ref-type&gt;&lt;contributors&gt;&lt;authors&gt;&lt;author&gt;Curtis LA, &lt;/author&gt;&lt;author&gt;Burns A,&lt;/author&gt;&lt;/authors&gt;&lt;tertiary-authors&gt;&lt;author&gt;Personal Social Services Research Unit; University of Kent&lt;/author&gt;&lt;/tertiary-authors&gt;&lt;/contributors&gt;&lt;titles&gt;&lt;title&gt;Unit costs of health and social care 2018&lt;/title&gt;&lt;/titles&gt;&lt;dates&gt;&lt;year&gt;2018&lt;/year&gt;&lt;/dates&gt;&lt;pub-location&gt;Kent, UK&lt;/pub-location&gt;&lt;urls&gt;&lt;related-urls&gt;&lt;url&gt;Available from: https://kar.kent.ac.uk/70995/ (accessed 09/12/2019)&lt;/url&gt;&lt;/related-urls&gt;&lt;/urls&gt;&lt;/record&gt;&lt;/Cite&gt;&lt;/EndNote&gt;</w:instrText>
            </w:r>
            <w:r>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(3)</w:t>
            </w:r>
            <w:r>
              <w:rPr>
                <w:rFonts w:asciiTheme="majorBidi" w:eastAsiaTheme="minorEastAsia" w:hAnsiTheme="majorBidi" w:cstheme="majorBidi"/>
                <w:noProof/>
                <w:color w:val="000000"/>
                <w:lang w:eastAsia="zh-CN"/>
              </w:rPr>
              <w:fldChar w:fldCharType="end"/>
            </w:r>
          </w:p>
        </w:tc>
      </w:tr>
      <w:tr w:rsidR="00443709" w:rsidRPr="006E39B6" w14:paraId="1B78E85D" w14:textId="77777777" w:rsidTr="00564DD1">
        <w:tc>
          <w:tcPr>
            <w:tcW w:w="1521" w:type="dxa"/>
            <w:vMerge/>
          </w:tcPr>
          <w:p w14:paraId="1CDB134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1B7EA917"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Consultant hospital visits (no.)</w:t>
            </w:r>
          </w:p>
        </w:tc>
        <w:tc>
          <w:tcPr>
            <w:tcW w:w="1721" w:type="dxa"/>
          </w:tcPr>
          <w:p w14:paraId="65299039" w14:textId="3EF8D1D3" w:rsidR="00443709" w:rsidRPr="006E39B6" w:rsidRDefault="00CA1666" w:rsidP="00027E27">
            <w:pPr>
              <w:spacing w:after="0" w:line="221" w:lineRule="auto"/>
              <w:ind w:left="0"/>
              <w:rPr>
                <w:rFonts w:asciiTheme="majorBidi" w:eastAsiaTheme="minorEastAsia" w:hAnsiTheme="majorBidi" w:cstheme="majorBidi"/>
                <w:b/>
                <w:bCs/>
                <w:noProof/>
                <w:color w:val="000000"/>
                <w:u w:val="single"/>
                <w:lang w:eastAsia="zh-CN"/>
              </w:rPr>
            </w:pPr>
            <w:r w:rsidRPr="00CA1666">
              <w:rPr>
                <w:rFonts w:asciiTheme="majorBidi" w:eastAsiaTheme="minorEastAsia" w:hAnsiTheme="majorBidi" w:cstheme="majorBidi"/>
                <w:noProof/>
                <w:color w:val="000000"/>
                <w:lang w:eastAsia="zh-CN"/>
              </w:rPr>
              <w:t>219.17</w:t>
            </w:r>
          </w:p>
        </w:tc>
        <w:tc>
          <w:tcPr>
            <w:tcW w:w="5557" w:type="dxa"/>
          </w:tcPr>
          <w:p w14:paraId="068ED5BE"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Consultant-led services for respiratory medicine (service code 340)</w:t>
            </w:r>
          </w:p>
        </w:tc>
        <w:tc>
          <w:tcPr>
            <w:tcW w:w="1708" w:type="dxa"/>
            <w:vMerge w:val="restart"/>
          </w:tcPr>
          <w:p w14:paraId="30AA973E" w14:textId="2530D66C" w:rsidR="00443709" w:rsidRPr="006E39B6" w:rsidRDefault="00443709" w:rsidP="00066179">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 xml:space="preserve">NHS Reference Costs </w:t>
            </w:r>
            <w:r w:rsidR="00CA1666">
              <w:rPr>
                <w:rFonts w:asciiTheme="majorBidi" w:eastAsiaTheme="minorEastAsia" w:hAnsiTheme="majorBidi" w:cstheme="majorBidi"/>
                <w:noProof/>
                <w:color w:val="000000"/>
                <w:lang w:eastAsia="zh-CN"/>
              </w:rPr>
              <w:t>2020/2021</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&lt;EndNote&gt;&lt;Cite&gt;&lt;Author&gt;Department of Health&lt;/Author&gt;&lt;Year&gt;2018&lt;/Year&gt;&lt;RecNum&gt;15&lt;/RecNum&gt;&lt;DisplayText&gt;(4)&lt;/DisplayText&gt;&lt;record&gt;&lt;rec-number&gt;15&lt;/rec-number&gt;&lt;foreign-keys&gt;&lt;key app="EN" db-id="ex5prv2vwatev4ed2s8pswvcat9v92xa0ape" timestamp="1648809832"&gt;15&lt;/key&gt;&lt;/foreign-keys&gt;&lt;ref-type name="Report"&gt;27&lt;/ref-type&gt;&lt;contributors&gt;&lt;authors&gt;&lt;author&gt;Department of Health,&lt;/author&gt;&lt;/authors&gt;&lt;tertiary-authors&gt;&lt;author&gt;DH&lt;/author&gt;&lt;/tertiary-authors&gt;&lt;/contributors&gt;&lt;titles&gt;&lt;title&gt;NHS Reference Costs 2017/18&lt;/title&gt;&lt;/titles&gt;&lt;dates&gt;&lt;year&gt;2018&lt;/year&gt;&lt;/dates&gt;&lt;urls&gt;&lt;related-urls&gt;&lt;url&gt;Available from: https://improvement.nhs.uk/resources/reference-costs/ (accessed 09/12/2019)&lt;/url&gt;&lt;/related-urls&gt;&lt;/urls&gt;&lt;/record&gt;&lt;/Cite&gt;&lt;/EndNote&gt;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(4)</w:t>
            </w:r>
            <w:r w:rsidR="007901B7">
              <w:rPr>
                <w:rFonts w:asciiTheme="majorBidi" w:eastAsiaTheme="minorEastAsia" w:hAnsiTheme="majorBidi" w:cstheme="majorBidi"/>
                <w:noProof/>
                <w:color w:val="000000"/>
                <w:lang w:eastAsia="zh-CN"/>
              </w:rPr>
              <w:fldChar w:fldCharType="end"/>
            </w:r>
            <w:r w:rsidRPr="006E39B6">
              <w:rPr>
                <w:rFonts w:asciiTheme="majorBidi" w:eastAsiaTheme="minorEastAsia" w:hAnsiTheme="majorBidi" w:cstheme="majorBidi"/>
                <w:noProof/>
                <w:color w:val="000000"/>
                <w:lang w:eastAsia="zh-CN"/>
              </w:rPr>
              <w:t xml:space="preserve"> (</w:t>
            </w:r>
            <w:r w:rsidRPr="006E39B6">
              <w:rPr>
                <w:rFonts w:asciiTheme="majorBidi" w:eastAsiaTheme="minorEastAsia" w:hAnsiTheme="majorBidi" w:cstheme="majorBidi"/>
                <w:noProof/>
                <w:lang w:eastAsia="zh-CN"/>
              </w:rPr>
              <w:t>total outpatient attendances data)</w:t>
            </w:r>
          </w:p>
        </w:tc>
      </w:tr>
      <w:tr w:rsidR="00443709" w:rsidRPr="006E39B6" w14:paraId="578E18E8" w14:textId="77777777" w:rsidTr="00564DD1">
        <w:tc>
          <w:tcPr>
            <w:tcW w:w="1521" w:type="dxa"/>
            <w:vMerge/>
          </w:tcPr>
          <w:p w14:paraId="0876EC2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554EB97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Non-consultant hospital visits (no.)</w:t>
            </w:r>
          </w:p>
        </w:tc>
        <w:tc>
          <w:tcPr>
            <w:tcW w:w="1721" w:type="dxa"/>
          </w:tcPr>
          <w:p w14:paraId="482DB22B" w14:textId="4D5DEC46" w:rsidR="00443709" w:rsidRPr="006E39B6" w:rsidRDefault="00CA1666" w:rsidP="00027E27">
            <w:pPr>
              <w:spacing w:after="0" w:line="221" w:lineRule="auto"/>
              <w:ind w:left="0"/>
              <w:rPr>
                <w:rFonts w:asciiTheme="majorBidi" w:eastAsiaTheme="minorEastAsia" w:hAnsiTheme="majorBidi" w:cstheme="majorBidi"/>
                <w:b/>
                <w:bCs/>
                <w:noProof/>
                <w:color w:val="000000"/>
                <w:u w:val="single"/>
                <w:lang w:eastAsia="zh-CN"/>
              </w:rPr>
            </w:pPr>
            <w:r w:rsidRPr="00CA1666">
              <w:rPr>
                <w:rFonts w:asciiTheme="majorBidi" w:eastAsiaTheme="minorEastAsia" w:hAnsiTheme="majorBidi" w:cstheme="majorBidi"/>
                <w:noProof/>
                <w:color w:val="000000"/>
                <w:lang w:eastAsia="zh-CN"/>
              </w:rPr>
              <w:t>165.83</w:t>
            </w:r>
          </w:p>
        </w:tc>
        <w:tc>
          <w:tcPr>
            <w:tcW w:w="5557" w:type="dxa"/>
          </w:tcPr>
          <w:p w14:paraId="1C18EE5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lang w:eastAsia="zh-CN"/>
              </w:rPr>
              <w:t xml:space="preserve">Non-consultant led services for respiratory medicine (service code 340) </w:t>
            </w:r>
          </w:p>
        </w:tc>
        <w:tc>
          <w:tcPr>
            <w:tcW w:w="1708" w:type="dxa"/>
            <w:vMerge/>
          </w:tcPr>
          <w:p w14:paraId="037C6DD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5D9DEB0F" w14:textId="77777777" w:rsidTr="00564DD1">
        <w:tc>
          <w:tcPr>
            <w:tcW w:w="1521" w:type="dxa"/>
            <w:vMerge/>
          </w:tcPr>
          <w:p w14:paraId="015E73A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1F8741F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Physiotherapist (no.)</w:t>
            </w:r>
          </w:p>
        </w:tc>
        <w:tc>
          <w:tcPr>
            <w:tcW w:w="1721" w:type="dxa"/>
          </w:tcPr>
          <w:p w14:paraId="22FB0723" w14:textId="2D157E6F"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118.88</w:t>
            </w:r>
          </w:p>
        </w:tc>
        <w:tc>
          <w:tcPr>
            <w:tcW w:w="5557" w:type="dxa"/>
          </w:tcPr>
          <w:p w14:paraId="134D9D9A" w14:textId="77777777" w:rsidR="00443709" w:rsidRPr="006E39B6" w:rsidRDefault="00443709" w:rsidP="00027E27">
            <w:pPr>
              <w:spacing w:after="0" w:line="221" w:lineRule="auto"/>
              <w:ind w:left="0"/>
              <w:rPr>
                <w:rFonts w:asciiTheme="majorBidi" w:hAnsiTheme="majorBidi" w:cstheme="majorBidi"/>
                <w:color w:val="FF0000"/>
              </w:rPr>
            </w:pPr>
            <w:r w:rsidRPr="006E39B6">
              <w:rPr>
                <w:rFonts w:asciiTheme="majorBidi" w:eastAsiaTheme="minorEastAsia" w:hAnsiTheme="majorBidi" w:cstheme="majorBidi"/>
                <w:noProof/>
                <w:lang w:eastAsia="zh-CN"/>
              </w:rPr>
              <w:t>Total services for physiotherapy (consultant and non-consultant led, service code 650)</w:t>
            </w:r>
          </w:p>
        </w:tc>
        <w:tc>
          <w:tcPr>
            <w:tcW w:w="1708" w:type="dxa"/>
            <w:vMerge/>
          </w:tcPr>
          <w:p w14:paraId="23A3CA8B"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14B93F3B" w14:textId="77777777" w:rsidTr="00564DD1">
        <w:tc>
          <w:tcPr>
            <w:tcW w:w="1521" w:type="dxa"/>
            <w:vMerge/>
          </w:tcPr>
          <w:p w14:paraId="0E4F7542"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195215D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Dietician (no.)</w:t>
            </w:r>
          </w:p>
        </w:tc>
        <w:tc>
          <w:tcPr>
            <w:tcW w:w="1721" w:type="dxa"/>
          </w:tcPr>
          <w:p w14:paraId="7D1C5056" w14:textId="629831A9"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107.30</w:t>
            </w:r>
          </w:p>
        </w:tc>
        <w:tc>
          <w:tcPr>
            <w:tcW w:w="5557" w:type="dxa"/>
          </w:tcPr>
          <w:p w14:paraId="4242E9C7" w14:textId="77777777" w:rsidR="00443709" w:rsidRPr="006E39B6" w:rsidRDefault="00443709" w:rsidP="00027E27">
            <w:pPr>
              <w:spacing w:after="0" w:line="221" w:lineRule="auto"/>
              <w:ind w:left="0"/>
              <w:rPr>
                <w:rFonts w:asciiTheme="majorBidi" w:hAnsiTheme="majorBidi" w:cstheme="majorBidi"/>
                <w:color w:val="FF0000"/>
              </w:rPr>
            </w:pPr>
            <w:r w:rsidRPr="006E39B6">
              <w:rPr>
                <w:rFonts w:asciiTheme="majorBidi" w:eastAsiaTheme="minorEastAsia" w:hAnsiTheme="majorBidi" w:cstheme="majorBidi"/>
                <w:noProof/>
                <w:lang w:eastAsia="zh-CN"/>
              </w:rPr>
              <w:t>Total services for dietetics (consultant and</w:t>
            </w:r>
            <w:r w:rsidRPr="006E39B6">
              <w:rPr>
                <w:rFonts w:asciiTheme="majorBidi" w:eastAsiaTheme="minorEastAsia" w:hAnsiTheme="majorBidi" w:cstheme="majorBidi"/>
                <w:noProof/>
                <w:lang w:eastAsia="zh-CN"/>
              </w:rPr>
              <w:br/>
              <w:t>non-consultant led, service code 654)</w:t>
            </w:r>
          </w:p>
        </w:tc>
        <w:tc>
          <w:tcPr>
            <w:tcW w:w="1708" w:type="dxa"/>
            <w:vMerge/>
          </w:tcPr>
          <w:p w14:paraId="1C0F5EEC"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577F9D0B" w14:textId="77777777" w:rsidTr="00564DD1">
        <w:tc>
          <w:tcPr>
            <w:tcW w:w="1521" w:type="dxa"/>
            <w:vMerge/>
          </w:tcPr>
          <w:p w14:paraId="21BB767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2FBC069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Nurse (mins)</w:t>
            </w:r>
          </w:p>
        </w:tc>
        <w:tc>
          <w:tcPr>
            <w:tcW w:w="1721" w:type="dxa"/>
          </w:tcPr>
          <w:p w14:paraId="5B550559" w14:textId="017C8C18"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0.85</w:t>
            </w:r>
          </w:p>
        </w:tc>
        <w:tc>
          <w:tcPr>
            <w:tcW w:w="5557" w:type="dxa"/>
          </w:tcPr>
          <w:p w14:paraId="67BB204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Cost per working hour for band 6 community or hospital-based nurses (nurse specialist/team leader)</w:t>
            </w:r>
          </w:p>
        </w:tc>
        <w:tc>
          <w:tcPr>
            <w:tcW w:w="1708" w:type="dxa"/>
            <w:vMerge w:val="restart"/>
          </w:tcPr>
          <w:p w14:paraId="10D1B0FD" w14:textId="22171DB5" w:rsidR="00443709" w:rsidRPr="006E39B6" w:rsidRDefault="00443709" w:rsidP="00066179">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PSSRU Report 20</w:t>
            </w:r>
            <w:r w:rsidR="00CA1666">
              <w:rPr>
                <w:rFonts w:asciiTheme="majorBidi" w:eastAsiaTheme="minorEastAsia" w:hAnsiTheme="majorBidi" w:cstheme="majorBidi"/>
                <w:noProof/>
                <w:color w:val="000000"/>
                <w:lang w:eastAsia="zh-CN"/>
              </w:rPr>
              <w:t>21</w:t>
            </w:r>
            <w:r w:rsidR="00066179">
              <w:rPr>
                <w:rFonts w:asciiTheme="majorBidi" w:eastAsiaTheme="minorEastAsia" w:hAnsiTheme="majorBidi" w:cstheme="majorBidi"/>
                <w:noProof/>
                <w:color w:val="000000"/>
                <w:lang w:eastAsia="zh-CN"/>
              </w:rPr>
              <w:t xml:space="preserve"> </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&lt;EndNote&gt;&lt;Cite&gt;&lt;Author&gt;Curtis LA&lt;/Author&gt;&lt;Year&gt;2018&lt;/Year&gt;&lt;RecNum&gt;16&lt;/RecNum&gt;&lt;DisplayText&gt;(3)&lt;/DisplayText&gt;&lt;record&gt;&lt;rec-number&gt;16&lt;/rec-number&gt;&lt;foreign-keys&gt;&lt;key app="EN" db-id="ex5prv2vwatev4ed2s8pswvcat9v92xa0ape" timestamp="1648809832"&gt;16&lt;/key&gt;&lt;/foreign-keys&gt;&lt;ref-type name="Report"&gt;27&lt;/ref-type&gt;&lt;contributors&gt;&lt;authors&gt;&lt;author&gt;Curtis LA, &lt;/author&gt;&lt;author&gt;Burns A,&lt;/author&gt;&lt;/authors&gt;&lt;tertiary-authors&gt;&lt;author&gt;Personal Social Services Research Unit; University of Kent&lt;/author&gt;&lt;/tertiary-authors&gt;&lt;/contributors&gt;&lt;titles&gt;&lt;title&gt;Unit costs of health and social care 2018&lt;/title&gt;&lt;/titles&gt;&lt;dates&gt;&lt;year&gt;2018&lt;/year&gt;&lt;/dates&gt;&lt;pub-location&gt;Kent, UK&lt;/pub-location&gt;&lt;urls&gt;&lt;related-urls&gt;&lt;url&gt;Available from: https://kar.kent.ac.uk/70995/ (accessed 09/12/2019)&lt;/url&gt;&lt;/related-urls&gt;&lt;/urls&gt;&lt;/record&gt;&lt;/Cite&gt;&lt;/EndNote&gt;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(3)</w:t>
            </w:r>
            <w:r w:rsidR="007901B7">
              <w:rPr>
                <w:rFonts w:asciiTheme="majorBidi" w:eastAsiaTheme="minorEastAsia" w:hAnsiTheme="majorBidi" w:cstheme="majorBidi"/>
                <w:noProof/>
                <w:color w:val="000000"/>
                <w:lang w:eastAsia="zh-CN"/>
              </w:rPr>
              <w:fldChar w:fldCharType="end"/>
            </w:r>
          </w:p>
        </w:tc>
      </w:tr>
      <w:tr w:rsidR="00443709" w:rsidRPr="006E39B6" w14:paraId="2E882745" w14:textId="77777777" w:rsidTr="00564DD1">
        <w:tc>
          <w:tcPr>
            <w:tcW w:w="1521" w:type="dxa"/>
            <w:vMerge/>
          </w:tcPr>
          <w:p w14:paraId="55B8A59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27B619C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Social worker (min)</w:t>
            </w:r>
          </w:p>
        </w:tc>
        <w:tc>
          <w:tcPr>
            <w:tcW w:w="1721" w:type="dxa"/>
          </w:tcPr>
          <w:p w14:paraId="1006D0EA" w14:textId="5B7C28F0"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0.87</w:t>
            </w:r>
          </w:p>
        </w:tc>
        <w:tc>
          <w:tcPr>
            <w:tcW w:w="5557" w:type="dxa"/>
          </w:tcPr>
          <w:p w14:paraId="708965A4"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Costs for per working hour for social worker (adult services), unit cost includes qualifications</w:t>
            </w:r>
          </w:p>
        </w:tc>
        <w:tc>
          <w:tcPr>
            <w:tcW w:w="1708" w:type="dxa"/>
            <w:vMerge/>
          </w:tcPr>
          <w:p w14:paraId="620D2D1A"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3CFBD644" w14:textId="77777777" w:rsidTr="00564DD1">
        <w:tc>
          <w:tcPr>
            <w:tcW w:w="1521" w:type="dxa"/>
            <w:vMerge/>
          </w:tcPr>
          <w:p w14:paraId="3857605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0B173D54"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Phone contact (call)</w:t>
            </w:r>
          </w:p>
        </w:tc>
        <w:tc>
          <w:tcPr>
            <w:tcW w:w="1721" w:type="dxa"/>
          </w:tcPr>
          <w:p w14:paraId="15986595" w14:textId="3A0C025A"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11.47</w:t>
            </w:r>
          </w:p>
        </w:tc>
        <w:tc>
          <w:tcPr>
            <w:tcW w:w="5557" w:type="dxa"/>
          </w:tcPr>
          <w:p w14:paraId="127DC319"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lang w:eastAsia="zh-CN"/>
              </w:rPr>
              <w:t>Based on average unit costs between GP-led and nurse-led services for telephone triage</w:t>
            </w:r>
          </w:p>
        </w:tc>
        <w:tc>
          <w:tcPr>
            <w:tcW w:w="1708" w:type="dxa"/>
            <w:vMerge/>
          </w:tcPr>
          <w:p w14:paraId="7DB251DF"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r>
      <w:tr w:rsidR="00443709" w:rsidRPr="006E39B6" w14:paraId="584F1312" w14:textId="77777777" w:rsidTr="00564DD1">
        <w:tc>
          <w:tcPr>
            <w:tcW w:w="1521" w:type="dxa"/>
            <w:vMerge/>
          </w:tcPr>
          <w:p w14:paraId="2457CB17"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571709C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Psychologist visits (no.)</w:t>
            </w:r>
          </w:p>
        </w:tc>
        <w:tc>
          <w:tcPr>
            <w:tcW w:w="1721" w:type="dxa"/>
          </w:tcPr>
          <w:p w14:paraId="29DEB14B" w14:textId="56A42C51"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221.52</w:t>
            </w:r>
          </w:p>
        </w:tc>
        <w:tc>
          <w:tcPr>
            <w:tcW w:w="5557" w:type="dxa"/>
          </w:tcPr>
          <w:p w14:paraId="5F446535" w14:textId="77777777" w:rsidR="00443709" w:rsidRPr="006E39B6" w:rsidRDefault="00443709" w:rsidP="00027E27">
            <w:pPr>
              <w:spacing w:after="0" w:line="221" w:lineRule="auto"/>
              <w:ind w:left="0"/>
              <w:rPr>
                <w:rFonts w:asciiTheme="majorBidi" w:hAnsiTheme="majorBidi" w:cstheme="majorBidi"/>
                <w:color w:val="FF0000"/>
              </w:rPr>
            </w:pPr>
            <w:r w:rsidRPr="006E39B6">
              <w:rPr>
                <w:rFonts w:asciiTheme="majorBidi" w:eastAsiaTheme="minorEastAsia" w:hAnsiTheme="majorBidi" w:cstheme="majorBidi"/>
                <w:noProof/>
                <w:lang w:eastAsia="zh-CN"/>
              </w:rPr>
              <w:t>Total services for clinical psychology (consultant and nonconsultant led, service code 656)</w:t>
            </w:r>
          </w:p>
        </w:tc>
        <w:tc>
          <w:tcPr>
            <w:tcW w:w="1708" w:type="dxa"/>
            <w:vMerge w:val="restart"/>
          </w:tcPr>
          <w:p w14:paraId="5DEB8FB9" w14:textId="397747BA" w:rsidR="00443709" w:rsidRPr="006E39B6" w:rsidRDefault="00443709" w:rsidP="00027E27">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color w:val="000000"/>
                <w:lang w:eastAsia="zh-CN"/>
              </w:rPr>
              <w:t xml:space="preserve">NHS Reference Costs </w:t>
            </w:r>
            <w:r w:rsidR="00CA1666">
              <w:rPr>
                <w:rFonts w:asciiTheme="majorBidi" w:eastAsiaTheme="minorEastAsia" w:hAnsiTheme="majorBidi" w:cstheme="majorBidi"/>
                <w:noProof/>
                <w:color w:val="000000"/>
                <w:lang w:eastAsia="zh-CN"/>
              </w:rPr>
              <w:t>2020/2021</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&lt;EndNote&gt;&lt;Cite&gt;&lt;Author&gt;Department of Health&lt;/Author&gt;&lt;Year&gt;2018&lt;/Year&gt;&lt;RecNum&gt;15&lt;/RecNum&gt;&lt;DisplayText&gt;(4)&lt;/DisplayText&gt;&lt;record&gt;&lt;rec-number&gt;15&lt;/rec-number&gt;&lt;foreign-keys&gt;&lt;key app="EN" db-id="ex5prv2vwatev4ed2s8pswvcat9v92xa0ape" timestamp="1648809832"&gt;15&lt;/key&gt;&lt;/foreign-keys&gt;&lt;ref-type name="Report"&gt;27&lt;/ref-type&gt;&lt;contributors&gt;&lt;authors&gt;&lt;author&gt;Department of Health,&lt;/author&gt;&lt;/authors&gt;&lt;tertiary-authors&gt;&lt;author&gt;DH&lt;/author&gt;&lt;/tertiary-authors&gt;&lt;/contributors&gt;&lt;titles&gt;&lt;title&gt;NHS Reference Costs 2017/18&lt;/title&gt;&lt;/titles&gt;&lt;dates&gt;&lt;year&gt;2018&lt;/year&gt;&lt;/dates&gt;&lt;urls&gt;&lt;related-urls&gt;&lt;url&gt;Available from: https://improvement.nhs.uk/resources/reference-costs/ (accessed 09/12/2019)&lt;/url&gt;&lt;/related-urls&gt;&lt;/urls&gt;&lt;/record&gt;&lt;/Cite&gt;&lt;/EndNote&gt;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(4)</w:t>
            </w:r>
            <w:r w:rsidR="007901B7">
              <w:rPr>
                <w:rFonts w:asciiTheme="majorBidi" w:eastAsiaTheme="minorEastAsia" w:hAnsiTheme="majorBidi" w:cstheme="majorBidi"/>
                <w:noProof/>
                <w:color w:val="000000"/>
                <w:lang w:eastAsia="zh-CN"/>
              </w:rPr>
              <w:fldChar w:fldCharType="end"/>
            </w:r>
            <w:r w:rsidRPr="006E39B6">
              <w:rPr>
                <w:rFonts w:asciiTheme="majorBidi" w:eastAsiaTheme="minorEastAsia" w:hAnsiTheme="majorBidi" w:cstheme="majorBidi"/>
                <w:noProof/>
                <w:color w:val="000000"/>
                <w:lang w:eastAsia="zh-CN"/>
              </w:rPr>
              <w:t xml:space="preserve"> (</w:t>
            </w:r>
            <w:r w:rsidRPr="006E39B6">
              <w:rPr>
                <w:rFonts w:asciiTheme="majorBidi" w:eastAsiaTheme="minorEastAsia" w:hAnsiTheme="majorBidi" w:cstheme="majorBidi"/>
                <w:noProof/>
                <w:lang w:eastAsia="zh-CN"/>
              </w:rPr>
              <w:t>total outpatient attendances data)</w:t>
            </w:r>
          </w:p>
          <w:p w14:paraId="30F59482"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2E8F8EC1" w14:textId="77777777" w:rsidTr="00564DD1">
        <w:tc>
          <w:tcPr>
            <w:tcW w:w="1521" w:type="dxa"/>
            <w:vMerge/>
          </w:tcPr>
          <w:p w14:paraId="6C9B7D3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241EB0F8"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Occupational therapist visits (no.)</w:t>
            </w:r>
          </w:p>
        </w:tc>
        <w:tc>
          <w:tcPr>
            <w:tcW w:w="1721" w:type="dxa"/>
          </w:tcPr>
          <w:p w14:paraId="4877F0C9" w14:textId="36BA60C1"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117.66</w:t>
            </w:r>
          </w:p>
        </w:tc>
        <w:tc>
          <w:tcPr>
            <w:tcW w:w="5557" w:type="dxa"/>
          </w:tcPr>
          <w:p w14:paraId="3C5D2EEE" w14:textId="77777777" w:rsidR="00443709" w:rsidRPr="006E39B6" w:rsidRDefault="00443709" w:rsidP="00027E27">
            <w:pPr>
              <w:spacing w:after="0" w:line="221" w:lineRule="auto"/>
              <w:ind w:left="0"/>
              <w:rPr>
                <w:rFonts w:asciiTheme="majorBidi" w:hAnsiTheme="majorBidi" w:cstheme="majorBidi"/>
                <w:color w:val="FF0000"/>
              </w:rPr>
            </w:pPr>
            <w:r w:rsidRPr="006E39B6">
              <w:rPr>
                <w:rFonts w:asciiTheme="majorBidi" w:eastAsiaTheme="minorEastAsia" w:hAnsiTheme="majorBidi" w:cstheme="majorBidi"/>
                <w:noProof/>
                <w:lang w:eastAsia="zh-CN"/>
              </w:rPr>
              <w:t>Total services for occupational therapy (consultant and non-consultant led, service code 651)</w:t>
            </w:r>
          </w:p>
        </w:tc>
        <w:tc>
          <w:tcPr>
            <w:tcW w:w="1708" w:type="dxa"/>
            <w:vMerge/>
          </w:tcPr>
          <w:p w14:paraId="5DDE271E"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0CFBCC69" w14:textId="77777777" w:rsidTr="00564DD1">
        <w:tc>
          <w:tcPr>
            <w:tcW w:w="1521" w:type="dxa"/>
            <w:vMerge/>
          </w:tcPr>
          <w:p w14:paraId="54644852"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26375333"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Radiographer visits (no.)</w:t>
            </w:r>
          </w:p>
        </w:tc>
        <w:tc>
          <w:tcPr>
            <w:tcW w:w="1721" w:type="dxa"/>
          </w:tcPr>
          <w:p w14:paraId="337F8419" w14:textId="60539A96"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50.20</w:t>
            </w:r>
          </w:p>
        </w:tc>
        <w:tc>
          <w:tcPr>
            <w:tcW w:w="5557" w:type="dxa"/>
          </w:tcPr>
          <w:p w14:paraId="3DFB923E" w14:textId="77777777" w:rsidR="00443709" w:rsidRPr="006E39B6" w:rsidRDefault="00443709" w:rsidP="00027E27">
            <w:pPr>
              <w:spacing w:after="0" w:line="221" w:lineRule="auto"/>
              <w:ind w:left="0"/>
              <w:rPr>
                <w:rFonts w:asciiTheme="majorBidi" w:hAnsiTheme="majorBidi" w:cstheme="majorBidi"/>
                <w:color w:val="FF0000"/>
              </w:rPr>
            </w:pPr>
            <w:r w:rsidRPr="006E39B6">
              <w:rPr>
                <w:rFonts w:asciiTheme="majorBidi" w:eastAsiaTheme="minorEastAsia" w:hAnsiTheme="majorBidi" w:cstheme="majorBidi"/>
                <w:noProof/>
                <w:lang w:eastAsia="zh-CN"/>
              </w:rPr>
              <w:t>Total services for diagnostic imaging (consultant and non-consultant led, service code 812)</w:t>
            </w:r>
          </w:p>
        </w:tc>
        <w:tc>
          <w:tcPr>
            <w:tcW w:w="1708" w:type="dxa"/>
            <w:vMerge/>
          </w:tcPr>
          <w:p w14:paraId="77262239"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6A3BAA61" w14:textId="77777777" w:rsidTr="00564DD1">
        <w:tc>
          <w:tcPr>
            <w:tcW w:w="1521" w:type="dxa"/>
            <w:vMerge/>
          </w:tcPr>
          <w:p w14:paraId="32DD9A9B"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7A810A91"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A&amp;E (no.)</w:t>
            </w:r>
          </w:p>
        </w:tc>
        <w:tc>
          <w:tcPr>
            <w:tcW w:w="1721" w:type="dxa"/>
          </w:tcPr>
          <w:p w14:paraId="437F49D9" w14:textId="75ABBD53"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170.46</w:t>
            </w:r>
          </w:p>
        </w:tc>
        <w:tc>
          <w:tcPr>
            <w:tcW w:w="5557" w:type="dxa"/>
          </w:tcPr>
          <w:p w14:paraId="0540D656" w14:textId="77777777" w:rsidR="00443709" w:rsidRPr="006E39B6" w:rsidRDefault="00443709" w:rsidP="00027E27">
            <w:pPr>
              <w:spacing w:after="0" w:line="221" w:lineRule="auto"/>
              <w:ind w:left="0"/>
              <w:rPr>
                <w:rFonts w:asciiTheme="majorBidi" w:eastAsiaTheme="minorEastAsia" w:hAnsiTheme="majorBidi" w:cstheme="majorBidi"/>
                <w:noProof/>
                <w:color w:val="FF0000"/>
                <w:lang w:eastAsia="zh-CN"/>
              </w:rPr>
            </w:pPr>
            <w:r w:rsidRPr="006E39B6">
              <w:rPr>
                <w:rFonts w:asciiTheme="majorBidi" w:eastAsiaTheme="minorEastAsia" w:hAnsiTheme="majorBidi" w:cstheme="majorBidi"/>
                <w:noProof/>
                <w:lang w:eastAsia="zh-CN"/>
              </w:rPr>
              <w:t>Total services for A&amp;E (consultant and non-consultant led, service code 180)</w:t>
            </w:r>
          </w:p>
        </w:tc>
        <w:tc>
          <w:tcPr>
            <w:tcW w:w="1708" w:type="dxa"/>
            <w:vMerge/>
          </w:tcPr>
          <w:p w14:paraId="236B662E"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062A2B75" w14:textId="77777777" w:rsidTr="00564DD1">
        <w:tc>
          <w:tcPr>
            <w:tcW w:w="1521" w:type="dxa"/>
            <w:vMerge/>
          </w:tcPr>
          <w:p w14:paraId="0E0449DF"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5592A270"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Other visits (no.)</w:t>
            </w:r>
          </w:p>
        </w:tc>
        <w:tc>
          <w:tcPr>
            <w:tcW w:w="1721" w:type="dxa"/>
          </w:tcPr>
          <w:p w14:paraId="756E85E4" w14:textId="4665592D"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177.09</w:t>
            </w:r>
          </w:p>
        </w:tc>
        <w:tc>
          <w:tcPr>
            <w:tcW w:w="5557" w:type="dxa"/>
          </w:tcPr>
          <w:p w14:paraId="2C13688D" w14:textId="77777777" w:rsidR="00443709" w:rsidRPr="006E39B6" w:rsidRDefault="00443709" w:rsidP="00027E27">
            <w:pPr>
              <w:spacing w:after="0" w:line="221" w:lineRule="auto"/>
              <w:ind w:left="0"/>
              <w:rPr>
                <w:rFonts w:asciiTheme="majorBidi" w:eastAsiaTheme="minorEastAsia" w:hAnsiTheme="majorBidi" w:cstheme="majorBidi"/>
                <w:noProof/>
                <w:color w:val="FF0000"/>
                <w:lang w:eastAsia="zh-CN"/>
              </w:rPr>
            </w:pPr>
            <w:r w:rsidRPr="006E39B6">
              <w:rPr>
                <w:rFonts w:asciiTheme="majorBidi" w:eastAsiaTheme="minorEastAsia" w:hAnsiTheme="majorBidi" w:cstheme="majorBidi"/>
                <w:noProof/>
                <w:lang w:eastAsia="zh-CN"/>
              </w:rPr>
              <w:t>Assumed all interventions for total outpatient attendances, excluding paediatric (and related) items; weighted by FCEs</w:t>
            </w:r>
          </w:p>
        </w:tc>
        <w:tc>
          <w:tcPr>
            <w:tcW w:w="1708" w:type="dxa"/>
            <w:vMerge/>
          </w:tcPr>
          <w:p w14:paraId="7F9EB246" w14:textId="77777777" w:rsidR="00443709" w:rsidRPr="006E39B6" w:rsidRDefault="00443709" w:rsidP="00027E27">
            <w:pPr>
              <w:spacing w:after="0" w:line="221" w:lineRule="auto"/>
              <w:ind w:left="0"/>
              <w:rPr>
                <w:rFonts w:asciiTheme="majorBidi" w:eastAsiaTheme="minorEastAsia" w:hAnsiTheme="majorBidi" w:cstheme="majorBidi"/>
                <w:noProof/>
                <w:lang w:eastAsia="zh-CN"/>
              </w:rPr>
            </w:pPr>
          </w:p>
        </w:tc>
      </w:tr>
      <w:tr w:rsidR="00443709" w:rsidRPr="006E39B6" w14:paraId="4D653C00" w14:textId="77777777" w:rsidTr="00564DD1">
        <w:tc>
          <w:tcPr>
            <w:tcW w:w="1521" w:type="dxa"/>
            <w:vMerge/>
          </w:tcPr>
          <w:p w14:paraId="1AD1DD15"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p>
        </w:tc>
        <w:tc>
          <w:tcPr>
            <w:tcW w:w="3850" w:type="dxa"/>
          </w:tcPr>
          <w:p w14:paraId="001B1D3D" w14:textId="77777777" w:rsidR="00443709" w:rsidRPr="006E39B6" w:rsidRDefault="00443709" w:rsidP="00027E27">
            <w:pPr>
              <w:spacing w:after="0" w:line="221" w:lineRule="auto"/>
              <w:ind w:left="0"/>
              <w:rPr>
                <w:rFonts w:asciiTheme="majorBidi" w:eastAsiaTheme="minorEastAsia" w:hAnsiTheme="majorBidi" w:cstheme="majorBidi"/>
                <w:noProof/>
                <w:color w:val="000000"/>
                <w:lang w:eastAsia="zh-CN"/>
              </w:rPr>
            </w:pPr>
            <w:r w:rsidRPr="006E39B6">
              <w:rPr>
                <w:rFonts w:asciiTheme="majorBidi" w:eastAsiaTheme="minorEastAsia" w:hAnsiTheme="majorBidi" w:cstheme="majorBidi"/>
                <w:noProof/>
                <w:color w:val="000000"/>
                <w:lang w:eastAsia="zh-CN"/>
              </w:rPr>
              <w:t>Transplant</w:t>
            </w:r>
          </w:p>
        </w:tc>
        <w:tc>
          <w:tcPr>
            <w:tcW w:w="1721" w:type="dxa"/>
          </w:tcPr>
          <w:p w14:paraId="2B3D5FE3" w14:textId="585DA3DE" w:rsidR="00443709" w:rsidRPr="006E39B6" w:rsidRDefault="00CA1666" w:rsidP="00027E27">
            <w:pPr>
              <w:spacing w:after="0" w:line="221" w:lineRule="auto"/>
              <w:ind w:left="0"/>
              <w:rPr>
                <w:rFonts w:asciiTheme="majorBidi" w:eastAsiaTheme="minorEastAsia" w:hAnsiTheme="majorBidi" w:cstheme="majorBidi"/>
                <w:noProof/>
                <w:color w:val="000000"/>
                <w:lang w:eastAsia="zh-CN"/>
              </w:rPr>
            </w:pPr>
            <w:r w:rsidRPr="00CA1666">
              <w:rPr>
                <w:rFonts w:asciiTheme="majorBidi" w:eastAsiaTheme="minorEastAsia" w:hAnsiTheme="majorBidi" w:cstheme="majorBidi"/>
                <w:noProof/>
                <w:color w:val="000000"/>
                <w:lang w:eastAsia="zh-CN"/>
              </w:rPr>
              <w:t>88,823.49</w:t>
            </w:r>
          </w:p>
        </w:tc>
        <w:tc>
          <w:tcPr>
            <w:tcW w:w="5557" w:type="dxa"/>
          </w:tcPr>
          <w:p w14:paraId="6C94602E" w14:textId="77777777" w:rsidR="00443709" w:rsidRPr="006E39B6" w:rsidRDefault="00443709" w:rsidP="00027E27">
            <w:pPr>
              <w:spacing w:after="0" w:line="221" w:lineRule="auto"/>
              <w:ind w:left="0"/>
              <w:rPr>
                <w:rFonts w:asciiTheme="majorBidi" w:eastAsiaTheme="minorEastAsia" w:hAnsiTheme="majorBidi" w:cstheme="majorBidi"/>
                <w:noProof/>
                <w:color w:val="FF0000"/>
                <w:lang w:eastAsia="zh-CN"/>
              </w:rPr>
            </w:pPr>
            <w:r w:rsidRPr="006E39B6">
              <w:rPr>
                <w:rFonts w:asciiTheme="majorBidi" w:eastAsiaTheme="minorEastAsia" w:hAnsiTheme="majorBidi" w:cstheme="majorBidi"/>
                <w:noProof/>
                <w:lang w:eastAsia="zh-CN"/>
              </w:rPr>
              <w:t>Assumed the costs of total services for lung and heart and lung transplants (elective inpatient, elective inpatient excess bed-days and non-elective long stay, codes DZ01Z and ED01Z); weighted by FCEs</w:t>
            </w:r>
          </w:p>
        </w:tc>
        <w:tc>
          <w:tcPr>
            <w:tcW w:w="1708" w:type="dxa"/>
          </w:tcPr>
          <w:p w14:paraId="133AAF56" w14:textId="1B646620" w:rsidR="00443709" w:rsidRPr="006E39B6" w:rsidRDefault="00443709" w:rsidP="00066179">
            <w:pPr>
              <w:spacing w:after="0" w:line="221" w:lineRule="auto"/>
              <w:ind w:left="0"/>
              <w:rPr>
                <w:rFonts w:asciiTheme="majorBidi" w:eastAsiaTheme="minorEastAsia" w:hAnsiTheme="majorBidi" w:cstheme="majorBidi"/>
                <w:noProof/>
                <w:lang w:eastAsia="zh-CN"/>
              </w:rPr>
            </w:pPr>
            <w:r w:rsidRPr="006E39B6">
              <w:rPr>
                <w:rFonts w:asciiTheme="majorBidi" w:eastAsiaTheme="minorEastAsia" w:hAnsiTheme="majorBidi" w:cstheme="majorBidi"/>
                <w:noProof/>
                <w:color w:val="000000"/>
                <w:lang w:eastAsia="zh-CN"/>
              </w:rPr>
              <w:t xml:space="preserve">NHS Reference Costs </w:t>
            </w:r>
            <w:r w:rsidR="00CA1666">
              <w:rPr>
                <w:rFonts w:asciiTheme="majorBidi" w:eastAsiaTheme="minorEastAsia" w:hAnsiTheme="majorBidi" w:cstheme="majorBidi"/>
                <w:noProof/>
                <w:color w:val="000000"/>
                <w:lang w:eastAsia="zh-CN"/>
              </w:rPr>
              <w:t>2020/2021</w:t>
            </w:r>
            <w:r w:rsidR="00066179">
              <w:rPr>
                <w:rFonts w:asciiTheme="majorBidi" w:eastAsiaTheme="minorEastAsia" w:hAnsiTheme="majorBidi" w:cstheme="majorBidi"/>
                <w:noProof/>
                <w:color w:val="000000"/>
                <w:lang w:eastAsia="zh-CN"/>
              </w:rPr>
              <w:t xml:space="preserve"> </w:t>
            </w:r>
            <w:r w:rsidR="007901B7">
              <w:rPr>
                <w:rFonts w:asciiTheme="majorBidi" w:eastAsiaTheme="minorEastAsia" w:hAnsiTheme="majorBidi" w:cstheme="majorBidi"/>
                <w:noProof/>
                <w:color w:val="000000"/>
                <w:lang w:eastAsia="zh-CN"/>
              </w:rPr>
              <w:fldChar w:fldCharType="begin"/>
            </w:r>
            <w:r w:rsidR="00D25A74">
              <w:rPr>
                <w:rFonts w:asciiTheme="majorBidi" w:eastAsiaTheme="minorEastAsia" w:hAnsiTheme="majorBidi" w:cstheme="majorBidi"/>
                <w:noProof/>
                <w:color w:val="000000"/>
                <w:lang w:eastAsia="zh-CN"/>
              </w:rPr>
              <w:instrText xml:space="preserve"> ADDIN EN.CITE &lt;EndNote&gt;&lt;Cite&gt;&lt;Author&gt;Department of Health&lt;/Author&gt;&lt;Year&gt;2018&lt;/Year&gt;&lt;RecNum&gt;15&lt;/RecNum&gt;&lt;DisplayText&gt;(4)&lt;/DisplayText&gt;&lt;record&gt;&lt;rec-number&gt;15&lt;/rec-number&gt;&lt;foreign-keys&gt;&lt;key app="EN" db-id="ex5prv2vwatev4ed2s8pswvcat9v92xa0ape" timestamp="1648809832"&gt;15&lt;/key&gt;&lt;/foreign-keys&gt;&lt;ref-type name="Report"&gt;27&lt;/ref-type&gt;&lt;contributors&gt;&lt;authors&gt;&lt;author&gt;Department of Health,&lt;/author&gt;&lt;/authors&gt;&lt;tertiary-authors&gt;&lt;author&gt;DH&lt;/author&gt;&lt;/tertiary-authors&gt;&lt;/contributors&gt;&lt;titles&gt;&lt;title&gt;NHS Reference Costs 2017/18&lt;/title&gt;&lt;/titles&gt;&lt;dates&gt;&lt;year&gt;2018&lt;/year&gt;&lt;/dates&gt;&lt;urls&gt;&lt;related-urls&gt;&lt;url&gt;Available from: https://improvement.nhs.uk/resources/reference-costs/ (accessed 09/12/2019)&lt;/url&gt;&lt;/related-urls&gt;&lt;/urls&gt;&lt;/record&gt;&lt;/Cite&gt;&lt;/EndNote&gt;</w:instrText>
            </w:r>
            <w:r w:rsidR="007901B7">
              <w:rPr>
                <w:rFonts w:asciiTheme="majorBidi" w:eastAsiaTheme="minorEastAsia" w:hAnsiTheme="majorBidi" w:cstheme="majorBidi"/>
                <w:noProof/>
                <w:color w:val="000000"/>
                <w:lang w:eastAsia="zh-CN"/>
              </w:rPr>
              <w:fldChar w:fldCharType="separate"/>
            </w:r>
            <w:r w:rsidR="00D25A74">
              <w:rPr>
                <w:rFonts w:asciiTheme="majorBidi" w:eastAsiaTheme="minorEastAsia" w:hAnsiTheme="majorBidi" w:cstheme="majorBidi"/>
                <w:noProof/>
                <w:color w:val="000000"/>
                <w:lang w:eastAsia="zh-CN"/>
              </w:rPr>
              <w:t>(4)</w:t>
            </w:r>
            <w:r w:rsidR="007901B7">
              <w:rPr>
                <w:rFonts w:asciiTheme="majorBidi" w:eastAsiaTheme="minorEastAsia" w:hAnsiTheme="majorBidi" w:cstheme="majorBidi"/>
                <w:noProof/>
                <w:color w:val="000000"/>
                <w:lang w:eastAsia="zh-CN"/>
              </w:rPr>
              <w:fldChar w:fldCharType="end"/>
            </w:r>
          </w:p>
        </w:tc>
      </w:tr>
    </w:tbl>
    <w:p w14:paraId="3FBBA9F6" w14:textId="4B5EC56C" w:rsidR="00443709" w:rsidRPr="00564DD1" w:rsidRDefault="00564DD1" w:rsidP="00564DD1">
      <w:pPr>
        <w:spacing w:after="0" w:line="216" w:lineRule="auto"/>
        <w:ind w:left="0"/>
        <w:rPr>
          <w:rFonts w:asciiTheme="majorBidi" w:hAnsiTheme="majorBidi" w:cstheme="majorBidi"/>
          <w:i/>
          <w:iCs/>
          <w:sz w:val="20"/>
          <w:szCs w:val="20"/>
        </w:rPr>
      </w:pPr>
      <w:r>
        <w:rPr>
          <w:rFonts w:asciiTheme="majorBidi" w:hAnsiTheme="majorBidi" w:cstheme="majorBidi"/>
          <w:i/>
          <w:iCs/>
          <w:sz w:val="20"/>
          <w:szCs w:val="20"/>
        </w:rPr>
        <w:t xml:space="preserve">Abbreviations: </w:t>
      </w:r>
      <w:r w:rsidR="00443709" w:rsidRPr="006E39B6">
        <w:rPr>
          <w:rFonts w:asciiTheme="majorBidi" w:hAnsiTheme="majorBidi" w:cstheme="majorBidi"/>
          <w:i/>
          <w:iCs/>
          <w:sz w:val="20"/>
          <w:szCs w:val="20"/>
        </w:rPr>
        <w:t xml:space="preserve">A&amp;E, </w:t>
      </w:r>
      <w:proofErr w:type="gramStart"/>
      <w:r w:rsidR="00443709" w:rsidRPr="006E39B6">
        <w:rPr>
          <w:rFonts w:asciiTheme="majorBidi" w:hAnsiTheme="majorBidi" w:cstheme="majorBidi"/>
          <w:i/>
          <w:iCs/>
          <w:sz w:val="20"/>
          <w:szCs w:val="20"/>
        </w:rPr>
        <w:t>accident</w:t>
      </w:r>
      <w:proofErr w:type="gramEnd"/>
      <w:r w:rsidR="00443709" w:rsidRPr="006E39B6">
        <w:rPr>
          <w:rFonts w:asciiTheme="majorBidi" w:hAnsiTheme="majorBidi" w:cstheme="majorBidi"/>
          <w:i/>
          <w:iCs/>
          <w:sz w:val="20"/>
          <w:szCs w:val="20"/>
        </w:rPr>
        <w:t xml:space="preserve"> and emergency; FCE, finished consultant episode; GP, general practitioner; N/A (CD) – data not available for being confidential commercial </w:t>
      </w:r>
      <w:r w:rsidR="00443709" w:rsidRPr="00564DD1">
        <w:rPr>
          <w:rFonts w:asciiTheme="majorBidi" w:hAnsiTheme="majorBidi" w:cstheme="majorBidi"/>
          <w:i/>
          <w:iCs/>
          <w:sz w:val="20"/>
          <w:szCs w:val="20"/>
        </w:rPr>
        <w:t xml:space="preserve">data; ScHARR, School of Health and Related Research. </w:t>
      </w:r>
    </w:p>
    <w:p w14:paraId="1D7413AB" w14:textId="77777777" w:rsidR="00443709" w:rsidRPr="00564DD1" w:rsidRDefault="00443709" w:rsidP="00564DD1">
      <w:pPr>
        <w:spacing w:after="0" w:line="216" w:lineRule="auto"/>
        <w:ind w:left="0"/>
        <w:rPr>
          <w:rFonts w:asciiTheme="majorBidi" w:eastAsiaTheme="minorEastAsia" w:hAnsiTheme="majorBidi" w:cstheme="majorBidi"/>
          <w:i/>
          <w:iCs/>
          <w:noProof/>
          <w:color w:val="000000"/>
          <w:sz w:val="20"/>
          <w:szCs w:val="20"/>
          <w:lang w:eastAsia="zh-CN"/>
        </w:rPr>
      </w:pPr>
      <w:r w:rsidRPr="00564DD1">
        <w:rPr>
          <w:rFonts w:asciiTheme="majorBidi" w:eastAsiaTheme="minorEastAsia" w:hAnsiTheme="majorBidi" w:cstheme="majorBidi"/>
          <w:i/>
          <w:iCs/>
          <w:noProof/>
          <w:color w:val="000000"/>
          <w:sz w:val="20"/>
          <w:szCs w:val="20"/>
          <w:lang w:eastAsia="zh-CN"/>
        </w:rPr>
        <w:t xml:space="preserve">* Unit costs presented by dose. </w:t>
      </w:r>
    </w:p>
    <w:p w14:paraId="09233DAC" w14:textId="77777777" w:rsidR="00443709" w:rsidRPr="00564DD1" w:rsidRDefault="00443709" w:rsidP="00564DD1">
      <w:pPr>
        <w:spacing w:after="0" w:line="216" w:lineRule="auto"/>
        <w:ind w:left="0"/>
        <w:rPr>
          <w:rFonts w:asciiTheme="majorBidi" w:eastAsiaTheme="minorEastAsia" w:hAnsiTheme="majorBidi" w:cstheme="majorBidi"/>
          <w:i/>
          <w:iCs/>
          <w:noProof/>
          <w:color w:val="000000"/>
          <w:sz w:val="20"/>
          <w:szCs w:val="20"/>
          <w:lang w:eastAsia="zh-CN"/>
        </w:rPr>
      </w:pPr>
      <w:r w:rsidRPr="00564DD1">
        <w:rPr>
          <w:rFonts w:asciiTheme="majorBidi" w:eastAsiaTheme="minorEastAsia" w:hAnsiTheme="majorBidi" w:cstheme="majorBidi"/>
          <w:i/>
          <w:iCs/>
          <w:noProof/>
          <w:color w:val="000000"/>
          <w:sz w:val="20"/>
          <w:szCs w:val="20"/>
          <w:lang w:eastAsia="zh-CN"/>
        </w:rPr>
        <w:t>‡ the costs for each nebulised drug was calculated by weighting the estimated annual cost by the proportion of patients in CF registry; the lowest pack price  between the NHS indicative and drug tariff prices from BNF for the correspondent dosage was used.</w:t>
      </w:r>
    </w:p>
    <w:p w14:paraId="2801ABF4" w14:textId="77777777" w:rsidR="00443709" w:rsidRPr="00564DD1" w:rsidRDefault="00443709" w:rsidP="00564DD1">
      <w:pPr>
        <w:spacing w:after="0" w:line="216" w:lineRule="auto"/>
        <w:ind w:left="0"/>
        <w:rPr>
          <w:rFonts w:asciiTheme="majorBidi" w:eastAsiaTheme="minorEastAsia" w:hAnsiTheme="majorBidi" w:cstheme="majorBidi"/>
          <w:i/>
          <w:iCs/>
          <w:noProof/>
          <w:sz w:val="20"/>
          <w:szCs w:val="20"/>
          <w:lang w:eastAsia="zh-CN"/>
        </w:rPr>
      </w:pPr>
      <w:r w:rsidRPr="00564DD1">
        <w:rPr>
          <w:rFonts w:asciiTheme="majorBidi" w:hAnsiTheme="majorBidi" w:cstheme="majorBidi"/>
          <w:i/>
          <w:iCs/>
          <w:sz w:val="20"/>
          <w:szCs w:val="20"/>
          <w:vertAlign w:val="superscript"/>
        </w:rPr>
        <w:t>a</w:t>
      </w:r>
      <w:r w:rsidRPr="00564DD1">
        <w:rPr>
          <w:rFonts w:asciiTheme="majorBidi" w:hAnsiTheme="majorBidi" w:cstheme="majorBidi"/>
          <w:i/>
          <w:iCs/>
          <w:sz w:val="20"/>
          <w:szCs w:val="20"/>
        </w:rPr>
        <w:t xml:space="preserve"> </w:t>
      </w:r>
      <w:r w:rsidRPr="00564DD1">
        <w:rPr>
          <w:rFonts w:asciiTheme="majorBidi" w:eastAsiaTheme="minorEastAsia" w:hAnsiTheme="majorBidi" w:cstheme="majorBidi"/>
          <w:i/>
          <w:iCs/>
          <w:noProof/>
          <w:color w:val="000000"/>
          <w:sz w:val="20"/>
          <w:szCs w:val="20"/>
          <w:lang w:eastAsia="zh-CN"/>
        </w:rPr>
        <w:t>–</w:t>
      </w:r>
      <w:r w:rsidRPr="00564DD1">
        <w:rPr>
          <w:rFonts w:asciiTheme="majorBidi" w:hAnsiTheme="majorBidi" w:cstheme="majorBidi"/>
          <w:i/>
          <w:iCs/>
          <w:sz w:val="20"/>
          <w:szCs w:val="20"/>
        </w:rPr>
        <w:t xml:space="preserve"> </w:t>
      </w:r>
      <w:r w:rsidRPr="00564DD1">
        <w:rPr>
          <w:rFonts w:asciiTheme="majorBidi" w:eastAsiaTheme="minorEastAsia" w:hAnsiTheme="majorBidi" w:cstheme="majorBidi"/>
          <w:i/>
          <w:iCs/>
          <w:noProof/>
          <w:sz w:val="20"/>
          <w:szCs w:val="20"/>
          <w:lang w:eastAsia="zh-CN"/>
        </w:rPr>
        <w:t xml:space="preserve">Misbah Tahir, Clinical Pharmacists, Sheffield Teaching Hospitals NHS Foundation Trust; </w:t>
      </w:r>
    </w:p>
    <w:p w14:paraId="632E7985" w14:textId="77777777" w:rsidR="00443709" w:rsidRPr="00564DD1" w:rsidRDefault="00443709" w:rsidP="00564DD1">
      <w:pPr>
        <w:spacing w:after="0" w:line="216" w:lineRule="auto"/>
        <w:ind w:left="0"/>
        <w:rPr>
          <w:rFonts w:asciiTheme="majorBidi" w:eastAsiaTheme="minorEastAsia" w:hAnsiTheme="majorBidi" w:cstheme="majorBidi"/>
          <w:i/>
          <w:iCs/>
          <w:noProof/>
          <w:color w:val="000000"/>
          <w:sz w:val="20"/>
          <w:szCs w:val="20"/>
          <w:lang w:eastAsia="zh-CN"/>
        </w:rPr>
      </w:pPr>
      <w:r w:rsidRPr="00564DD1">
        <w:rPr>
          <w:rFonts w:asciiTheme="majorBidi" w:eastAsiaTheme="minorEastAsia" w:hAnsiTheme="majorBidi" w:cstheme="majorBidi"/>
          <w:i/>
          <w:iCs/>
          <w:noProof/>
          <w:sz w:val="20"/>
          <w:szCs w:val="20"/>
          <w:vertAlign w:val="superscript"/>
          <w:lang w:eastAsia="zh-CN"/>
        </w:rPr>
        <w:t>b</w:t>
      </w:r>
      <w:r w:rsidRPr="00564DD1">
        <w:rPr>
          <w:rFonts w:asciiTheme="majorBidi" w:eastAsiaTheme="minorEastAsia" w:hAnsiTheme="majorBidi" w:cstheme="majorBidi"/>
          <w:i/>
          <w:iCs/>
          <w:noProof/>
          <w:sz w:val="20"/>
          <w:szCs w:val="20"/>
          <w:lang w:eastAsia="zh-CN"/>
        </w:rPr>
        <w:t xml:space="preserve"> </w:t>
      </w:r>
      <w:r w:rsidRPr="00564DD1">
        <w:rPr>
          <w:rFonts w:asciiTheme="majorBidi" w:eastAsiaTheme="minorEastAsia" w:hAnsiTheme="majorBidi" w:cstheme="majorBidi"/>
          <w:i/>
          <w:iCs/>
          <w:noProof/>
          <w:color w:val="000000"/>
          <w:sz w:val="20"/>
          <w:szCs w:val="20"/>
          <w:lang w:eastAsia="zh-CN"/>
        </w:rPr>
        <w:t>–</w:t>
      </w:r>
      <w:r w:rsidRPr="00564DD1">
        <w:rPr>
          <w:rFonts w:asciiTheme="majorBidi" w:eastAsiaTheme="minorEastAsia" w:hAnsiTheme="majorBidi" w:cstheme="majorBidi"/>
          <w:i/>
          <w:iCs/>
          <w:noProof/>
          <w:sz w:val="20"/>
          <w:szCs w:val="20"/>
          <w:lang w:eastAsia="zh-CN"/>
        </w:rPr>
        <w:t xml:space="preserve"> </w:t>
      </w:r>
      <w:r w:rsidRPr="00564DD1">
        <w:rPr>
          <w:rFonts w:asciiTheme="majorBidi" w:eastAsiaTheme="minorEastAsia" w:hAnsiTheme="majorBidi" w:cstheme="majorBidi"/>
          <w:i/>
          <w:iCs/>
          <w:noProof/>
          <w:color w:val="000000"/>
          <w:sz w:val="20"/>
          <w:szCs w:val="20"/>
          <w:lang w:eastAsia="zh-CN"/>
        </w:rPr>
        <w:t>Martin Wildman, Consultant in Respiratory Medicine and Adult Cystic Fibrosis, Northern General Hospital, Sheffield Teaching Hospitals NHS Foundation Trust and Honorary Reader, School of Health and Related Research (ScHARR), University of Sheffield.</w:t>
      </w:r>
    </w:p>
    <w:p w14:paraId="08F8C0E8" w14:textId="77777777" w:rsidR="00443709" w:rsidRPr="00564DD1" w:rsidRDefault="00443709" w:rsidP="00564DD1">
      <w:pPr>
        <w:spacing w:after="0" w:line="216" w:lineRule="auto"/>
        <w:ind w:left="0"/>
        <w:rPr>
          <w:rFonts w:asciiTheme="majorBidi" w:eastAsiaTheme="minorEastAsia" w:hAnsiTheme="majorBidi" w:cstheme="majorBidi"/>
          <w:b/>
          <w:i/>
          <w:iCs/>
          <w:noProof/>
          <w:szCs w:val="18"/>
          <w:lang w:eastAsia="zh-CN"/>
        </w:rPr>
        <w:sectPr w:rsidR="00443709" w:rsidRPr="00564DD1" w:rsidSect="00DD4864">
          <w:pgSz w:w="16838" w:h="11906" w:orient="landscape"/>
          <w:pgMar w:top="1440" w:right="1440" w:bottom="1440" w:left="1440" w:header="708" w:footer="708" w:gutter="0"/>
          <w:cols w:space="708"/>
          <w:docGrid w:linePitch="360"/>
        </w:sectPr>
      </w:pPr>
      <w:r w:rsidRPr="00564DD1">
        <w:rPr>
          <w:rFonts w:asciiTheme="majorBidi" w:eastAsiaTheme="minorEastAsia" w:hAnsiTheme="majorBidi" w:cstheme="majorBidi"/>
          <w:i/>
          <w:iCs/>
          <w:noProof/>
          <w:color w:val="000000"/>
          <w:sz w:val="20"/>
          <w:szCs w:val="20"/>
          <w:vertAlign w:val="superscript"/>
          <w:lang w:eastAsia="zh-CN"/>
        </w:rPr>
        <w:t>c</w:t>
      </w:r>
      <w:r w:rsidRPr="00564DD1">
        <w:rPr>
          <w:rFonts w:asciiTheme="majorBidi" w:eastAsiaTheme="minorEastAsia" w:hAnsiTheme="majorBidi" w:cstheme="majorBidi"/>
          <w:i/>
          <w:iCs/>
          <w:noProof/>
          <w:color w:val="000000"/>
          <w:sz w:val="20"/>
          <w:szCs w:val="20"/>
          <w:lang w:eastAsia="zh-CN"/>
        </w:rPr>
        <w:t xml:space="preserve"> – Chin Maguire, Clinical Trials Research Unit, School of Health and Related Research (ScHARR), University of Sheffield.</w:t>
      </w:r>
    </w:p>
    <w:p w14:paraId="4A0D32BD" w14:textId="77777777" w:rsidR="00443709" w:rsidRPr="00E8637A" w:rsidRDefault="00443709" w:rsidP="00443709">
      <w:pPr>
        <w:spacing w:after="0"/>
        <w:ind w:left="0"/>
        <w:rPr>
          <w:rFonts w:asciiTheme="majorBidi" w:eastAsiaTheme="minorEastAsia" w:hAnsiTheme="majorBidi" w:cstheme="majorBidi"/>
          <w:b/>
          <w:iCs/>
          <w:noProof/>
          <w:szCs w:val="18"/>
          <w:lang w:eastAsia="zh-CN"/>
        </w:rPr>
      </w:pPr>
      <w:r w:rsidRPr="00E8637A">
        <w:rPr>
          <w:rFonts w:asciiTheme="majorBidi" w:eastAsiaTheme="minorEastAsia" w:hAnsiTheme="majorBidi" w:cstheme="majorBidi"/>
          <w:b/>
          <w:iCs/>
          <w:noProof/>
          <w:szCs w:val="18"/>
          <w:lang w:eastAsia="zh-CN"/>
        </w:rPr>
        <w:lastRenderedPageBreak/>
        <w:t>2. Model validation</w:t>
      </w:r>
    </w:p>
    <w:p w14:paraId="776047CF" w14:textId="77777777" w:rsidR="00443709" w:rsidRPr="00E8637A" w:rsidRDefault="00443709" w:rsidP="00443709">
      <w:pPr>
        <w:pStyle w:val="Heading2"/>
        <w:spacing w:before="0"/>
        <w:rPr>
          <w:noProof/>
          <w:sz w:val="22"/>
          <w:szCs w:val="22"/>
          <w:lang w:eastAsia="zh-CN"/>
        </w:rPr>
      </w:pPr>
      <w:r w:rsidRPr="00E8637A">
        <w:rPr>
          <w:noProof/>
          <w:sz w:val="22"/>
          <w:szCs w:val="22"/>
          <w:lang w:eastAsia="zh-CN"/>
        </w:rPr>
        <w:t>(a) Multistate model prevalence plots, observed versus expected, by age-category</w:t>
      </w:r>
    </w:p>
    <w:p w14:paraId="43AFD785" w14:textId="670CB397" w:rsidR="00443709" w:rsidRPr="00F152E8" w:rsidRDefault="00443709" w:rsidP="00443709">
      <w:pPr>
        <w:pStyle w:val="BodyText1"/>
        <w:spacing w:after="0"/>
        <w:rPr>
          <w:noProof/>
          <w:sz w:val="22"/>
        </w:rPr>
      </w:pPr>
      <w:bookmarkStart w:id="0" w:name="_Ref26350343"/>
      <w:bookmarkStart w:id="1" w:name="_Toc28008901"/>
      <w:r>
        <w:rPr>
          <w:noProof/>
          <w:sz w:val="22"/>
        </w:rPr>
        <w:t>Figures S1 to S5 show comparisons of the msm predictions against the obs</w:t>
      </w:r>
      <w:r w:rsidR="00066179">
        <w:rPr>
          <w:noProof/>
          <w:sz w:val="22"/>
        </w:rPr>
        <w:t xml:space="preserve">erved data from the CF Registry </w:t>
      </w:r>
      <w:r w:rsidR="007901B7">
        <w:rPr>
          <w:noProof/>
          <w:sz w:val="22"/>
        </w:rPr>
        <w:fldChar w:fldCharType="begin"/>
      </w:r>
      <w:r w:rsidR="00D25A74">
        <w:rPr>
          <w:noProof/>
          <w:sz w:val="22"/>
        </w:rPr>
        <w:instrText xml:space="preserve"> ADDIN EN.CITE &lt;EndNote&gt;&lt;Cite&gt;&lt;Author&gt;Cystic Fibrosis Trust&lt;/Author&gt;&lt;Year&gt;2019&lt;/Year&gt;&lt;RecNum&gt;18&lt;/RecNum&gt;&lt;DisplayText&gt;(5)&lt;/DisplayText&gt;&lt;record&gt;&lt;rec-number&gt;18&lt;/rec-number&gt;&lt;foreign-keys&gt;&lt;key app="EN" db-id="2a5wdezt2rrtpoevxpnxree4wprzrre2vzvs" timestamp="1668703979"&gt;18&lt;/key&gt;&lt;/foreign-keys&gt;&lt;ref-type name="Report"&gt;27&lt;/ref-type&gt;&lt;contributors&gt;&lt;authors&gt;&lt;author&gt;Cystic Fibrosis Trust,&lt;/author&gt;&lt;/authors&gt;&lt;tertiary-authors&gt;&lt;author&gt;CF Trust&lt;/author&gt;&lt;/tertiary-authors&gt;&lt;/contributors&gt;&lt;titles&gt;&lt;title&gt;CF Registry bespoke dataset (years 2006-2015; data held on file)&lt;/title&gt;&lt;/titles&gt;&lt;dates&gt;&lt;year&gt;2019&lt;/year&gt;&lt;/dates&gt;&lt;pub-location&gt;London&lt;/pub-location&gt;&lt;urls&gt;&lt;/urls&gt;&lt;/record&gt;&lt;/Cite&gt;&lt;/EndNote&gt;</w:instrText>
      </w:r>
      <w:r w:rsidR="007901B7">
        <w:rPr>
          <w:noProof/>
          <w:sz w:val="22"/>
        </w:rPr>
        <w:fldChar w:fldCharType="separate"/>
      </w:r>
      <w:r w:rsidR="00D25A74">
        <w:rPr>
          <w:noProof/>
          <w:sz w:val="22"/>
        </w:rPr>
        <w:t>(5)</w:t>
      </w:r>
      <w:r w:rsidR="007901B7">
        <w:rPr>
          <w:noProof/>
          <w:sz w:val="22"/>
        </w:rPr>
        <w:fldChar w:fldCharType="end"/>
      </w:r>
      <w:r w:rsidR="00066179">
        <w:rPr>
          <w:noProof/>
          <w:sz w:val="22"/>
        </w:rPr>
        <w:t>.</w:t>
      </w:r>
    </w:p>
    <w:p w14:paraId="4BEBE4F4" w14:textId="77777777" w:rsidR="00443709" w:rsidRDefault="00443709" w:rsidP="00443709">
      <w:pPr>
        <w:pStyle w:val="BodyText1"/>
        <w:spacing w:after="0"/>
        <w:rPr>
          <w:b/>
          <w:noProof/>
          <w:sz w:val="22"/>
        </w:rPr>
      </w:pPr>
    </w:p>
    <w:p w14:paraId="33BB441A" w14:textId="77777777" w:rsidR="00443709" w:rsidRPr="00E8637A" w:rsidRDefault="00443709" w:rsidP="00443709">
      <w:pPr>
        <w:pStyle w:val="BodyText1"/>
        <w:spacing w:after="0"/>
        <w:rPr>
          <w:b/>
          <w:noProof/>
        </w:rPr>
      </w:pPr>
      <w:r w:rsidRPr="00E8637A">
        <w:rPr>
          <w:b/>
          <w:noProof/>
          <w:sz w:val="22"/>
        </w:rPr>
        <w:t xml:space="preserve">Figure </w:t>
      </w:r>
      <w:bookmarkEnd w:id="0"/>
      <w:r>
        <w:rPr>
          <w:b/>
          <w:noProof/>
          <w:sz w:val="22"/>
        </w:rPr>
        <w:t>S1</w:t>
      </w:r>
      <w:r w:rsidRPr="00E8637A">
        <w:rPr>
          <w:b/>
          <w:noProof/>
          <w:sz w:val="22"/>
        </w:rPr>
        <w:t xml:space="preserve">: </w:t>
      </w:r>
      <w:r w:rsidRPr="00E8637A">
        <w:rPr>
          <w:b/>
          <w:i/>
          <w:iCs/>
          <w:noProof/>
          <w:sz w:val="22"/>
        </w:rPr>
        <w:t>msm</w:t>
      </w:r>
      <w:r w:rsidRPr="00E8637A">
        <w:rPr>
          <w:b/>
          <w:noProof/>
          <w:sz w:val="22"/>
        </w:rPr>
        <w:t xml:space="preserve"> prevalence plots age 30-34 years</w:t>
      </w:r>
      <w:bookmarkEnd w:id="1"/>
    </w:p>
    <w:p w14:paraId="32305CA8" w14:textId="77777777" w:rsidR="00443709" w:rsidRPr="000B6DAB" w:rsidRDefault="00443709" w:rsidP="00443709">
      <w:pPr>
        <w:spacing w:after="160" w:line="259" w:lineRule="auto"/>
        <w:ind w:left="0"/>
        <w:rPr>
          <w:rFonts w:asciiTheme="majorBidi" w:eastAsiaTheme="minorEastAsia" w:hAnsiTheme="majorBidi" w:cstheme="majorBidi"/>
          <w:noProof/>
          <w:lang w:eastAsia="zh-CN"/>
        </w:rPr>
      </w:pPr>
      <w:r w:rsidRPr="000B6DAB">
        <w:rPr>
          <w:rFonts w:asciiTheme="majorBidi" w:eastAsiaTheme="minorEastAsia" w:hAnsiTheme="majorBidi" w:cstheme="majorBidi"/>
          <w:noProof/>
          <w:lang w:eastAsia="en-GB"/>
        </w:rPr>
        <w:drawing>
          <wp:inline distT="0" distB="0" distL="0" distR="0" wp14:anchorId="6C0D28BC" wp14:editId="4FE0A669">
            <wp:extent cx="4982876" cy="3420000"/>
            <wp:effectExtent l="0" t="0" r="825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ot30-34.bmp"/>
                    <pic:cNvPicPr/>
                  </pic:nvPicPr>
                  <pic:blipFill>
                    <a:blip r:embed="rId5">
                      <a:extLst>
                        <a:ext uri="{28A0092B-C50C-407E-A947-70E740481C1C}">
                          <a14:useLocalDpi xmlns:a14="http://schemas.microsoft.com/office/drawing/2010/main" val="0"/>
                        </a:ext>
                      </a:extLst>
                    </a:blip>
                    <a:stretch>
                      <a:fillRect/>
                    </a:stretch>
                  </pic:blipFill>
                  <pic:spPr>
                    <a:xfrm>
                      <a:off x="0" y="0"/>
                      <a:ext cx="4982876" cy="3420000"/>
                    </a:xfrm>
                    <a:prstGeom prst="rect">
                      <a:avLst/>
                    </a:prstGeom>
                  </pic:spPr>
                </pic:pic>
              </a:graphicData>
            </a:graphic>
          </wp:inline>
        </w:drawing>
      </w:r>
    </w:p>
    <w:p w14:paraId="045F7040" w14:textId="77777777" w:rsidR="00443709" w:rsidRPr="00F152E8" w:rsidRDefault="00443709" w:rsidP="00443709">
      <w:pPr>
        <w:pStyle w:val="BodyText1"/>
        <w:spacing w:after="0"/>
        <w:rPr>
          <w:b/>
          <w:noProof/>
        </w:rPr>
      </w:pPr>
      <w:bookmarkStart w:id="2" w:name="_Ref26350345"/>
      <w:bookmarkStart w:id="3" w:name="_Toc28008902"/>
      <w:r w:rsidRPr="00F152E8">
        <w:rPr>
          <w:b/>
          <w:noProof/>
        </w:rPr>
        <w:t xml:space="preserve">Figure </w:t>
      </w:r>
      <w:bookmarkEnd w:id="2"/>
      <w:r>
        <w:rPr>
          <w:b/>
          <w:noProof/>
        </w:rPr>
        <w:t>S2</w:t>
      </w:r>
      <w:r w:rsidRPr="00F152E8">
        <w:rPr>
          <w:b/>
          <w:noProof/>
        </w:rPr>
        <w:t xml:space="preserve">: </w:t>
      </w:r>
      <w:r w:rsidRPr="00F152E8">
        <w:rPr>
          <w:b/>
          <w:i/>
          <w:iCs/>
          <w:noProof/>
        </w:rPr>
        <w:t>msm</w:t>
      </w:r>
      <w:r w:rsidRPr="00F152E8">
        <w:rPr>
          <w:b/>
          <w:noProof/>
        </w:rPr>
        <w:t xml:space="preserve"> prevalence plots age 35-39 years</w:t>
      </w:r>
      <w:bookmarkEnd w:id="3"/>
    </w:p>
    <w:p w14:paraId="5C620B35" w14:textId="77777777" w:rsidR="00443709" w:rsidRPr="000B6DAB" w:rsidRDefault="00443709" w:rsidP="00443709">
      <w:pPr>
        <w:spacing w:after="200" w:line="240" w:lineRule="auto"/>
        <w:ind w:left="0"/>
        <w:rPr>
          <w:rFonts w:asciiTheme="majorBidi" w:eastAsiaTheme="minorEastAsia" w:hAnsiTheme="majorBidi" w:cstheme="majorBidi"/>
          <w:i/>
          <w:iCs/>
          <w:noProof/>
          <w:color w:val="44546A" w:themeColor="text2"/>
          <w:lang w:eastAsia="zh-CN"/>
        </w:rPr>
      </w:pPr>
      <w:r w:rsidRPr="000B6DAB">
        <w:rPr>
          <w:rFonts w:asciiTheme="majorBidi" w:eastAsiaTheme="minorEastAsia" w:hAnsiTheme="majorBidi" w:cstheme="majorBidi"/>
          <w:i/>
          <w:iCs/>
          <w:noProof/>
          <w:color w:val="44546A" w:themeColor="text2"/>
          <w:lang w:eastAsia="en-GB"/>
        </w:rPr>
        <w:drawing>
          <wp:inline distT="0" distB="0" distL="0" distR="0" wp14:anchorId="785CFC8F" wp14:editId="2251E1CD">
            <wp:extent cx="4982876" cy="3420000"/>
            <wp:effectExtent l="0" t="0" r="825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vplot35-39.bmp"/>
                    <pic:cNvPicPr/>
                  </pic:nvPicPr>
                  <pic:blipFill>
                    <a:blip r:embed="rId6">
                      <a:extLst>
                        <a:ext uri="{28A0092B-C50C-407E-A947-70E740481C1C}">
                          <a14:useLocalDpi xmlns:a14="http://schemas.microsoft.com/office/drawing/2010/main" val="0"/>
                        </a:ext>
                      </a:extLst>
                    </a:blip>
                    <a:stretch>
                      <a:fillRect/>
                    </a:stretch>
                  </pic:blipFill>
                  <pic:spPr>
                    <a:xfrm>
                      <a:off x="0" y="0"/>
                      <a:ext cx="4982876" cy="3420000"/>
                    </a:xfrm>
                    <a:prstGeom prst="rect">
                      <a:avLst/>
                    </a:prstGeom>
                  </pic:spPr>
                </pic:pic>
              </a:graphicData>
            </a:graphic>
          </wp:inline>
        </w:drawing>
      </w:r>
    </w:p>
    <w:p w14:paraId="3854E6CB" w14:textId="77777777" w:rsidR="00443709" w:rsidRPr="00F152E8" w:rsidRDefault="00443709" w:rsidP="00443709">
      <w:pPr>
        <w:pStyle w:val="BodyText1"/>
        <w:rPr>
          <w:b/>
          <w:noProof/>
        </w:rPr>
      </w:pPr>
      <w:bookmarkStart w:id="4" w:name="_Ref26350347"/>
      <w:bookmarkStart w:id="5" w:name="_Toc28008903"/>
      <w:r w:rsidRPr="00F152E8">
        <w:rPr>
          <w:b/>
          <w:noProof/>
        </w:rPr>
        <w:lastRenderedPageBreak/>
        <w:t xml:space="preserve">Figure </w:t>
      </w:r>
      <w:bookmarkEnd w:id="4"/>
      <w:r>
        <w:rPr>
          <w:b/>
          <w:noProof/>
        </w:rPr>
        <w:t>S3</w:t>
      </w:r>
      <w:r w:rsidRPr="00F152E8">
        <w:rPr>
          <w:b/>
          <w:noProof/>
        </w:rPr>
        <w:t xml:space="preserve">: </w:t>
      </w:r>
      <w:r w:rsidRPr="00F152E8">
        <w:rPr>
          <w:b/>
          <w:i/>
          <w:iCs/>
          <w:noProof/>
        </w:rPr>
        <w:t>msm</w:t>
      </w:r>
      <w:r w:rsidRPr="00F152E8">
        <w:rPr>
          <w:b/>
          <w:noProof/>
        </w:rPr>
        <w:t xml:space="preserve"> prevalence plots age 40-44 years</w:t>
      </w:r>
      <w:bookmarkEnd w:id="5"/>
    </w:p>
    <w:p w14:paraId="2C26BADC" w14:textId="77777777" w:rsidR="00443709" w:rsidRPr="000B6DAB" w:rsidRDefault="00443709" w:rsidP="00443709">
      <w:pPr>
        <w:spacing w:after="200" w:line="240" w:lineRule="auto"/>
        <w:ind w:left="0"/>
        <w:rPr>
          <w:rFonts w:asciiTheme="majorBidi" w:eastAsiaTheme="minorEastAsia" w:hAnsiTheme="majorBidi" w:cstheme="majorBidi"/>
          <w:i/>
          <w:iCs/>
          <w:noProof/>
          <w:color w:val="44546A" w:themeColor="text2"/>
          <w:lang w:eastAsia="zh-CN"/>
        </w:rPr>
      </w:pPr>
      <w:r w:rsidRPr="000B6DAB">
        <w:rPr>
          <w:rFonts w:asciiTheme="majorBidi" w:eastAsiaTheme="minorEastAsia" w:hAnsiTheme="majorBidi" w:cstheme="majorBidi"/>
          <w:i/>
          <w:iCs/>
          <w:noProof/>
          <w:color w:val="44546A" w:themeColor="text2"/>
          <w:lang w:eastAsia="en-GB"/>
        </w:rPr>
        <w:drawing>
          <wp:inline distT="0" distB="0" distL="0" distR="0" wp14:anchorId="3A504605" wp14:editId="349B11C6">
            <wp:extent cx="4982876" cy="3420000"/>
            <wp:effectExtent l="0" t="0" r="825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0-44.bmp"/>
                    <pic:cNvPicPr/>
                  </pic:nvPicPr>
                  <pic:blipFill>
                    <a:blip r:embed="rId7">
                      <a:extLst>
                        <a:ext uri="{28A0092B-C50C-407E-A947-70E740481C1C}">
                          <a14:useLocalDpi xmlns:a14="http://schemas.microsoft.com/office/drawing/2010/main" val="0"/>
                        </a:ext>
                      </a:extLst>
                    </a:blip>
                    <a:stretch>
                      <a:fillRect/>
                    </a:stretch>
                  </pic:blipFill>
                  <pic:spPr>
                    <a:xfrm>
                      <a:off x="0" y="0"/>
                      <a:ext cx="4982876" cy="3420000"/>
                    </a:xfrm>
                    <a:prstGeom prst="rect">
                      <a:avLst/>
                    </a:prstGeom>
                  </pic:spPr>
                </pic:pic>
              </a:graphicData>
            </a:graphic>
          </wp:inline>
        </w:drawing>
      </w:r>
    </w:p>
    <w:p w14:paraId="64DB5DD7" w14:textId="77777777" w:rsidR="00443709" w:rsidRPr="00F152E8" w:rsidRDefault="00443709" w:rsidP="00443709">
      <w:pPr>
        <w:pStyle w:val="BodyText1"/>
        <w:rPr>
          <w:b/>
          <w:noProof/>
        </w:rPr>
      </w:pPr>
      <w:bookmarkStart w:id="6" w:name="_Ref26350349"/>
      <w:bookmarkStart w:id="7" w:name="_Toc28008904"/>
      <w:r w:rsidRPr="00F152E8">
        <w:rPr>
          <w:b/>
          <w:noProof/>
        </w:rPr>
        <w:t xml:space="preserve">Figure </w:t>
      </w:r>
      <w:bookmarkEnd w:id="6"/>
      <w:r>
        <w:rPr>
          <w:b/>
          <w:noProof/>
        </w:rPr>
        <w:t>S4</w:t>
      </w:r>
      <w:r w:rsidRPr="00F152E8">
        <w:rPr>
          <w:b/>
          <w:noProof/>
        </w:rPr>
        <w:t xml:space="preserve">: </w:t>
      </w:r>
      <w:r w:rsidRPr="00F152E8">
        <w:rPr>
          <w:b/>
          <w:i/>
          <w:iCs/>
          <w:noProof/>
        </w:rPr>
        <w:t>msm</w:t>
      </w:r>
      <w:r w:rsidRPr="00F152E8">
        <w:rPr>
          <w:b/>
          <w:noProof/>
        </w:rPr>
        <w:t xml:space="preserve"> prevalence plots age 45-49 years</w:t>
      </w:r>
      <w:bookmarkEnd w:id="7"/>
    </w:p>
    <w:p w14:paraId="4EABEBBA" w14:textId="77777777" w:rsidR="00443709" w:rsidRPr="000B6DAB" w:rsidRDefault="00443709" w:rsidP="00443709">
      <w:pPr>
        <w:spacing w:after="200" w:line="240" w:lineRule="auto"/>
        <w:ind w:left="0"/>
        <w:rPr>
          <w:rFonts w:asciiTheme="majorBidi" w:eastAsiaTheme="minorEastAsia" w:hAnsiTheme="majorBidi" w:cstheme="majorBidi"/>
          <w:i/>
          <w:iCs/>
          <w:noProof/>
          <w:color w:val="44546A" w:themeColor="text2"/>
          <w:lang w:eastAsia="zh-CN"/>
        </w:rPr>
      </w:pPr>
      <w:r w:rsidRPr="000B6DAB">
        <w:rPr>
          <w:rFonts w:asciiTheme="majorBidi" w:eastAsiaTheme="minorEastAsia" w:hAnsiTheme="majorBidi" w:cstheme="majorBidi"/>
          <w:i/>
          <w:iCs/>
          <w:noProof/>
          <w:color w:val="44546A" w:themeColor="text2"/>
          <w:lang w:eastAsia="en-GB"/>
        </w:rPr>
        <w:drawing>
          <wp:inline distT="0" distB="0" distL="0" distR="0" wp14:anchorId="3C05983F" wp14:editId="3DAE6F05">
            <wp:extent cx="4982876" cy="3420000"/>
            <wp:effectExtent l="0" t="0" r="825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5-49.bmp"/>
                    <pic:cNvPicPr/>
                  </pic:nvPicPr>
                  <pic:blipFill>
                    <a:blip r:embed="rId8">
                      <a:extLst>
                        <a:ext uri="{28A0092B-C50C-407E-A947-70E740481C1C}">
                          <a14:useLocalDpi xmlns:a14="http://schemas.microsoft.com/office/drawing/2010/main" val="0"/>
                        </a:ext>
                      </a:extLst>
                    </a:blip>
                    <a:stretch>
                      <a:fillRect/>
                    </a:stretch>
                  </pic:blipFill>
                  <pic:spPr>
                    <a:xfrm>
                      <a:off x="0" y="0"/>
                      <a:ext cx="4982876" cy="3420000"/>
                    </a:xfrm>
                    <a:prstGeom prst="rect">
                      <a:avLst/>
                    </a:prstGeom>
                  </pic:spPr>
                </pic:pic>
              </a:graphicData>
            </a:graphic>
          </wp:inline>
        </w:drawing>
      </w:r>
    </w:p>
    <w:p w14:paraId="347F2A9E" w14:textId="77777777" w:rsidR="00443709" w:rsidRPr="000B6DAB" w:rsidRDefault="00443709" w:rsidP="00443709">
      <w:pPr>
        <w:spacing w:after="160" w:line="259" w:lineRule="auto"/>
        <w:ind w:left="0"/>
        <w:rPr>
          <w:rFonts w:asciiTheme="majorBidi" w:eastAsiaTheme="minorEastAsia" w:hAnsiTheme="majorBidi" w:cstheme="majorBidi"/>
          <w:noProof/>
          <w:lang w:eastAsia="zh-CN"/>
        </w:rPr>
      </w:pPr>
    </w:p>
    <w:p w14:paraId="0D92C665" w14:textId="77777777" w:rsidR="00443709" w:rsidRDefault="00443709" w:rsidP="00443709">
      <w:pPr>
        <w:spacing w:after="160" w:line="259" w:lineRule="auto"/>
        <w:ind w:left="0"/>
        <w:rPr>
          <w:rFonts w:eastAsiaTheme="minorEastAsia" w:cstheme="minorBidi"/>
          <w:b/>
          <w:noProof/>
          <w:sz w:val="24"/>
          <w:lang w:eastAsia="zh-CN"/>
        </w:rPr>
      </w:pPr>
      <w:bookmarkStart w:id="8" w:name="_Ref26350351"/>
      <w:bookmarkStart w:id="9" w:name="_Toc28008905"/>
      <w:r>
        <w:rPr>
          <w:b/>
          <w:noProof/>
        </w:rPr>
        <w:br w:type="page"/>
      </w:r>
    </w:p>
    <w:p w14:paraId="52D1BFBF" w14:textId="77777777" w:rsidR="00443709" w:rsidRPr="00F152E8" w:rsidRDefault="00443709" w:rsidP="00443709">
      <w:pPr>
        <w:pStyle w:val="BodyText1"/>
        <w:rPr>
          <w:b/>
          <w:noProof/>
        </w:rPr>
      </w:pPr>
      <w:r w:rsidRPr="00F152E8">
        <w:rPr>
          <w:b/>
          <w:noProof/>
        </w:rPr>
        <w:lastRenderedPageBreak/>
        <w:t xml:space="preserve">Figure </w:t>
      </w:r>
      <w:bookmarkEnd w:id="8"/>
      <w:r>
        <w:rPr>
          <w:b/>
          <w:noProof/>
        </w:rPr>
        <w:t>S5</w:t>
      </w:r>
      <w:r w:rsidRPr="00F152E8">
        <w:rPr>
          <w:b/>
          <w:noProof/>
        </w:rPr>
        <w:t xml:space="preserve">: </w:t>
      </w:r>
      <w:r w:rsidRPr="00F152E8">
        <w:rPr>
          <w:b/>
          <w:i/>
          <w:iCs/>
          <w:noProof/>
        </w:rPr>
        <w:t>msm</w:t>
      </w:r>
      <w:r w:rsidRPr="00F152E8">
        <w:rPr>
          <w:b/>
          <w:noProof/>
        </w:rPr>
        <w:t xml:space="preserve"> prevalence plots age 50+ years</w:t>
      </w:r>
      <w:bookmarkEnd w:id="9"/>
    </w:p>
    <w:p w14:paraId="53B5DEEC" w14:textId="77777777" w:rsidR="00443709" w:rsidRPr="000B6DAB" w:rsidRDefault="00443709" w:rsidP="00443709">
      <w:pPr>
        <w:spacing w:after="200" w:line="240" w:lineRule="auto"/>
        <w:ind w:left="0"/>
        <w:rPr>
          <w:rFonts w:asciiTheme="majorBidi" w:eastAsiaTheme="minorEastAsia" w:hAnsiTheme="majorBidi" w:cstheme="majorBidi"/>
          <w:i/>
          <w:iCs/>
          <w:noProof/>
          <w:color w:val="44546A" w:themeColor="text2"/>
          <w:lang w:eastAsia="zh-CN"/>
        </w:rPr>
      </w:pPr>
      <w:r w:rsidRPr="000B6DAB">
        <w:rPr>
          <w:rFonts w:asciiTheme="majorBidi" w:eastAsiaTheme="minorEastAsia" w:hAnsiTheme="majorBidi" w:cstheme="majorBidi"/>
          <w:i/>
          <w:iCs/>
          <w:noProof/>
          <w:color w:val="44546A" w:themeColor="text2"/>
          <w:lang w:eastAsia="en-GB"/>
        </w:rPr>
        <w:drawing>
          <wp:inline distT="0" distB="0" distL="0" distR="0" wp14:anchorId="67E5ED41" wp14:editId="7ACBB9AA">
            <wp:extent cx="4982876" cy="3420000"/>
            <wp:effectExtent l="0" t="0" r="825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plus.bmp"/>
                    <pic:cNvPicPr/>
                  </pic:nvPicPr>
                  <pic:blipFill>
                    <a:blip r:embed="rId9">
                      <a:extLst>
                        <a:ext uri="{28A0092B-C50C-407E-A947-70E740481C1C}">
                          <a14:useLocalDpi xmlns:a14="http://schemas.microsoft.com/office/drawing/2010/main" val="0"/>
                        </a:ext>
                      </a:extLst>
                    </a:blip>
                    <a:stretch>
                      <a:fillRect/>
                    </a:stretch>
                  </pic:blipFill>
                  <pic:spPr>
                    <a:xfrm>
                      <a:off x="0" y="0"/>
                      <a:ext cx="4982876" cy="3420000"/>
                    </a:xfrm>
                    <a:prstGeom prst="rect">
                      <a:avLst/>
                    </a:prstGeom>
                  </pic:spPr>
                </pic:pic>
              </a:graphicData>
            </a:graphic>
          </wp:inline>
        </w:drawing>
      </w:r>
    </w:p>
    <w:p w14:paraId="0335EA17" w14:textId="77777777" w:rsidR="00443709" w:rsidRDefault="00443709" w:rsidP="00443709">
      <w:pPr>
        <w:spacing w:after="160" w:line="259" w:lineRule="auto"/>
        <w:ind w:left="0"/>
        <w:rPr>
          <w:rFonts w:asciiTheme="majorBidi" w:eastAsiaTheme="minorEastAsia" w:hAnsiTheme="majorBidi" w:cstheme="majorBidi"/>
          <w:b/>
          <w:bCs/>
          <w:noProof/>
          <w:lang w:eastAsia="zh-CN"/>
        </w:rPr>
      </w:pPr>
    </w:p>
    <w:p w14:paraId="46622C7A" w14:textId="77777777" w:rsidR="00443709" w:rsidRPr="000B6DAB" w:rsidRDefault="00443709" w:rsidP="00443709">
      <w:pPr>
        <w:spacing w:after="0"/>
        <w:ind w:left="0"/>
        <w:rPr>
          <w:rFonts w:asciiTheme="majorBidi" w:eastAsiaTheme="minorEastAsia" w:hAnsiTheme="majorBidi" w:cstheme="majorBidi"/>
          <w:b/>
          <w:bCs/>
          <w:noProof/>
          <w:lang w:eastAsia="zh-CN"/>
        </w:rPr>
      </w:pPr>
      <w:r>
        <w:rPr>
          <w:rFonts w:asciiTheme="majorBidi" w:eastAsiaTheme="minorEastAsia" w:hAnsiTheme="majorBidi" w:cstheme="majorBidi"/>
          <w:b/>
          <w:bCs/>
          <w:noProof/>
          <w:lang w:eastAsia="zh-CN"/>
        </w:rPr>
        <w:t xml:space="preserve">(b) Comparison of model-predicted overall survival versus spline model reported by Keogh </w:t>
      </w:r>
      <w:r w:rsidRPr="00F152E8">
        <w:rPr>
          <w:rFonts w:asciiTheme="majorBidi" w:eastAsiaTheme="minorEastAsia" w:hAnsiTheme="majorBidi" w:cstheme="majorBidi"/>
          <w:b/>
          <w:bCs/>
          <w:i/>
          <w:noProof/>
          <w:lang w:eastAsia="zh-CN"/>
        </w:rPr>
        <w:t>et al</w:t>
      </w:r>
    </w:p>
    <w:p w14:paraId="3F512009" w14:textId="28A58FBC" w:rsidR="00443709" w:rsidRPr="00F152E8" w:rsidRDefault="00443709" w:rsidP="00443709">
      <w:pPr>
        <w:pStyle w:val="BodyText1"/>
        <w:spacing w:after="0"/>
        <w:jc w:val="both"/>
        <w:rPr>
          <w:noProof/>
        </w:rPr>
      </w:pPr>
      <w:bookmarkStart w:id="10" w:name="_Ref26350983"/>
      <w:bookmarkStart w:id="11" w:name="_Toc28008906"/>
      <w:r w:rsidRPr="00F152E8">
        <w:rPr>
          <w:noProof/>
        </w:rPr>
        <w:t xml:space="preserve">Figure </w:t>
      </w:r>
      <w:r>
        <w:rPr>
          <w:noProof/>
        </w:rPr>
        <w:t>S6</w:t>
      </w:r>
      <w:r w:rsidRPr="00F152E8">
        <w:rPr>
          <w:noProof/>
        </w:rPr>
        <w:t xml:space="preserve"> presents a comparison of overall survival (OS) predicted by the CFHH model versus OS predictions obtained from Keogh </w:t>
      </w:r>
      <w:r w:rsidRPr="00F152E8">
        <w:rPr>
          <w:i/>
          <w:noProof/>
        </w:rPr>
        <w:t>et al</w:t>
      </w:r>
      <w:r w:rsidR="00066179">
        <w:rPr>
          <w:noProof/>
        </w:rPr>
        <w:t xml:space="preserve"> </w:t>
      </w:r>
      <w:r w:rsidR="007901B7">
        <w:rPr>
          <w:noProof/>
        </w:rPr>
        <w:fldChar w:fldCharType="begin"/>
      </w:r>
      <w:r w:rsidR="00D25A74">
        <w:rPr>
          <w:noProof/>
        </w:rPr>
        <w:instrText xml:space="preserve"> ADDIN EN.CITE &lt;EndNote&gt;&lt;Cite&gt;&lt;Author&gt;Keogh RH&lt;/Author&gt;&lt;Year&gt;2018&lt;/Year&gt;&lt;RecNum&gt;25&lt;/RecNum&gt;&lt;DisplayText&gt;(6)&lt;/DisplayText&gt;&lt;record&gt;&lt;rec-number&gt;25&lt;/rec-number&gt;&lt;foreign-keys&gt;&lt;key app="EN" db-id="2a5wdezt2rrtpoevxpnxree4wprzrre2vzvs" timestamp="1668703979"&gt;25&lt;/key&gt;&lt;/foreign-keys&gt;&lt;ref-type name="Journal Article"&gt;17&lt;/ref-type&gt;&lt;contributors&gt;&lt;authors&gt;&lt;author&gt;Keogh RH, &lt;/author&gt;&lt;author&gt;Szczesniak R,&lt;/author&gt;&lt;author&gt;Taylor-Robinson D,&lt;/author&gt;&lt;author&gt;Bilton D,&lt;/author&gt;&lt;/authors&gt;&lt;/contributors&gt;&lt;titles&gt;&lt;title&gt;Up-to-date and projected estimates of survival for people with cystic fibrosis using baseline characteristics: A longitudinal study using UK patient registry data&lt;/title&gt;&lt;secondary-title&gt;Journal of Cystic Fibrosis&lt;/secondary-title&gt;&lt;/titles&gt;&lt;periodical&gt;&lt;full-title&gt;Journal of Cystic Fibrosis&lt;/full-title&gt;&lt;/periodical&gt;&lt;pages&gt;218-227&lt;/pages&gt;&lt;volume&gt;17&lt;/volume&gt;&lt;number&gt;2&lt;/number&gt;&lt;dates&gt;&lt;year&gt;2018&lt;/year&gt;&lt;/dates&gt;&lt;urls&gt;&lt;/urls&gt;&lt;/record&gt;&lt;/Cite&gt;&lt;/EndNote&gt;</w:instrText>
      </w:r>
      <w:r w:rsidR="007901B7">
        <w:rPr>
          <w:noProof/>
        </w:rPr>
        <w:fldChar w:fldCharType="separate"/>
      </w:r>
      <w:r w:rsidR="00D25A74">
        <w:rPr>
          <w:noProof/>
        </w:rPr>
        <w:t>(6)</w:t>
      </w:r>
      <w:r w:rsidR="007901B7">
        <w:rPr>
          <w:noProof/>
        </w:rPr>
        <w:fldChar w:fldCharType="end"/>
      </w:r>
      <w:r w:rsidR="00066179">
        <w:rPr>
          <w:noProof/>
        </w:rPr>
        <w:t>.</w:t>
      </w:r>
    </w:p>
    <w:p w14:paraId="2646D057" w14:textId="77777777" w:rsidR="00443709" w:rsidRDefault="00443709" w:rsidP="00443709">
      <w:pPr>
        <w:pStyle w:val="BodyText1"/>
        <w:spacing w:after="0" w:line="240" w:lineRule="auto"/>
        <w:rPr>
          <w:b/>
          <w:noProof/>
        </w:rPr>
      </w:pPr>
    </w:p>
    <w:p w14:paraId="05B34FA2" w14:textId="77777777" w:rsidR="00443709" w:rsidRPr="00F152E8" w:rsidRDefault="00443709" w:rsidP="00443709">
      <w:pPr>
        <w:pStyle w:val="BodyText1"/>
        <w:spacing w:after="0" w:line="240" w:lineRule="auto"/>
        <w:rPr>
          <w:b/>
          <w:noProof/>
        </w:rPr>
      </w:pPr>
      <w:r w:rsidRPr="00F152E8">
        <w:rPr>
          <w:b/>
          <w:noProof/>
        </w:rPr>
        <w:t xml:space="preserve">Figure </w:t>
      </w:r>
      <w:bookmarkEnd w:id="10"/>
      <w:r>
        <w:rPr>
          <w:b/>
          <w:noProof/>
        </w:rPr>
        <w:t>S6</w:t>
      </w:r>
      <w:r w:rsidRPr="00F152E8">
        <w:rPr>
          <w:b/>
          <w:noProof/>
        </w:rPr>
        <w:t xml:space="preserve">: Modelled overall survival versus Keogh </w:t>
      </w:r>
      <w:r w:rsidRPr="00F152E8">
        <w:rPr>
          <w:b/>
          <w:i/>
          <w:iCs/>
          <w:noProof/>
        </w:rPr>
        <w:t>et al</w:t>
      </w:r>
      <w:r w:rsidRPr="00F152E8">
        <w:rPr>
          <w:b/>
          <w:noProof/>
        </w:rPr>
        <w:t xml:space="preserve"> spline model (weighted by prevalence of covariate groupings)</w:t>
      </w:r>
      <w:bookmarkEnd w:id="11"/>
    </w:p>
    <w:p w14:paraId="4B02ABE7" w14:textId="77777777" w:rsidR="00443709" w:rsidRPr="000B6DAB" w:rsidRDefault="00443709" w:rsidP="00443709">
      <w:pPr>
        <w:spacing w:after="160" w:line="259" w:lineRule="auto"/>
        <w:ind w:left="0"/>
        <w:rPr>
          <w:rFonts w:asciiTheme="majorBidi" w:eastAsiaTheme="minorEastAsia" w:hAnsiTheme="majorBidi" w:cstheme="majorBidi"/>
          <w:b/>
          <w:bCs/>
          <w:noProof/>
          <w:lang w:eastAsia="zh-CN"/>
        </w:rPr>
      </w:pPr>
      <w:r w:rsidRPr="000B6DAB">
        <w:rPr>
          <w:rFonts w:asciiTheme="minorHAnsi" w:eastAsiaTheme="minorEastAsia" w:hAnsiTheme="minorHAnsi" w:cstheme="minorBidi"/>
          <w:noProof/>
          <w:lang w:eastAsia="en-GB"/>
        </w:rPr>
        <w:drawing>
          <wp:inline distT="0" distB="0" distL="0" distR="0" wp14:anchorId="749EB3E7" wp14:editId="07689C95">
            <wp:extent cx="5124479" cy="334800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4479" cy="3348000"/>
                    </a:xfrm>
                    <a:prstGeom prst="rect">
                      <a:avLst/>
                    </a:prstGeom>
                  </pic:spPr>
                </pic:pic>
              </a:graphicData>
            </a:graphic>
          </wp:inline>
        </w:drawing>
      </w:r>
    </w:p>
    <w:p w14:paraId="4089A3A5" w14:textId="77777777" w:rsidR="00443709" w:rsidRPr="00F152E8" w:rsidRDefault="00443709" w:rsidP="00443709">
      <w:pPr>
        <w:pStyle w:val="Heading2"/>
        <w:spacing w:before="0"/>
        <w:rPr>
          <w:noProof/>
          <w:sz w:val="22"/>
          <w:szCs w:val="22"/>
        </w:rPr>
      </w:pPr>
      <w:r w:rsidRPr="00F152E8">
        <w:rPr>
          <w:noProof/>
          <w:sz w:val="22"/>
          <w:szCs w:val="22"/>
        </w:rPr>
        <w:lastRenderedPageBreak/>
        <w:t>FEV</w:t>
      </w:r>
      <w:r w:rsidRPr="00F152E8">
        <w:rPr>
          <w:noProof/>
          <w:sz w:val="22"/>
          <w:szCs w:val="22"/>
          <w:vertAlign w:val="subscript"/>
        </w:rPr>
        <w:t>1</w:t>
      </w:r>
      <w:r w:rsidRPr="00F152E8">
        <w:rPr>
          <w:noProof/>
          <w:sz w:val="22"/>
          <w:szCs w:val="22"/>
        </w:rPr>
        <w:t>% pred. stratum by age</w:t>
      </w:r>
    </w:p>
    <w:p w14:paraId="7B57CBE7" w14:textId="77777777" w:rsidR="00443709" w:rsidRPr="00F152E8" w:rsidRDefault="00443709" w:rsidP="00443709">
      <w:pPr>
        <w:pStyle w:val="BodyText1"/>
        <w:spacing w:after="0"/>
        <w:jc w:val="both"/>
        <w:rPr>
          <w:noProof/>
          <w:sz w:val="22"/>
        </w:rPr>
      </w:pPr>
      <w:bookmarkStart w:id="12" w:name="_Ref26350995"/>
      <w:bookmarkStart w:id="13" w:name="_Toc28008907"/>
      <w:r w:rsidRPr="00F152E8">
        <w:rPr>
          <w:noProof/>
          <w:sz w:val="22"/>
        </w:rPr>
        <w:t>Figure S7 presents a comparison of the probability of being in each of the three FEV</w:t>
      </w:r>
      <w:r w:rsidRPr="00F152E8">
        <w:rPr>
          <w:noProof/>
          <w:sz w:val="22"/>
          <w:vertAlign w:val="subscript"/>
        </w:rPr>
        <w:t>1</w:t>
      </w:r>
      <w:r w:rsidRPr="00F152E8">
        <w:rPr>
          <w:noProof/>
          <w:sz w:val="22"/>
        </w:rPr>
        <w:t>% pred. groups predicted by the model compared against estimates from the CF Registry dataset.</w:t>
      </w:r>
    </w:p>
    <w:p w14:paraId="72364A63" w14:textId="77777777" w:rsidR="00443709" w:rsidRDefault="00443709" w:rsidP="00443709">
      <w:pPr>
        <w:pStyle w:val="BodyText1"/>
        <w:spacing w:after="0"/>
        <w:rPr>
          <w:b/>
          <w:noProof/>
          <w:sz w:val="22"/>
        </w:rPr>
      </w:pPr>
    </w:p>
    <w:p w14:paraId="27D0A057" w14:textId="77777777" w:rsidR="00443709" w:rsidRPr="00F152E8" w:rsidRDefault="00443709" w:rsidP="00443709">
      <w:pPr>
        <w:pStyle w:val="BodyText1"/>
        <w:spacing w:after="80" w:line="240" w:lineRule="auto"/>
        <w:rPr>
          <w:b/>
          <w:noProof/>
          <w:sz w:val="22"/>
        </w:rPr>
      </w:pPr>
      <w:r w:rsidRPr="00F152E8">
        <w:rPr>
          <w:b/>
          <w:noProof/>
          <w:sz w:val="22"/>
        </w:rPr>
        <w:t xml:space="preserve">Figure </w:t>
      </w:r>
      <w:bookmarkEnd w:id="12"/>
      <w:r>
        <w:rPr>
          <w:b/>
          <w:noProof/>
          <w:sz w:val="22"/>
        </w:rPr>
        <w:t>S7</w:t>
      </w:r>
      <w:r w:rsidRPr="00F152E8">
        <w:rPr>
          <w:b/>
          <w:noProof/>
          <w:sz w:val="22"/>
        </w:rPr>
        <w:t>: FEV</w:t>
      </w:r>
      <w:r w:rsidRPr="00F152E8">
        <w:rPr>
          <w:b/>
          <w:noProof/>
          <w:sz w:val="22"/>
          <w:vertAlign w:val="subscript"/>
        </w:rPr>
        <w:t>1</w:t>
      </w:r>
      <w:r w:rsidRPr="00F152E8">
        <w:rPr>
          <w:b/>
          <w:noProof/>
          <w:sz w:val="22"/>
        </w:rPr>
        <w:t>% pred. by age category, model-predicted versus CF Registry estimates</w:t>
      </w:r>
      <w:bookmarkEnd w:id="13"/>
    </w:p>
    <w:p w14:paraId="09A4047F" w14:textId="77777777" w:rsidR="00443709" w:rsidRPr="000B6DAB" w:rsidRDefault="00443709" w:rsidP="00443709">
      <w:pPr>
        <w:spacing w:after="160" w:line="259" w:lineRule="auto"/>
        <w:ind w:left="0"/>
        <w:rPr>
          <w:rFonts w:asciiTheme="majorBidi" w:eastAsiaTheme="minorEastAsia" w:hAnsiTheme="majorBidi" w:cstheme="majorBidi"/>
          <w:noProof/>
          <w:lang w:eastAsia="zh-CN"/>
        </w:rPr>
      </w:pPr>
      <w:r w:rsidRPr="000B6DAB">
        <w:rPr>
          <w:rFonts w:asciiTheme="minorHAnsi" w:eastAsiaTheme="minorEastAsia" w:hAnsiTheme="minorHAnsi" w:cstheme="minorBidi"/>
          <w:noProof/>
          <w:lang w:eastAsia="en-GB"/>
        </w:rPr>
        <w:drawing>
          <wp:inline distT="0" distB="0" distL="0" distR="0" wp14:anchorId="534BB6C0" wp14:editId="1AAECD8D">
            <wp:extent cx="5510192" cy="3600000"/>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0192" cy="3600000"/>
                    </a:xfrm>
                    <a:prstGeom prst="rect">
                      <a:avLst/>
                    </a:prstGeom>
                  </pic:spPr>
                </pic:pic>
              </a:graphicData>
            </a:graphic>
          </wp:inline>
        </w:drawing>
      </w:r>
    </w:p>
    <w:p w14:paraId="744D3C46" w14:textId="77777777" w:rsidR="00443709" w:rsidRPr="008C4B57" w:rsidRDefault="00443709" w:rsidP="00443709">
      <w:pPr>
        <w:spacing w:after="160" w:line="259" w:lineRule="auto"/>
        <w:ind w:left="0"/>
        <w:rPr>
          <w:rFonts w:asciiTheme="majorBidi" w:eastAsiaTheme="minorEastAsia" w:hAnsiTheme="majorBidi" w:cstheme="majorBidi"/>
          <w:i/>
          <w:iCs/>
          <w:noProof/>
          <w:sz w:val="18"/>
          <w:szCs w:val="18"/>
          <w:lang w:eastAsia="zh-CN"/>
        </w:rPr>
      </w:pPr>
    </w:p>
    <w:p w14:paraId="520E35DA" w14:textId="77777777" w:rsidR="00A07A7A" w:rsidRDefault="00A07A7A">
      <w:pPr>
        <w:spacing w:after="160" w:line="259" w:lineRule="auto"/>
        <w:ind w:left="0"/>
        <w:rPr>
          <w:b/>
        </w:rPr>
      </w:pPr>
      <w:r>
        <w:rPr>
          <w:b/>
        </w:rPr>
        <w:br w:type="page"/>
      </w:r>
    </w:p>
    <w:p w14:paraId="0634BFBF" w14:textId="77777777" w:rsidR="007901B7" w:rsidRPr="00A07A7A" w:rsidRDefault="00A07A7A" w:rsidP="00A07A7A">
      <w:pPr>
        <w:ind w:left="0"/>
        <w:rPr>
          <w:b/>
        </w:rPr>
      </w:pPr>
      <w:r w:rsidRPr="00A07A7A">
        <w:rPr>
          <w:b/>
        </w:rPr>
        <w:lastRenderedPageBreak/>
        <w:t>3. Cost-effectiveness acceptability curves</w:t>
      </w:r>
    </w:p>
    <w:p w14:paraId="30ACA3CE" w14:textId="77777777" w:rsidR="00A07A7A" w:rsidRPr="00A07A7A" w:rsidRDefault="00A07A7A" w:rsidP="00A07A7A">
      <w:pPr>
        <w:pStyle w:val="Caption"/>
        <w:spacing w:after="0"/>
        <w:ind w:left="0"/>
        <w:rPr>
          <w:rFonts w:eastAsiaTheme="minorEastAsia"/>
          <w:b/>
          <w:bCs/>
          <w:i w:val="0"/>
          <w:iCs w:val="0"/>
          <w:noProof/>
          <w:sz w:val="22"/>
          <w:szCs w:val="22"/>
          <w:lang w:eastAsia="zh-CN"/>
        </w:rPr>
      </w:pPr>
      <w:bookmarkStart w:id="14" w:name="_Ref32588447"/>
      <w:bookmarkStart w:id="15" w:name="_Ref32587273"/>
      <w:r w:rsidRPr="00A07A7A">
        <w:rPr>
          <w:b/>
          <w:bCs/>
          <w:i w:val="0"/>
          <w:iCs w:val="0"/>
          <w:color w:val="auto"/>
          <w:sz w:val="22"/>
          <w:szCs w:val="22"/>
        </w:rPr>
        <w:t xml:space="preserve">Figure </w:t>
      </w:r>
      <w:bookmarkEnd w:id="14"/>
      <w:r w:rsidRPr="00A07A7A">
        <w:rPr>
          <w:b/>
          <w:bCs/>
          <w:i w:val="0"/>
          <w:iCs w:val="0"/>
          <w:color w:val="auto"/>
          <w:sz w:val="22"/>
          <w:szCs w:val="22"/>
        </w:rPr>
        <w:t>S8: Cost-effectiveness acceptability curves – CFHH adherence intervention versus usual care</w:t>
      </w:r>
      <w:bookmarkEnd w:id="15"/>
      <w:r w:rsidRPr="00A07A7A">
        <w:rPr>
          <w:b/>
          <w:bCs/>
          <w:i w:val="0"/>
          <w:iCs w:val="0"/>
          <w:sz w:val="22"/>
          <w:szCs w:val="22"/>
        </w:rPr>
        <w:t xml:space="preserve"> </w:t>
      </w:r>
    </w:p>
    <w:p w14:paraId="6A14F01F" w14:textId="76F154FF" w:rsidR="00A07A7A" w:rsidRDefault="00E176F4" w:rsidP="00A07A7A">
      <w:pPr>
        <w:ind w:left="0"/>
        <w:rPr>
          <w:b/>
        </w:rPr>
      </w:pPr>
      <w:r w:rsidRPr="00E176F4">
        <w:rPr>
          <w:noProof/>
          <w:lang w:eastAsia="en-GB"/>
        </w:rPr>
        <w:drawing>
          <wp:inline distT="0" distB="0" distL="0" distR="0" wp14:anchorId="28C374C4" wp14:editId="5D4ADE8C">
            <wp:extent cx="5731510" cy="3742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742690"/>
                    </a:xfrm>
                    <a:prstGeom prst="rect">
                      <a:avLst/>
                    </a:prstGeom>
                  </pic:spPr>
                </pic:pic>
              </a:graphicData>
            </a:graphic>
          </wp:inline>
        </w:drawing>
      </w:r>
    </w:p>
    <w:p w14:paraId="404CD0BE" w14:textId="77777777" w:rsidR="00A07A7A" w:rsidRDefault="00A07A7A" w:rsidP="00A07A7A">
      <w:pPr>
        <w:ind w:left="0"/>
        <w:rPr>
          <w:b/>
        </w:rPr>
      </w:pPr>
    </w:p>
    <w:p w14:paraId="5DF0F00C" w14:textId="77777777" w:rsidR="007901B7" w:rsidRPr="007901B7" w:rsidRDefault="007901B7" w:rsidP="007901B7">
      <w:pPr>
        <w:ind w:left="0"/>
        <w:rPr>
          <w:b/>
        </w:rPr>
      </w:pPr>
      <w:r w:rsidRPr="007901B7">
        <w:rPr>
          <w:b/>
        </w:rPr>
        <w:t>References</w:t>
      </w:r>
    </w:p>
    <w:p w14:paraId="41DA74FC" w14:textId="0F0D81E0" w:rsidR="00D25A74" w:rsidRPr="00D25A74" w:rsidRDefault="007901B7" w:rsidP="00D25A74">
      <w:pPr>
        <w:pStyle w:val="EndNoteBibliography"/>
        <w:spacing w:after="0"/>
        <w:ind w:left="0"/>
      </w:pPr>
      <w:r>
        <w:fldChar w:fldCharType="begin"/>
      </w:r>
      <w:r>
        <w:instrText xml:space="preserve"> ADDIN EN.REFLIST </w:instrText>
      </w:r>
      <w:r>
        <w:fldChar w:fldCharType="separate"/>
      </w:r>
      <w:r w:rsidR="00D25A74" w:rsidRPr="00D25A74">
        <w:t>1.</w:t>
      </w:r>
      <w:r w:rsidR="00D25A74" w:rsidRPr="00D25A74">
        <w:tab/>
        <w:t>Joint Formulary Committee. British National Formulary (online). London, 20</w:t>
      </w:r>
      <w:r w:rsidR="00D25A74">
        <w:t>22</w:t>
      </w:r>
      <w:r w:rsidR="00D25A74" w:rsidRPr="00D25A74">
        <w:t>.</w:t>
      </w:r>
    </w:p>
    <w:p w14:paraId="05E1FC91" w14:textId="6621A618" w:rsidR="00D25A74" w:rsidRPr="00D25A74" w:rsidRDefault="00D25A74" w:rsidP="00D25A74">
      <w:pPr>
        <w:pStyle w:val="EndNoteBibliography"/>
        <w:spacing w:after="0"/>
        <w:ind w:left="0"/>
      </w:pPr>
      <w:r w:rsidRPr="00D25A74">
        <w:t>2.</w:t>
      </w:r>
      <w:r w:rsidRPr="00D25A74">
        <w:tab/>
        <w:t xml:space="preserve">Cystic Fibrosis Trust. UK Cystic Fibrosis Registry Annual Data Report 2018. </w:t>
      </w:r>
      <w:r w:rsidR="007F49BD" w:rsidRPr="007F49BD">
        <w:t>BMJ Group and Pharmaceutical Press</w:t>
      </w:r>
      <w:r w:rsidR="007F49BD">
        <w:t xml:space="preserve">: </w:t>
      </w:r>
      <w:r w:rsidRPr="00D25A74">
        <w:t>London, UK, 2019.</w:t>
      </w:r>
    </w:p>
    <w:p w14:paraId="3851CC26" w14:textId="13039119" w:rsidR="00D25A74" w:rsidRPr="00D25A74" w:rsidRDefault="00D25A74" w:rsidP="00D25A74">
      <w:pPr>
        <w:pStyle w:val="EndNoteBibliography"/>
        <w:spacing w:after="0"/>
        <w:ind w:left="0"/>
      </w:pPr>
      <w:r w:rsidRPr="00D25A74">
        <w:t>3.</w:t>
      </w:r>
      <w:r w:rsidRPr="00D25A74">
        <w:tab/>
      </w:r>
      <w:r>
        <w:t>Jones KC</w:t>
      </w:r>
      <w:r w:rsidRPr="00D25A74">
        <w:t>, Burns A. Unit costs of health and social care 20</w:t>
      </w:r>
      <w:r>
        <w:t>21</w:t>
      </w:r>
      <w:r w:rsidRPr="00D25A74">
        <w:t xml:space="preserve">. </w:t>
      </w:r>
      <w:r w:rsidR="007F49BD">
        <w:t xml:space="preserve">Personal Social Services Research Unit: </w:t>
      </w:r>
      <w:r w:rsidRPr="00D25A74">
        <w:t>Kent, UK, 20</w:t>
      </w:r>
      <w:r>
        <w:t>21</w:t>
      </w:r>
      <w:r w:rsidRPr="00D25A74">
        <w:t>.</w:t>
      </w:r>
    </w:p>
    <w:p w14:paraId="016D55B6" w14:textId="0DA6D9DB" w:rsidR="00D25A74" w:rsidRPr="00D25A74" w:rsidRDefault="00D25A74" w:rsidP="00D25A74">
      <w:pPr>
        <w:pStyle w:val="EndNoteBibliography"/>
        <w:spacing w:after="0"/>
        <w:ind w:left="0"/>
      </w:pPr>
      <w:r w:rsidRPr="00D25A74">
        <w:t>4.</w:t>
      </w:r>
      <w:r w:rsidRPr="00D25A74">
        <w:tab/>
      </w:r>
      <w:r w:rsidR="00CD7571">
        <w:t xml:space="preserve">NHS England. National schedule of NHS costs </w:t>
      </w:r>
      <w:r w:rsidRPr="00D25A74">
        <w:t>20</w:t>
      </w:r>
      <w:r>
        <w:t>20</w:t>
      </w:r>
      <w:r w:rsidRPr="00D25A74">
        <w:t>/</w:t>
      </w:r>
      <w:r>
        <w:t>21</w:t>
      </w:r>
      <w:r w:rsidRPr="00D25A74">
        <w:t xml:space="preserve">. </w:t>
      </w:r>
      <w:r w:rsidR="007F49BD">
        <w:t xml:space="preserve">NHSE: London, UK; </w:t>
      </w:r>
      <w:r w:rsidRPr="00D25A74">
        <w:t>20</w:t>
      </w:r>
      <w:r>
        <w:t>22</w:t>
      </w:r>
      <w:r w:rsidRPr="00D25A74">
        <w:t>.</w:t>
      </w:r>
    </w:p>
    <w:p w14:paraId="2A939B3F" w14:textId="5A8611AD" w:rsidR="00D25A74" w:rsidRPr="00D25A74" w:rsidRDefault="00D25A74" w:rsidP="00D25A74">
      <w:pPr>
        <w:pStyle w:val="EndNoteBibliography"/>
        <w:spacing w:after="0"/>
        <w:ind w:left="0"/>
      </w:pPr>
      <w:r w:rsidRPr="00D25A74">
        <w:t>5.</w:t>
      </w:r>
      <w:r w:rsidRPr="00D25A74">
        <w:tab/>
        <w:t xml:space="preserve">Cystic Fibrosis Trust. CF Registry bespoke dataset (years 2006-2015; data held on file). </w:t>
      </w:r>
      <w:r w:rsidR="007F49BD">
        <w:t xml:space="preserve">CF Trust: </w:t>
      </w:r>
      <w:r w:rsidRPr="00D25A74">
        <w:t xml:space="preserve">London, </w:t>
      </w:r>
      <w:r w:rsidR="007F49BD">
        <w:t xml:space="preserve">UK; </w:t>
      </w:r>
      <w:r w:rsidRPr="00D25A74">
        <w:t>2019.</w:t>
      </w:r>
    </w:p>
    <w:p w14:paraId="0D2201DD" w14:textId="565C6F3A" w:rsidR="00D25A74" w:rsidRPr="00D25A74" w:rsidRDefault="00D25A74" w:rsidP="00D25A74">
      <w:pPr>
        <w:pStyle w:val="EndNoteBibliography"/>
        <w:ind w:left="0"/>
      </w:pPr>
      <w:r w:rsidRPr="00D25A74">
        <w:t>6.</w:t>
      </w:r>
      <w:r w:rsidRPr="00D25A74">
        <w:tab/>
        <w:t>Keogh RH, Szczesniak R, Taylor-Robinson D, et al. Up-to-date and projected estimates of survival for people with cystic fibrosis using baseline characteristics: A longitudinal study using UK patient registry d</w:t>
      </w:r>
      <w:r w:rsidR="007F49BD">
        <w:t>ata. Journal of Cystic Fibrosis 2018;17(2):</w:t>
      </w:r>
      <w:r w:rsidRPr="00D25A74">
        <w:t>218-27.</w:t>
      </w:r>
    </w:p>
    <w:p w14:paraId="599CB65E" w14:textId="17FB7A5D" w:rsidR="001C5D0D" w:rsidRDefault="007901B7" w:rsidP="00D25A74">
      <w:pPr>
        <w:ind w:left="284" w:hanging="284"/>
      </w:pPr>
      <w:r>
        <w:fldChar w:fldCharType="end"/>
      </w:r>
    </w:p>
    <w:sectPr w:rsidR="001C5D0D" w:rsidSect="008C4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dvTTa9c1b37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lue in Heal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5wdezt2rrtpoevxpnxree4wprzrre2vzvs&quot;&gt;TEST1&lt;record-ids&gt;&lt;item&gt;18&lt;/item&gt;&lt;item&gt;25&lt;/item&gt;&lt;/record-ids&gt;&lt;/item&gt;&lt;/Libraries&gt;"/>
  </w:docVars>
  <w:rsids>
    <w:rsidRoot w:val="00443709"/>
    <w:rsid w:val="00066179"/>
    <w:rsid w:val="001C5D0D"/>
    <w:rsid w:val="00443709"/>
    <w:rsid w:val="004924AD"/>
    <w:rsid w:val="004E4318"/>
    <w:rsid w:val="00504367"/>
    <w:rsid w:val="00564DD1"/>
    <w:rsid w:val="0063625F"/>
    <w:rsid w:val="007901B7"/>
    <w:rsid w:val="007F49BD"/>
    <w:rsid w:val="00A07A7A"/>
    <w:rsid w:val="00A877FC"/>
    <w:rsid w:val="00B67D80"/>
    <w:rsid w:val="00C44623"/>
    <w:rsid w:val="00CA1666"/>
    <w:rsid w:val="00CD7571"/>
    <w:rsid w:val="00D25A74"/>
    <w:rsid w:val="00E17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9A5"/>
  <w15:chartTrackingRefBased/>
  <w15:docId w15:val="{CE686988-37C0-4816-A2F9-43C89C0E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09"/>
    <w:pPr>
      <w:spacing w:after="240" w:line="360" w:lineRule="auto"/>
      <w:ind w:left="1021"/>
    </w:pPr>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443709"/>
    <w:pPr>
      <w:keepNext/>
      <w:keepLines/>
      <w:spacing w:before="40" w:after="0"/>
      <w:ind w:left="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709"/>
    <w:rPr>
      <w:rFonts w:asciiTheme="majorBidi" w:eastAsiaTheme="majorEastAsia" w:hAnsiTheme="majorBidi" w:cstheme="majorBidi"/>
      <w:b/>
      <w:sz w:val="28"/>
      <w:szCs w:val="26"/>
    </w:rPr>
  </w:style>
  <w:style w:type="paragraph" w:customStyle="1" w:styleId="BodyText1">
    <w:name w:val="Body Text1"/>
    <w:basedOn w:val="Normal"/>
    <w:link w:val="BodyText1Char"/>
    <w:qFormat/>
    <w:rsid w:val="00443709"/>
    <w:pPr>
      <w:spacing w:after="160"/>
      <w:ind w:left="0"/>
    </w:pPr>
    <w:rPr>
      <w:rFonts w:eastAsiaTheme="minorEastAsia" w:cstheme="minorBidi"/>
      <w:sz w:val="24"/>
      <w:lang w:eastAsia="zh-CN"/>
    </w:rPr>
  </w:style>
  <w:style w:type="paragraph" w:styleId="Caption">
    <w:name w:val="caption"/>
    <w:basedOn w:val="Normal"/>
    <w:next w:val="Normal"/>
    <w:uiPriority w:val="35"/>
    <w:unhideWhenUsed/>
    <w:qFormat/>
    <w:rsid w:val="00443709"/>
    <w:pPr>
      <w:spacing w:after="200" w:line="240" w:lineRule="auto"/>
    </w:pPr>
    <w:rPr>
      <w:i/>
      <w:iCs/>
      <w:color w:val="44546A" w:themeColor="text2"/>
      <w:sz w:val="18"/>
      <w:szCs w:val="18"/>
    </w:rPr>
  </w:style>
  <w:style w:type="character" w:customStyle="1" w:styleId="BodyText1Char">
    <w:name w:val="Body Text1 Char"/>
    <w:basedOn w:val="DefaultParagraphFont"/>
    <w:link w:val="BodyText1"/>
    <w:rsid w:val="00443709"/>
    <w:rPr>
      <w:rFonts w:ascii="Times New Roman" w:eastAsiaTheme="minorEastAsia" w:hAnsi="Times New Roman"/>
      <w:sz w:val="24"/>
      <w:lang w:eastAsia="zh-CN"/>
    </w:rPr>
  </w:style>
  <w:style w:type="character" w:customStyle="1" w:styleId="fontstyle01">
    <w:name w:val="fontstyle01"/>
    <w:basedOn w:val="DefaultParagraphFont"/>
    <w:rsid w:val="00443709"/>
    <w:rPr>
      <w:rFonts w:ascii="AdvTTa9c1b374" w:hAnsi="AdvTTa9c1b374" w:hint="default"/>
      <w:b w:val="0"/>
      <w:bCs w:val="0"/>
      <w:i w:val="0"/>
      <w:iCs w:val="0"/>
      <w:color w:val="000000"/>
      <w:sz w:val="18"/>
      <w:szCs w:val="18"/>
    </w:rPr>
  </w:style>
  <w:style w:type="paragraph" w:customStyle="1" w:styleId="EndNoteBibliographyTitle">
    <w:name w:val="EndNote Bibliography Title"/>
    <w:basedOn w:val="Normal"/>
    <w:link w:val="EndNoteBibliographyTitleChar"/>
    <w:rsid w:val="007901B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901B7"/>
    <w:rPr>
      <w:rFonts w:ascii="Times New Roman" w:eastAsia="Calibri" w:hAnsi="Times New Roman" w:cs="Times New Roman"/>
      <w:noProof/>
      <w:lang w:val="en-US"/>
    </w:rPr>
  </w:style>
  <w:style w:type="paragraph" w:customStyle="1" w:styleId="EndNoteBibliography">
    <w:name w:val="EndNote Bibliography"/>
    <w:basedOn w:val="Normal"/>
    <w:link w:val="EndNoteBibliographyChar"/>
    <w:rsid w:val="007901B7"/>
    <w:pPr>
      <w:spacing w:line="240" w:lineRule="auto"/>
    </w:pPr>
    <w:rPr>
      <w:noProof/>
      <w:lang w:val="en-US"/>
    </w:rPr>
  </w:style>
  <w:style w:type="character" w:customStyle="1" w:styleId="EndNoteBibliographyChar">
    <w:name w:val="EndNote Bibliography Char"/>
    <w:basedOn w:val="DefaultParagraphFont"/>
    <w:link w:val="EndNoteBibliography"/>
    <w:rsid w:val="007901B7"/>
    <w:rPr>
      <w:rFonts w:ascii="Times New Roman" w:eastAsia="Calibri" w:hAnsi="Times New Roman" w:cs="Times New Roman"/>
      <w:noProof/>
      <w:lang w:val="en-US"/>
    </w:rPr>
  </w:style>
  <w:style w:type="character" w:styleId="CommentReference">
    <w:name w:val="annotation reference"/>
    <w:basedOn w:val="DefaultParagraphFont"/>
    <w:uiPriority w:val="99"/>
    <w:semiHidden/>
    <w:unhideWhenUsed/>
    <w:rsid w:val="004924AD"/>
    <w:rPr>
      <w:sz w:val="16"/>
      <w:szCs w:val="16"/>
    </w:rPr>
  </w:style>
  <w:style w:type="paragraph" w:styleId="CommentText">
    <w:name w:val="annotation text"/>
    <w:basedOn w:val="Normal"/>
    <w:link w:val="CommentTextChar"/>
    <w:uiPriority w:val="99"/>
    <w:semiHidden/>
    <w:unhideWhenUsed/>
    <w:rsid w:val="004924AD"/>
    <w:pPr>
      <w:spacing w:line="240" w:lineRule="auto"/>
    </w:pPr>
    <w:rPr>
      <w:sz w:val="20"/>
      <w:szCs w:val="20"/>
    </w:rPr>
  </w:style>
  <w:style w:type="character" w:customStyle="1" w:styleId="CommentTextChar">
    <w:name w:val="Comment Text Char"/>
    <w:basedOn w:val="DefaultParagraphFont"/>
    <w:link w:val="CommentText"/>
    <w:uiPriority w:val="99"/>
    <w:semiHidden/>
    <w:rsid w:val="004924A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4AD"/>
    <w:rPr>
      <w:b/>
      <w:bCs/>
    </w:rPr>
  </w:style>
  <w:style w:type="character" w:customStyle="1" w:styleId="CommentSubjectChar">
    <w:name w:val="Comment Subject Char"/>
    <w:basedOn w:val="CommentTextChar"/>
    <w:link w:val="CommentSubject"/>
    <w:uiPriority w:val="99"/>
    <w:semiHidden/>
    <w:rsid w:val="004924A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3C16-8F00-4540-8D21-DE8D0E54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Tappenden</dc:creator>
  <cp:keywords/>
  <dc:description/>
  <cp:lastModifiedBy>Paul Tappenden</cp:lastModifiedBy>
  <cp:revision>2</cp:revision>
  <dcterms:created xsi:type="dcterms:W3CDTF">2022-11-24T16:28:00Z</dcterms:created>
  <dcterms:modified xsi:type="dcterms:W3CDTF">2022-11-24T16:28:00Z</dcterms:modified>
</cp:coreProperties>
</file>