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3.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4.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9B375" w14:textId="77777777" w:rsidR="001F4231" w:rsidRDefault="001F4231" w:rsidP="001F4231">
      <w:pPr>
        <w:pStyle w:val="Heading1"/>
      </w:pPr>
      <w:r>
        <w:t>Appendix</w:t>
      </w:r>
    </w:p>
    <w:p w14:paraId="5D065290" w14:textId="77777777" w:rsidR="001F4231" w:rsidRPr="00220E32" w:rsidRDefault="001F4231" w:rsidP="001F4231">
      <w:pPr>
        <w:pStyle w:val="Caption"/>
      </w:pPr>
      <w:r>
        <w:t xml:space="preserve">Table SA </w:t>
      </w:r>
      <w:fldSimple w:instr=" SEQ Table_SA \* ARABIC ">
        <w:r>
          <w:rPr>
            <w:noProof/>
          </w:rPr>
          <w:t>1</w:t>
        </w:r>
      </w:fldSimple>
      <w:r>
        <w:t xml:space="preserve"> - Cost parameters</w:t>
      </w:r>
    </w:p>
    <w:tbl>
      <w:tblPr>
        <w:tblStyle w:val="TableGrid"/>
        <w:tblW w:w="10206" w:type="dxa"/>
        <w:tblLook w:val="04A0" w:firstRow="1" w:lastRow="0" w:firstColumn="1" w:lastColumn="0" w:noHBand="0" w:noVBand="1"/>
      </w:tblPr>
      <w:tblGrid>
        <w:gridCol w:w="4962"/>
        <w:gridCol w:w="1842"/>
        <w:gridCol w:w="3402"/>
      </w:tblGrid>
      <w:tr w:rsidR="001F4231" w:rsidRPr="00A15E8E" w14:paraId="5EF2F75E" w14:textId="77777777" w:rsidTr="00E84283">
        <w:trPr>
          <w:trHeight w:val="446"/>
        </w:trPr>
        <w:tc>
          <w:tcPr>
            <w:tcW w:w="4962" w:type="dxa"/>
          </w:tcPr>
          <w:p w14:paraId="569A4DF4" w14:textId="77777777" w:rsidR="001F4231" w:rsidRPr="00A15E8E" w:rsidRDefault="001F4231" w:rsidP="00E84283">
            <w:pPr>
              <w:spacing w:line="276" w:lineRule="auto"/>
              <w:jc w:val="center"/>
              <w:rPr>
                <w:sz w:val="22"/>
              </w:rPr>
            </w:pPr>
            <w:r>
              <w:rPr>
                <w:sz w:val="22"/>
              </w:rPr>
              <w:t>Parameter</w:t>
            </w:r>
          </w:p>
        </w:tc>
        <w:tc>
          <w:tcPr>
            <w:tcW w:w="1842" w:type="dxa"/>
          </w:tcPr>
          <w:p w14:paraId="0599D6CE" w14:textId="42FF4AA0" w:rsidR="001F4231" w:rsidRDefault="001F4231" w:rsidP="00E84283">
            <w:pPr>
              <w:spacing w:line="276" w:lineRule="auto"/>
              <w:jc w:val="center"/>
              <w:rPr>
                <w:sz w:val="22"/>
              </w:rPr>
            </w:pPr>
            <w:r w:rsidRPr="00A15E8E">
              <w:rPr>
                <w:sz w:val="22"/>
              </w:rPr>
              <w:t xml:space="preserve">Cost per unit </w:t>
            </w:r>
            <w:r w:rsidR="001575E8">
              <w:rPr>
                <w:sz w:val="22"/>
              </w:rPr>
              <w:t>GBP</w:t>
            </w:r>
          </w:p>
          <w:p w14:paraId="78AD7C34" w14:textId="53EB5048" w:rsidR="001575E8" w:rsidRPr="00A15E8E" w:rsidRDefault="001575E8" w:rsidP="00E84283">
            <w:pPr>
              <w:spacing w:line="276" w:lineRule="auto"/>
              <w:jc w:val="center"/>
              <w:rPr>
                <w:sz w:val="22"/>
              </w:rPr>
            </w:pPr>
            <w:r>
              <w:rPr>
                <w:sz w:val="22"/>
              </w:rPr>
              <w:t>(EUR)</w:t>
            </w:r>
          </w:p>
        </w:tc>
        <w:tc>
          <w:tcPr>
            <w:tcW w:w="3402" w:type="dxa"/>
          </w:tcPr>
          <w:p w14:paraId="3282CCAE" w14:textId="77777777" w:rsidR="001F4231" w:rsidRPr="00A15E8E" w:rsidRDefault="001F4231" w:rsidP="00E84283">
            <w:pPr>
              <w:spacing w:line="276" w:lineRule="auto"/>
              <w:jc w:val="center"/>
              <w:rPr>
                <w:sz w:val="22"/>
              </w:rPr>
            </w:pPr>
            <w:r w:rsidRPr="00A15E8E">
              <w:rPr>
                <w:sz w:val="22"/>
              </w:rPr>
              <w:t>Source</w:t>
            </w:r>
          </w:p>
        </w:tc>
      </w:tr>
      <w:tr w:rsidR="001F4231" w:rsidRPr="00A15E8E" w14:paraId="313C623B" w14:textId="77777777" w:rsidTr="00E84283">
        <w:trPr>
          <w:trHeight w:val="446"/>
        </w:trPr>
        <w:tc>
          <w:tcPr>
            <w:tcW w:w="4962" w:type="dxa"/>
          </w:tcPr>
          <w:p w14:paraId="2A08A7EB" w14:textId="77777777" w:rsidR="001F4231" w:rsidRPr="00A15E8E" w:rsidRDefault="001F4231" w:rsidP="00E84283">
            <w:pPr>
              <w:spacing w:line="276" w:lineRule="auto"/>
              <w:jc w:val="center"/>
              <w:rPr>
                <w:sz w:val="22"/>
              </w:rPr>
            </w:pPr>
            <w:r w:rsidRPr="00A15E8E">
              <w:rPr>
                <w:sz w:val="22"/>
              </w:rPr>
              <w:t>CT imaging study (CT of head without contrast)</w:t>
            </w:r>
          </w:p>
        </w:tc>
        <w:tc>
          <w:tcPr>
            <w:tcW w:w="1842" w:type="dxa"/>
          </w:tcPr>
          <w:p w14:paraId="457650A9" w14:textId="77777777" w:rsidR="001F4231" w:rsidRDefault="001F4231" w:rsidP="00E84283">
            <w:pPr>
              <w:spacing w:line="276" w:lineRule="auto"/>
              <w:jc w:val="center"/>
              <w:rPr>
                <w:sz w:val="22"/>
              </w:rPr>
            </w:pPr>
            <w:r w:rsidRPr="00A15E8E">
              <w:rPr>
                <w:sz w:val="22"/>
              </w:rPr>
              <w:t>90</w:t>
            </w:r>
          </w:p>
          <w:p w14:paraId="291EA2E3" w14:textId="600FB0C1" w:rsidR="001575E8" w:rsidRPr="00A15E8E" w:rsidRDefault="001575E8" w:rsidP="00E84283">
            <w:pPr>
              <w:spacing w:line="276" w:lineRule="auto"/>
              <w:jc w:val="center"/>
              <w:rPr>
                <w:sz w:val="22"/>
              </w:rPr>
            </w:pPr>
            <w:r>
              <w:rPr>
                <w:sz w:val="22"/>
              </w:rPr>
              <w:t>(103)</w:t>
            </w:r>
          </w:p>
        </w:tc>
        <w:tc>
          <w:tcPr>
            <w:tcW w:w="3402" w:type="dxa"/>
          </w:tcPr>
          <w:p w14:paraId="175BA101" w14:textId="77777777" w:rsidR="001F4231" w:rsidRPr="00A15E8E" w:rsidRDefault="001F4231" w:rsidP="00E84283">
            <w:pPr>
              <w:spacing w:line="276" w:lineRule="auto"/>
              <w:jc w:val="center"/>
              <w:rPr>
                <w:sz w:val="22"/>
              </w:rPr>
            </w:pPr>
            <w:r w:rsidRPr="00A15E8E">
              <w:rPr>
                <w:sz w:val="22"/>
              </w:rPr>
              <w:t>N</w:t>
            </w:r>
            <w:r>
              <w:rPr>
                <w:sz w:val="22"/>
              </w:rPr>
              <w:t xml:space="preserve">HS </w:t>
            </w:r>
            <w:r w:rsidRPr="00A15E8E">
              <w:rPr>
                <w:sz w:val="22"/>
              </w:rPr>
              <w:t>reference costs 2017-2018</w:t>
            </w:r>
            <w:r>
              <w:rPr>
                <w:sz w:val="22"/>
              </w:rPr>
              <w:t xml:space="preserve">, </w:t>
            </w:r>
            <w:r w:rsidRPr="00F250D8">
              <w:rPr>
                <w:sz w:val="22"/>
              </w:rPr>
              <w:t>IMAGOP</w:t>
            </w:r>
          </w:p>
        </w:tc>
      </w:tr>
      <w:tr w:rsidR="001F4231" w:rsidRPr="00A15E8E" w14:paraId="776A752E" w14:textId="77777777" w:rsidTr="00E84283">
        <w:trPr>
          <w:trHeight w:val="446"/>
        </w:trPr>
        <w:tc>
          <w:tcPr>
            <w:tcW w:w="4962" w:type="dxa"/>
          </w:tcPr>
          <w:p w14:paraId="7491341E" w14:textId="77777777" w:rsidR="001F4231" w:rsidRPr="00A15E8E" w:rsidRDefault="001F4231" w:rsidP="00E84283">
            <w:pPr>
              <w:spacing w:line="276" w:lineRule="auto"/>
              <w:jc w:val="center"/>
              <w:rPr>
                <w:sz w:val="22"/>
              </w:rPr>
            </w:pPr>
            <w:r w:rsidRPr="00A15E8E">
              <w:rPr>
                <w:sz w:val="22"/>
              </w:rPr>
              <w:t>MRI imaging study (MRI of brain with post-contrast)</w:t>
            </w:r>
          </w:p>
        </w:tc>
        <w:tc>
          <w:tcPr>
            <w:tcW w:w="1842" w:type="dxa"/>
          </w:tcPr>
          <w:p w14:paraId="7E5B9D9E" w14:textId="77777777" w:rsidR="001F4231" w:rsidRDefault="001F4231" w:rsidP="00E84283">
            <w:pPr>
              <w:spacing w:line="276" w:lineRule="auto"/>
              <w:jc w:val="center"/>
              <w:rPr>
                <w:sz w:val="22"/>
              </w:rPr>
            </w:pPr>
            <w:r w:rsidRPr="00A15E8E">
              <w:rPr>
                <w:sz w:val="22"/>
              </w:rPr>
              <w:t>165</w:t>
            </w:r>
          </w:p>
          <w:p w14:paraId="01895611" w14:textId="6EF86425" w:rsidR="001575E8" w:rsidRPr="00A15E8E" w:rsidRDefault="001575E8" w:rsidP="00E84283">
            <w:pPr>
              <w:spacing w:line="276" w:lineRule="auto"/>
              <w:jc w:val="center"/>
              <w:rPr>
                <w:sz w:val="22"/>
              </w:rPr>
            </w:pPr>
            <w:r>
              <w:rPr>
                <w:sz w:val="22"/>
              </w:rPr>
              <w:t>(188)</w:t>
            </w:r>
          </w:p>
        </w:tc>
        <w:tc>
          <w:tcPr>
            <w:tcW w:w="3402" w:type="dxa"/>
          </w:tcPr>
          <w:p w14:paraId="0CB784B3" w14:textId="77777777" w:rsidR="001F4231" w:rsidRPr="00A15E8E" w:rsidRDefault="001F4231" w:rsidP="00E84283">
            <w:pPr>
              <w:spacing w:line="276" w:lineRule="auto"/>
              <w:jc w:val="center"/>
              <w:rPr>
                <w:sz w:val="22"/>
              </w:rPr>
            </w:pPr>
            <w:r w:rsidRPr="00A15E8E">
              <w:rPr>
                <w:sz w:val="22"/>
              </w:rPr>
              <w:t>N</w:t>
            </w:r>
            <w:r>
              <w:rPr>
                <w:sz w:val="22"/>
              </w:rPr>
              <w:t>HS</w:t>
            </w:r>
            <w:r w:rsidRPr="00A15E8E">
              <w:rPr>
                <w:sz w:val="22"/>
              </w:rPr>
              <w:t xml:space="preserve"> reference costs 2017-2018</w:t>
            </w:r>
            <w:r>
              <w:rPr>
                <w:sz w:val="22"/>
              </w:rPr>
              <w:t xml:space="preserve">, </w:t>
            </w:r>
            <w:r w:rsidRPr="00F250D8">
              <w:rPr>
                <w:sz w:val="22"/>
              </w:rPr>
              <w:t>IMAGOP</w:t>
            </w:r>
          </w:p>
        </w:tc>
      </w:tr>
      <w:tr w:rsidR="001F4231" w:rsidRPr="00A15E8E" w14:paraId="02F809FD" w14:textId="77777777" w:rsidTr="00E84283">
        <w:trPr>
          <w:trHeight w:val="446"/>
        </w:trPr>
        <w:tc>
          <w:tcPr>
            <w:tcW w:w="4962" w:type="dxa"/>
          </w:tcPr>
          <w:p w14:paraId="6D795542" w14:textId="2D2ECB46" w:rsidR="001F4231" w:rsidRDefault="00672948" w:rsidP="00E84283">
            <w:pPr>
              <w:spacing w:line="276" w:lineRule="auto"/>
              <w:jc w:val="center"/>
              <w:rPr>
                <w:sz w:val="22"/>
              </w:rPr>
            </w:pPr>
            <w:r>
              <w:rPr>
                <w:sz w:val="20"/>
                <w:szCs w:val="20"/>
              </w:rPr>
              <w:t>Liquid Biopsy Test</w:t>
            </w:r>
          </w:p>
        </w:tc>
        <w:tc>
          <w:tcPr>
            <w:tcW w:w="1842" w:type="dxa"/>
          </w:tcPr>
          <w:p w14:paraId="111EAC86" w14:textId="77777777" w:rsidR="001F4231" w:rsidRDefault="001F4231" w:rsidP="00E84283">
            <w:pPr>
              <w:spacing w:line="276" w:lineRule="auto"/>
              <w:jc w:val="center"/>
              <w:rPr>
                <w:sz w:val="22"/>
              </w:rPr>
            </w:pPr>
            <w:r>
              <w:rPr>
                <w:sz w:val="22"/>
              </w:rPr>
              <w:t xml:space="preserve"> 50, 75, 100, 200</w:t>
            </w:r>
          </w:p>
          <w:p w14:paraId="62C8C0FB" w14:textId="561871D0" w:rsidR="001575E8" w:rsidRDefault="001575E8" w:rsidP="00E84283">
            <w:pPr>
              <w:spacing w:line="276" w:lineRule="auto"/>
              <w:jc w:val="center"/>
              <w:rPr>
                <w:sz w:val="22"/>
              </w:rPr>
            </w:pPr>
            <w:r>
              <w:rPr>
                <w:sz w:val="22"/>
              </w:rPr>
              <w:t>(57, 86, 114, 228)</w:t>
            </w:r>
          </w:p>
        </w:tc>
        <w:tc>
          <w:tcPr>
            <w:tcW w:w="3402" w:type="dxa"/>
          </w:tcPr>
          <w:p w14:paraId="4AA04EB3" w14:textId="77777777" w:rsidR="001F4231" w:rsidRDefault="001F4231" w:rsidP="00E84283">
            <w:pPr>
              <w:spacing w:line="276" w:lineRule="auto"/>
              <w:jc w:val="center"/>
              <w:rPr>
                <w:sz w:val="22"/>
              </w:rPr>
            </w:pPr>
            <w:r>
              <w:rPr>
                <w:sz w:val="22"/>
              </w:rPr>
              <w:t>Examined prices</w:t>
            </w:r>
          </w:p>
        </w:tc>
      </w:tr>
    </w:tbl>
    <w:p w14:paraId="00A3E40A" w14:textId="77777777" w:rsidR="001F4231" w:rsidRDefault="001F4231" w:rsidP="001F4231"/>
    <w:p w14:paraId="2A6FFECC" w14:textId="77777777" w:rsidR="001F4231" w:rsidRDefault="001F4231" w:rsidP="001F4231">
      <w:pPr>
        <w:pStyle w:val="Caption"/>
      </w:pPr>
      <w:bookmarkStart w:id="0" w:name="_Ref40385200"/>
      <w:r>
        <w:t xml:space="preserve">Table SA </w:t>
      </w:r>
      <w:fldSimple w:instr=" SEQ Table_SA \* ARABIC ">
        <w:r>
          <w:rPr>
            <w:noProof/>
          </w:rPr>
          <w:t>2</w:t>
        </w:r>
      </w:fldSimple>
      <w:bookmarkEnd w:id="0"/>
      <w:r>
        <w:t xml:space="preserve"> – Updated decision tree model parameters</w:t>
      </w:r>
    </w:p>
    <w:tbl>
      <w:tblPr>
        <w:tblW w:w="4000" w:type="pct"/>
        <w:tblBorders>
          <w:top w:val="nil"/>
          <w:left w:val="nil"/>
          <w:bottom w:val="nil"/>
          <w:right w:val="nil"/>
        </w:tblBorders>
        <w:tblLook w:val="0000" w:firstRow="0" w:lastRow="0" w:firstColumn="0" w:lastColumn="0" w:noHBand="0" w:noVBand="0"/>
      </w:tblPr>
      <w:tblGrid>
        <w:gridCol w:w="1807"/>
        <w:gridCol w:w="1805"/>
        <w:gridCol w:w="1805"/>
        <w:gridCol w:w="1804"/>
      </w:tblGrid>
      <w:tr w:rsidR="003416D8" w14:paraId="355B466B" w14:textId="2A0F8A4D" w:rsidTr="003416D8">
        <w:trPr>
          <w:trHeight w:val="88"/>
        </w:trPr>
        <w:tc>
          <w:tcPr>
            <w:tcW w:w="1251" w:type="pct"/>
            <w:tcBorders>
              <w:top w:val="single" w:sz="8" w:space="0" w:color="auto"/>
              <w:bottom w:val="nil"/>
            </w:tcBorders>
          </w:tcPr>
          <w:p w14:paraId="384F58DC" w14:textId="4F650044" w:rsidR="003416D8" w:rsidRPr="00950ADE" w:rsidRDefault="003416D8" w:rsidP="00E84283">
            <w:pPr>
              <w:pStyle w:val="Default"/>
              <w:rPr>
                <w:b/>
                <w:bCs/>
                <w:sz w:val="20"/>
                <w:szCs w:val="20"/>
              </w:rPr>
            </w:pPr>
            <w:r w:rsidRPr="00950ADE">
              <w:rPr>
                <w:b/>
                <w:bCs/>
                <w:sz w:val="20"/>
                <w:szCs w:val="20"/>
              </w:rPr>
              <w:t>Parameter</w:t>
            </w:r>
          </w:p>
        </w:tc>
        <w:tc>
          <w:tcPr>
            <w:tcW w:w="1250" w:type="pct"/>
            <w:tcBorders>
              <w:top w:val="single" w:sz="8" w:space="0" w:color="auto"/>
              <w:bottom w:val="nil"/>
            </w:tcBorders>
          </w:tcPr>
          <w:p w14:paraId="5710C976" w14:textId="3CBC6AB0" w:rsidR="003416D8" w:rsidRDefault="003416D8" w:rsidP="00E84283">
            <w:pPr>
              <w:pStyle w:val="Default"/>
              <w:rPr>
                <w:b/>
                <w:bCs/>
                <w:sz w:val="20"/>
                <w:szCs w:val="20"/>
              </w:rPr>
            </w:pPr>
            <w:r>
              <w:rPr>
                <w:b/>
                <w:bCs/>
                <w:sz w:val="20"/>
                <w:szCs w:val="20"/>
              </w:rPr>
              <w:t>Value</w:t>
            </w:r>
          </w:p>
        </w:tc>
        <w:tc>
          <w:tcPr>
            <w:tcW w:w="1250" w:type="pct"/>
            <w:tcBorders>
              <w:top w:val="single" w:sz="8" w:space="0" w:color="auto"/>
              <w:bottom w:val="nil"/>
            </w:tcBorders>
          </w:tcPr>
          <w:p w14:paraId="6E3FCFCD" w14:textId="6DB51272" w:rsidR="003416D8" w:rsidRDefault="003416D8" w:rsidP="00E84283">
            <w:pPr>
              <w:pStyle w:val="Default"/>
              <w:rPr>
                <w:b/>
                <w:bCs/>
                <w:sz w:val="20"/>
                <w:szCs w:val="20"/>
              </w:rPr>
            </w:pPr>
            <w:r>
              <w:rPr>
                <w:b/>
                <w:bCs/>
                <w:sz w:val="20"/>
                <w:szCs w:val="20"/>
              </w:rPr>
              <w:t>Distribution for PSA, if applicable</w:t>
            </w:r>
          </w:p>
        </w:tc>
        <w:tc>
          <w:tcPr>
            <w:tcW w:w="1250" w:type="pct"/>
            <w:tcBorders>
              <w:top w:val="single" w:sz="8" w:space="0" w:color="auto"/>
              <w:bottom w:val="nil"/>
            </w:tcBorders>
          </w:tcPr>
          <w:p w14:paraId="3139655E" w14:textId="53473818" w:rsidR="003416D8" w:rsidRDefault="003416D8" w:rsidP="00E84283">
            <w:pPr>
              <w:pStyle w:val="Default"/>
              <w:rPr>
                <w:b/>
                <w:bCs/>
                <w:sz w:val="20"/>
                <w:szCs w:val="20"/>
              </w:rPr>
            </w:pPr>
            <w:r>
              <w:rPr>
                <w:b/>
                <w:bCs/>
                <w:sz w:val="20"/>
                <w:szCs w:val="20"/>
              </w:rPr>
              <w:t>Source</w:t>
            </w:r>
          </w:p>
        </w:tc>
      </w:tr>
      <w:tr w:rsidR="003416D8" w14:paraId="039A970E" w14:textId="01F2A63D" w:rsidTr="003416D8">
        <w:trPr>
          <w:trHeight w:val="88"/>
        </w:trPr>
        <w:tc>
          <w:tcPr>
            <w:tcW w:w="1251" w:type="pct"/>
            <w:tcBorders>
              <w:top w:val="nil"/>
              <w:left w:val="nil"/>
              <w:bottom w:val="nil"/>
            </w:tcBorders>
          </w:tcPr>
          <w:p w14:paraId="7D6F98D6" w14:textId="04AC1334" w:rsidR="003416D8" w:rsidRPr="00950ADE" w:rsidRDefault="003416D8" w:rsidP="00E84283">
            <w:pPr>
              <w:pStyle w:val="Default"/>
              <w:rPr>
                <w:sz w:val="20"/>
                <w:szCs w:val="20"/>
              </w:rPr>
            </w:pPr>
            <w:r w:rsidRPr="00950ADE">
              <w:rPr>
                <w:sz w:val="20"/>
                <w:szCs w:val="20"/>
              </w:rPr>
              <w:t>Prevalence Primary Care</w:t>
            </w:r>
          </w:p>
        </w:tc>
        <w:tc>
          <w:tcPr>
            <w:tcW w:w="1250" w:type="pct"/>
            <w:tcBorders>
              <w:top w:val="nil"/>
              <w:bottom w:val="nil"/>
            </w:tcBorders>
          </w:tcPr>
          <w:p w14:paraId="3D475290" w14:textId="4704ECA1" w:rsidR="003416D8" w:rsidRPr="00950ADE" w:rsidRDefault="003416D8" w:rsidP="00E84283">
            <w:pPr>
              <w:pStyle w:val="Default"/>
              <w:rPr>
                <w:sz w:val="20"/>
                <w:szCs w:val="20"/>
              </w:rPr>
            </w:pPr>
            <w:r w:rsidRPr="00950ADE">
              <w:rPr>
                <w:sz w:val="20"/>
                <w:szCs w:val="20"/>
              </w:rPr>
              <w:t>0.01 (1%)</w:t>
            </w:r>
          </w:p>
        </w:tc>
        <w:tc>
          <w:tcPr>
            <w:tcW w:w="1250" w:type="pct"/>
            <w:tcBorders>
              <w:top w:val="nil"/>
              <w:bottom w:val="nil"/>
            </w:tcBorders>
          </w:tcPr>
          <w:p w14:paraId="11681E80" w14:textId="43A7839E" w:rsidR="003416D8" w:rsidRDefault="00690AE8" w:rsidP="00E84283">
            <w:pPr>
              <w:pStyle w:val="Default"/>
              <w:rPr>
                <w:sz w:val="20"/>
                <w:szCs w:val="20"/>
              </w:rPr>
            </w:pPr>
            <w:r>
              <w:rPr>
                <w:sz w:val="20"/>
                <w:szCs w:val="20"/>
              </w:rPr>
              <w:t>Beta (</w:t>
            </w:r>
            <w:r w:rsidR="00EB4994">
              <w:rPr>
                <w:sz w:val="20"/>
                <w:szCs w:val="20"/>
              </w:rPr>
              <w:t>5,495</w:t>
            </w:r>
            <w:r>
              <w:rPr>
                <w:sz w:val="20"/>
                <w:szCs w:val="20"/>
              </w:rPr>
              <w:t>)</w:t>
            </w:r>
          </w:p>
        </w:tc>
        <w:tc>
          <w:tcPr>
            <w:tcW w:w="1250" w:type="pct"/>
            <w:tcBorders>
              <w:top w:val="nil"/>
              <w:bottom w:val="nil"/>
              <w:right w:val="nil"/>
            </w:tcBorders>
          </w:tcPr>
          <w:p w14:paraId="54E01287" w14:textId="2113D892" w:rsidR="003416D8" w:rsidRPr="00147E31" w:rsidRDefault="003416D8" w:rsidP="00E84283">
            <w:pPr>
              <w:pStyle w:val="Default"/>
              <w:rPr>
                <w:sz w:val="20"/>
                <w:szCs w:val="20"/>
              </w:rPr>
            </w:pPr>
            <w:r>
              <w:rPr>
                <w:sz w:val="20"/>
                <w:szCs w:val="20"/>
              </w:rPr>
              <w:t xml:space="preserve">Expert opinion </w:t>
            </w:r>
            <w:r>
              <w:rPr>
                <w:sz w:val="20"/>
                <w:szCs w:val="20"/>
              </w:rPr>
              <w:fldChar w:fldCharType="begin" w:fldLock="1"/>
            </w:r>
            <w:r>
              <w:rPr>
                <w:sz w:val="20"/>
                <w:szCs w:val="20"/>
              </w:rPr>
              <w:instrText>ADDIN CSL_CITATION {"citationItems":[{"id":"ITEM-1","itemData":{"DOI":"10.1136/bmjopen-2017-017593","ISSN":"20446055","abstract":"Objectives To determine the potential costs and health benefits of a serum-based spectroscopic triage tool for brain tumours, which could be developed to reduce diagnostic delays in the current clinical pathway. Design A model-based health pre-trial economic assessment. Decision tree models were constructed based on simplified diagnostic pathways. Models were populated with parameters identified from rapid reviews of the literature and clinical expert opinion. Setting Explored as a test in both primary and secondary care (neuroimaging) in the UK health service, as well as application to the USA. Participants Calculations based on an initial cohort of 10 000 patients. In primary care, it is estimated that the volume of tests would approach 75 000 per annum. The volume of tests in secondary care is estimated at 53 000 per annum. Main outcome measures The primary outcome measure was quality-adjusted life-years (QALY), which were employed to derive incremental cost-effectiveness ratios (ICER) in a cost-effectiveness analysis. Results Results indicate that using a blood-based spectroscopic test in both scenarios has the potential to be highly cost-effective in a health technology assessment agency decision-making process, as ICERs were well below standard threshold values of £20 000-£30 000 per QALY. This test may be cost-effective in both scenarios with test sensitivities and specificities as low as 80%; however, the price of the test would need to be lower (less than approximately £40). Conclusion Use of this test as triage tool in primary care has the potential to be both more effective and cost saving for the health service. In secondary care, this test would also be deemed more effective than the current diagnostic pathway.","author":[{"dropping-particle":"","family":"Gray","given":"Ewan","non-dropping-particle":"","parse-names":false,"suffix":""},{"dropping-particle":"","family":"Butler","given":"Holly J.","non-dropping-particle":"","parse-names":false,"suffix":""},{"dropping-particle":"","family":"Board","given":"Ruth","non-dropping-particle":"","parse-names":false,"suffix":""},{"dropping-particle":"","family":"Brennan","given":"Paul M.","non-dropping-particle":"","parse-names":false,"suffix":""},{"dropping-particle":"","family":"Chalmers","given":"Anthony J.","non-dropping-particle":"","parse-names":false,"suffix":""},{"dropping-particle":"","family":"Dawson","given":"Timothy","non-dropping-particle":"","parse-names":false,"suffix":""},{"dropping-particle":"","family":"Goodden","given":"John","non-dropping-particle":"","parse-names":false,"suffix":""},{"dropping-particle":"","family":"Hamilton","given":"Willie","non-dropping-particle":"","parse-names":false,"suffix":""},{"dropping-particle":"","family":"Hegarty","given":"Mark G.","non-dropping-particle":"","parse-names":false,"suffix":""},{"dropping-particle":"","family":"James","given":"Allan","non-dropping-particle":"","parse-names":false,"suffix":""},{"dropping-particle":"","family":"Jenkinson","given":"Michael D.","non-dropping-particle":"","parse-names":false,"suffix":""},{"dropping-particle":"","family":"Kernick","given":"David","non-dropping-particle":"","parse-names":false,"suffix":""},{"dropping-particle":"","family":"Lekka","given":"Elvira","non-dropping-particle":"","parse-names":false,"suffix":""},{"dropping-particle":"","family":"Livermore","given":"Laurent J.","non-dropping-particle":"","parse-names":false,"suffix":""},{"dropping-particle":"","family":"Mills","given":"Samantha J.","non-dropping-particle":"","parse-names":false,"suffix":""},{"dropping-particle":"","family":"O'Neill","given":"Kevin","non-dropping-particle":"","parse-names":false,"suffix":""},{"dropping-particle":"","family":"Palmer","given":"David S.","non-dropping-particle":"","parse-names":false,"suffix":""},{"dropping-particle":"","family":"Vaqas","given":"Babar","non-dropping-particle":"","parse-names":false,"suffix":""},{"dropping-particle":"","family":"Baker","given":"Matthew J.","non-dropping-particle":"","parse-names":false,"suffix":""}],"container-title":"BMJ Open","id":"ITEM-1","issue":"5","issued":{"date-parts":[["2018","5","1"]]},"publisher":"BMJ Publishing Group","title":"Health economic evaluation of a serum-based blood test for brain tumour diagnosis: Exploration of two clinical scenarios","type":"article-journal","volume":"8"},"uris":["http://www.mendeley.com/documents/?uuid=2b0dfa23-c2c6-34ce-88c9-b85d6cb0c0d4"]}],"mendeley":{"formattedCitation":"(1)","plainTextFormattedCitation":"(1)","previouslyFormattedCitation":"(1)"},"properties":{"noteIndex":0},"schema":"https://github.com/citation-style-language/schema/raw/master/csl-citation.json"}</w:instrText>
            </w:r>
            <w:r>
              <w:rPr>
                <w:sz w:val="20"/>
                <w:szCs w:val="20"/>
              </w:rPr>
              <w:fldChar w:fldCharType="separate"/>
            </w:r>
            <w:r w:rsidRPr="00147E31">
              <w:rPr>
                <w:noProof/>
                <w:sz w:val="20"/>
                <w:szCs w:val="20"/>
              </w:rPr>
              <w:t>(1)</w:t>
            </w:r>
            <w:r>
              <w:rPr>
                <w:sz w:val="20"/>
                <w:szCs w:val="20"/>
              </w:rPr>
              <w:fldChar w:fldCharType="end"/>
            </w:r>
          </w:p>
        </w:tc>
      </w:tr>
      <w:tr w:rsidR="003416D8" w14:paraId="1CBE9452" w14:textId="3333B0DE" w:rsidTr="003416D8">
        <w:trPr>
          <w:trHeight w:val="88"/>
        </w:trPr>
        <w:tc>
          <w:tcPr>
            <w:tcW w:w="1251" w:type="pct"/>
            <w:tcBorders>
              <w:top w:val="nil"/>
              <w:left w:val="nil"/>
              <w:bottom w:val="nil"/>
            </w:tcBorders>
          </w:tcPr>
          <w:p w14:paraId="7CB84BA0" w14:textId="3F5EEAA2" w:rsidR="003416D8" w:rsidRPr="00950ADE" w:rsidRDefault="003416D8" w:rsidP="00E84283">
            <w:pPr>
              <w:pStyle w:val="Default"/>
              <w:rPr>
                <w:sz w:val="20"/>
                <w:szCs w:val="20"/>
              </w:rPr>
            </w:pPr>
            <w:r w:rsidRPr="00950ADE">
              <w:rPr>
                <w:sz w:val="20"/>
                <w:szCs w:val="20"/>
              </w:rPr>
              <w:t>Prevalence Secondary Care</w:t>
            </w:r>
          </w:p>
        </w:tc>
        <w:tc>
          <w:tcPr>
            <w:tcW w:w="1250" w:type="pct"/>
            <w:tcBorders>
              <w:top w:val="nil"/>
              <w:bottom w:val="nil"/>
            </w:tcBorders>
          </w:tcPr>
          <w:p w14:paraId="453A2DF0" w14:textId="357FBACE" w:rsidR="003416D8" w:rsidRPr="00950ADE" w:rsidRDefault="003416D8" w:rsidP="00E84283">
            <w:pPr>
              <w:pStyle w:val="Default"/>
              <w:rPr>
                <w:sz w:val="20"/>
                <w:szCs w:val="20"/>
              </w:rPr>
            </w:pPr>
            <w:r w:rsidRPr="00950ADE">
              <w:rPr>
                <w:sz w:val="20"/>
                <w:szCs w:val="20"/>
              </w:rPr>
              <w:t>0.03 (3%)</w:t>
            </w:r>
          </w:p>
        </w:tc>
        <w:tc>
          <w:tcPr>
            <w:tcW w:w="1250" w:type="pct"/>
            <w:tcBorders>
              <w:top w:val="nil"/>
              <w:bottom w:val="nil"/>
            </w:tcBorders>
          </w:tcPr>
          <w:p w14:paraId="1E431A47" w14:textId="02D14078" w:rsidR="003416D8" w:rsidRDefault="00690AE8" w:rsidP="00E84283">
            <w:pPr>
              <w:pStyle w:val="Default"/>
              <w:rPr>
                <w:sz w:val="20"/>
                <w:szCs w:val="20"/>
              </w:rPr>
            </w:pPr>
            <w:r>
              <w:rPr>
                <w:sz w:val="20"/>
                <w:szCs w:val="20"/>
              </w:rPr>
              <w:t>Beta (</w:t>
            </w:r>
            <w:r w:rsidR="00EB4994">
              <w:rPr>
                <w:sz w:val="20"/>
                <w:szCs w:val="20"/>
              </w:rPr>
              <w:t>22.5,750</w:t>
            </w:r>
            <w:r>
              <w:rPr>
                <w:sz w:val="20"/>
                <w:szCs w:val="20"/>
              </w:rPr>
              <w:t>)</w:t>
            </w:r>
          </w:p>
        </w:tc>
        <w:tc>
          <w:tcPr>
            <w:tcW w:w="1250" w:type="pct"/>
            <w:tcBorders>
              <w:top w:val="nil"/>
              <w:bottom w:val="nil"/>
              <w:right w:val="nil"/>
            </w:tcBorders>
          </w:tcPr>
          <w:p w14:paraId="61150DBD" w14:textId="6604A957" w:rsidR="003416D8" w:rsidRPr="00147E31" w:rsidRDefault="003416D8" w:rsidP="00E84283">
            <w:pPr>
              <w:pStyle w:val="Default"/>
              <w:rPr>
                <w:sz w:val="20"/>
                <w:szCs w:val="20"/>
              </w:rPr>
            </w:pPr>
            <w:r>
              <w:rPr>
                <w:sz w:val="20"/>
                <w:szCs w:val="20"/>
              </w:rPr>
              <w:fldChar w:fldCharType="begin" w:fldLock="1"/>
            </w:r>
            <w:r>
              <w:rPr>
                <w:sz w:val="20"/>
                <w:szCs w:val="20"/>
              </w:rPr>
              <w:instrText>ADDIN CSL_CITATION {"citationItems":[{"id":"ITEM-1","itemData":{"DOI":"10.1007/s00415-010-5506-7","ISSN":"03405354","abstract":"Guidelines recommend imaging only headache patients with sinister features in the history or on examination. We prospectively collected data on imaging newly presenting patients to a UK headache service. CT and MRI results were classified as normal or showing an insignificant or significant abnormality. Over 5 years, 3,655 new patients (69% female; mean age 42.0 years) with headache disorders were seen. Five hundred thirty (14.5%) underwent imaging with large differences in the proportion referred by each consultant. There were more insignificant abnormalities on MRI (46%) than CT (28%). There were 11 significantly abnormal results (2.1% of those imaged). Significant abnormalities were found in patients diagnosed with migraine in 1.2% and in 0.9% of those with tension-type headache. Significant abnormalities in those suspected to have an intracranial abnormality occurred in 5.5%. This supports the practice of selecting patients with suspicious findings for imaging, rather than imaging all patients. © 2010 Springer-Verlag.","author":[{"dropping-particle":"","family":"Clarke","given":"C. E.","non-dropping-particle":"","parse-names":false,"suffix":""},{"dropping-particle":"","family":"Edwards","given":"J.","non-dropping-particle":"","parse-names":false,"suffix":""},{"dropping-particle":"","family":"Nicholl","given":"D. J.","non-dropping-particle":"","parse-names":false,"suffix":""},{"dropping-particle":"","family":"Sivaguru","given":"A.","non-dropping-particle":"","parse-names":false,"suffix":""}],"container-title":"Journal of Neurology","id":"ITEM-1","issued":{"date-parts":[["2010"]]},"title":"Imaging results in a consecutive series of 530 new patients in the Birmingham Headache Service","type":"article-journal"},"uris":["http://www.mendeley.com/documents/?uuid=5cb9f170-be1f-48e8-8200-bba0047aca96"]},{"id":"ITEM-2","itemData":{"DOI":"10.1111/j.1468-2982.2004.00798.x","ISSN":"03331024","PMID":"15606567","abstract":"Available studies offer only limited guidance on neuroimaging of non-acute headache patients. The aim of this study was to estimate the frequency of significant intracranial lesions in patients with headache and to determine the clinical variables helpful in identifying patients with intracranial lesions. All patients aged ≥15 years attending the Neurology Clinic with non-acute headache were included in the study and followed prospectively. Every patient was investigated by neuroimaging studies, either computed tomography or magnetic resonance imaging. Neuroimaging results were classified as 'significant abnormalities', 'non-significant abnormalities' or 'normal'. Significant abnormalities included neoplastic disease, hydrocephalus, vascular malformations, Chiari malformation, large arachnoid cysts, intracranial haemorrhage, and acute cerebral infarcts. Consecutive patients (n = 1876; 1243 women and 633 men) were included. Their mean age was 38 years (range 15-95 years). Neuroimaging studies detected significant lesions in 22 patients [1.2%, 95% confidence interval (CI) 0.7, 1.8]. The rate of significant intracranial abnormalities in patients with headache and normal neurological examination was 0.9% (95% CI 0.5, 1.4). The only clinical variable associated with a higher probability of intracranial abnormalities was neurological examination. The proportion of patients with headache and intracranial lesions is relatively small, but neither neurological examination nor the features in the clinical history permit us to rule out such abnormalities.","author":[{"dropping-particle":"","family":"Sempere","given":"Angel P.","non-dropping-particle":"","parse-names":false,"suffix":""},{"dropping-particle":"","family":"Porta-Etessama","given":"J.","non-dropping-particle":"","parse-names":false,"suffix":""},{"dropping-particle":"","family":"Medrano","given":"V.","non-dropping-particle":"","parse-names":false,"suffix":""},{"dropping-particle":"","family":"Garcia-Morales","given":"I.","non-dropping-particle":"","parse-names":false,"suffix":""},{"dropping-particle":"","family":"Concepcións","given":"L.","non-dropping-particle":"","parse-names":false,"suffix":""},{"dropping-particle":"","family":"Ramos","given":"A.","non-dropping-particle":"","parse-names":false,"suffix":""},{"dropping-particle":"","family":"Florencio","given":"I.","non-dropping-particle":"","parse-names":false,"suffix":""},{"dropping-particle":"","family":"Bermejo","given":"F.","non-dropping-particle":"","parse-names":false,"suffix":""},{"dropping-particle":"","family":"Botella","given":"C.","non-dropping-particle":"","parse-names":false,"suffix":""}],"container-title":"Cephalalgia","id":"ITEM-2","issued":{"date-parts":[["2005"]]},"title":"Neuroimaging in the evaluation of patients with non-acute headache","type":"article-journal"},"uris":["http://www.mendeley.com/documents/?uuid=3df53607-b714-4250-bd88-08d0916470c2"]}],"mendeley":{"formattedCitation":"(2,3)","plainTextFormattedCitation":"(2,3)","previouslyFormattedCitation":"(2,3)"},"properties":{"noteIndex":0},"schema":"https://github.com/citation-style-language/schema/raw/master/csl-citation.json"}</w:instrText>
            </w:r>
            <w:r>
              <w:rPr>
                <w:sz w:val="20"/>
                <w:szCs w:val="20"/>
              </w:rPr>
              <w:fldChar w:fldCharType="separate"/>
            </w:r>
            <w:r w:rsidRPr="00716877">
              <w:rPr>
                <w:noProof/>
                <w:sz w:val="20"/>
                <w:szCs w:val="20"/>
              </w:rPr>
              <w:t>(2,3)</w:t>
            </w:r>
            <w:r>
              <w:rPr>
                <w:sz w:val="20"/>
                <w:szCs w:val="20"/>
              </w:rPr>
              <w:fldChar w:fldCharType="end"/>
            </w:r>
          </w:p>
        </w:tc>
      </w:tr>
      <w:tr w:rsidR="003416D8" w14:paraId="349C0CE6" w14:textId="7FBCE45F" w:rsidTr="003416D8">
        <w:trPr>
          <w:trHeight w:val="88"/>
        </w:trPr>
        <w:tc>
          <w:tcPr>
            <w:tcW w:w="1251" w:type="pct"/>
            <w:tcBorders>
              <w:top w:val="nil"/>
              <w:left w:val="nil"/>
              <w:bottom w:val="nil"/>
            </w:tcBorders>
          </w:tcPr>
          <w:p w14:paraId="3D1BC1A2" w14:textId="1AEC41D7" w:rsidR="003416D8" w:rsidRPr="00950ADE" w:rsidRDefault="003416D8" w:rsidP="00E84283">
            <w:pPr>
              <w:pStyle w:val="Default"/>
              <w:rPr>
                <w:sz w:val="20"/>
                <w:szCs w:val="20"/>
              </w:rPr>
            </w:pPr>
            <w:r>
              <w:rPr>
                <w:sz w:val="20"/>
                <w:szCs w:val="20"/>
              </w:rPr>
              <w:t>Hazard ratio for delay to diagnosis (per day)</w:t>
            </w:r>
          </w:p>
        </w:tc>
        <w:tc>
          <w:tcPr>
            <w:tcW w:w="1250" w:type="pct"/>
            <w:tcBorders>
              <w:top w:val="nil"/>
              <w:bottom w:val="nil"/>
            </w:tcBorders>
          </w:tcPr>
          <w:p w14:paraId="6CE029D5" w14:textId="6CA2FE1A" w:rsidR="003416D8" w:rsidRPr="00950ADE" w:rsidRDefault="003416D8" w:rsidP="00E84283">
            <w:pPr>
              <w:pStyle w:val="Default"/>
              <w:rPr>
                <w:sz w:val="20"/>
                <w:szCs w:val="20"/>
              </w:rPr>
            </w:pPr>
            <w:r>
              <w:rPr>
                <w:sz w:val="20"/>
                <w:szCs w:val="20"/>
              </w:rPr>
              <w:t>1.015</w:t>
            </w:r>
          </w:p>
        </w:tc>
        <w:tc>
          <w:tcPr>
            <w:tcW w:w="1250" w:type="pct"/>
            <w:tcBorders>
              <w:top w:val="nil"/>
              <w:bottom w:val="nil"/>
            </w:tcBorders>
          </w:tcPr>
          <w:p w14:paraId="1C998B06" w14:textId="579B096A" w:rsidR="003416D8" w:rsidRDefault="00EB4994" w:rsidP="00E84283">
            <w:pPr>
              <w:pStyle w:val="Default"/>
              <w:rPr>
                <w:sz w:val="20"/>
                <w:szCs w:val="20"/>
              </w:rPr>
            </w:pPr>
            <w:r>
              <w:rPr>
                <w:sz w:val="20"/>
                <w:szCs w:val="20"/>
              </w:rPr>
              <w:t>Normal (1.015, 0.005)</w:t>
            </w:r>
          </w:p>
        </w:tc>
        <w:tc>
          <w:tcPr>
            <w:tcW w:w="1250" w:type="pct"/>
            <w:tcBorders>
              <w:top w:val="nil"/>
              <w:bottom w:val="nil"/>
              <w:right w:val="nil"/>
            </w:tcBorders>
          </w:tcPr>
          <w:p w14:paraId="0C92131D" w14:textId="4FA42112" w:rsidR="003416D8" w:rsidRPr="00147E31" w:rsidRDefault="003416D8" w:rsidP="00E84283">
            <w:pPr>
              <w:pStyle w:val="Default"/>
              <w:rPr>
                <w:sz w:val="20"/>
                <w:szCs w:val="20"/>
              </w:rPr>
            </w:pPr>
            <w:r>
              <w:rPr>
                <w:sz w:val="20"/>
                <w:szCs w:val="20"/>
              </w:rPr>
              <w:fldChar w:fldCharType="begin" w:fldLock="1"/>
            </w:r>
            <w:r>
              <w:rPr>
                <w:sz w:val="20"/>
                <w:szCs w:val="20"/>
              </w:rPr>
              <w:instrText>ADDIN CSL_CITATION {"citationItems":[{"id":"ITEM-1","itemData":{"DOI":"10.1016/S0167-8140(00)00257-7","ISSN":"01678140","abstract":"Aim: To determine the effect of waiting time for radiotherapy on the overall survival of patients with high-grade gliomas. Methods: We examined records of patients with grade III/IV gliomas who were referred to radiotherapy after surgery or biopsy - ECOG &lt;3, any age, radical intent or palliative intent with dose &gt;50 Gy, no interstitial or radiosurgery boost. Waiting time was defined in two ways, time from biopsy to radiotherapy and time from presentation to radiotherapy department to start of radiotherapy. Results: There were 182 patients in the study having a median survival of 8.5 months, with a median follow up of 10.5 months. The group comprised of 63 (35%) grade III and 119 (65%) grade IV gliomas. Median times and ranges from biopsy and presentation to treatment were 26 days (4-78 days) and 15 days (1-62 days), respectively. The median dose was 60 Gy in a median of 30 fractions over a median of 46 days. Tumour progression before and during radiotherapy occurred in seven patients (4%) and 19 patients (11%), respectively. One hundred and seventy-nine patients died of disease. The seven patients whose tumour progressed before radiotherapy were excluded from the analysis of prognostic variables. In a multivariate analysis the variables that were significantly associated with worse survival were older age, reduced dose and prolonged waiting time from presentation. The risk of death increased by 2% for each day of waiting for radiotherapy. Conclusion: The study showed longer waiting time from presentation at radiotherapy department to treatment to be a significant predictor of overall survival for patients with high-grade glioma. Copyright (C) 2000 Elsevier Science Ireland Ltd.","author":[{"dropping-particle":"","family":"Do","given":"Viet","non-dropping-particle":"","parse-names":false,"suffix":""},{"dropping-particle":"","family":"Gebski","given":"Val","non-dropping-particle":"","parse-names":false,"suffix":""},{"dropping-particle":"","family":"Barton","given":"Michael B.","non-dropping-particle":"","parse-names":false,"suffix":""}],"container-title":"Radiotherapy and Oncology","id":"ITEM-1","issue":"2","issued":{"date-parts":[["2000"]]},"page":"131-136","title":"The effect of waiting for radiotherapy for grade III/IV gliomas","type":"article-journal","volume":"57"},"uris":["http://www.mendeley.com/documents/?uuid=f856f23c-9ad4-4884-bdf3-a36a877f8338"]}],"mendeley":{"formattedCitation":"(4)","plainTextFormattedCitation":"(4)","previouslyFormattedCitation":"(4)"},"properties":{"noteIndex":0},"schema":"https://github.com/citation-style-language/schema/raw/master/csl-citation.json"}</w:instrText>
            </w:r>
            <w:r>
              <w:rPr>
                <w:sz w:val="20"/>
                <w:szCs w:val="20"/>
              </w:rPr>
              <w:fldChar w:fldCharType="separate"/>
            </w:r>
            <w:r w:rsidRPr="00716877">
              <w:rPr>
                <w:noProof/>
                <w:sz w:val="20"/>
                <w:szCs w:val="20"/>
              </w:rPr>
              <w:t>(4)</w:t>
            </w:r>
            <w:r>
              <w:rPr>
                <w:sz w:val="20"/>
                <w:szCs w:val="20"/>
              </w:rPr>
              <w:fldChar w:fldCharType="end"/>
            </w:r>
            <w:r>
              <w:rPr>
                <w:sz w:val="20"/>
                <w:szCs w:val="20"/>
              </w:rPr>
              <w:t xml:space="preserve">, assumptions in </w:t>
            </w:r>
            <w:r>
              <w:rPr>
                <w:sz w:val="20"/>
                <w:szCs w:val="20"/>
              </w:rPr>
              <w:fldChar w:fldCharType="begin" w:fldLock="1"/>
            </w:r>
            <w:r>
              <w:rPr>
                <w:sz w:val="20"/>
                <w:szCs w:val="20"/>
              </w:rPr>
              <w:instrText>ADDIN CSL_CITATION {"citationItems":[{"id":"ITEM-1","itemData":{"DOI":"10.1136/bmjopen-2017-017593","ISSN":"20446055","abstract":"Objectives To determine the potential costs and health benefits of a serum-based spectroscopic triage tool for brain tumours, which could be developed to reduce diagnostic delays in the current clinical pathway. Design A model-based health pre-trial economic assessment. Decision tree models were constructed based on simplified diagnostic pathways. Models were populated with parameters identified from rapid reviews of the literature and clinical expert opinion. Setting Explored as a test in both primary and secondary care (neuroimaging) in the UK health service, as well as application to the USA. Participants Calculations based on an initial cohort of 10 000 patients. In primary care, it is estimated that the volume of tests would approach 75 000 per annum. The volume of tests in secondary care is estimated at 53 000 per annum. Main outcome measures The primary outcome measure was quality-adjusted life-years (QALY), which were employed to derive incremental cost-effectiveness ratios (ICER) in a cost-effectiveness analysis. Results Results indicate that using a blood-based spectroscopic test in both scenarios has the potential to be highly cost-effective in a health technology assessment agency decision-making process, as ICERs were well below standard threshold values of £20 000-£30 000 per QALY. This test may be cost-effective in both scenarios with test sensitivities and specificities as low as 80%; however, the price of the test would need to be lower (less than approximately £40). Conclusion Use of this test as triage tool in primary care has the potential to be both more effective and cost saving for the health service. In secondary care, this test would also be deemed more effective than the current diagnostic pathway.","author":[{"dropping-particle":"","family":"Gray","given":"Ewan","non-dropping-particle":"","parse-names":false,"suffix":""},{"dropping-particle":"","family":"Butler","given":"Holly J.","non-dropping-particle":"","parse-names":false,"suffix":""},{"dropping-particle":"","family":"Board","given":"Ruth","non-dropping-particle":"","parse-names":false,"suffix":""},{"dropping-particle":"","family":"Brennan","given":"Paul M.","non-dropping-particle":"","parse-names":false,"suffix":""},{"dropping-particle":"","family":"Chalmers","given":"Anthony J.","non-dropping-particle":"","parse-names":false,"suffix":""},{"dropping-particle":"","family":"Dawson","given":"Timothy","non-dropping-particle":"","parse-names":false,"suffix":""},{"dropping-particle":"","family":"Goodden","given":"John","non-dropping-particle":"","parse-names":false,"suffix":""},{"dropping-particle":"","family":"Hamilton","given":"Willie","non-dropping-particle":"","parse-names":false,"suffix":""},{"dropping-particle":"","family":"Hegarty","given":"Mark G.","non-dropping-particle":"","parse-names":false,"suffix":""},{"dropping-particle":"","family":"James","given":"Allan","non-dropping-particle":"","parse-names":false,"suffix":""},{"dropping-particle":"","family":"Jenkinson","given":"Michael D.","non-dropping-particle":"","parse-names":false,"suffix":""},{"dropping-particle":"","family":"Kernick","given":"David","non-dropping-particle":"","parse-names":false,"suffix":""},{"dropping-particle":"","family":"Lekka","given":"Elvira","non-dropping-particle":"","parse-names":false,"suffix":""},{"dropping-particle":"","family":"Livermore","given":"Laurent J.","non-dropping-particle":"","parse-names":false,"suffix":""},{"dropping-particle":"","family":"Mills","given":"Samantha J.","non-dropping-particle":"","parse-names":false,"suffix":""},{"dropping-particle":"","family":"O'Neill","given":"Kevin","non-dropping-particle":"","parse-names":false,"suffix":""},{"dropping-particle":"","family":"Palmer","given":"David S.","non-dropping-particle":"","parse-names":false,"suffix":""},{"dropping-particle":"","family":"Vaqas","given":"Babar","non-dropping-particle":"","parse-names":false,"suffix":""},{"dropping-particle":"","family":"Baker","given":"Matthew J.","non-dropping-particle":"","parse-names":false,"suffix":""}],"container-title":"BMJ Open","id":"ITEM-1","issue":"5","issued":{"date-parts":[["2018","5","1"]]},"publisher":"BMJ Publishing Group","title":"Health economic evaluation of a serum-based blood test for brain tumour diagnosis: Exploration of two clinical scenarios","type":"article-journal","volume":"8"},"uris":["http://www.mendeley.com/documents/?uuid=2b0dfa23-c2c6-34ce-88c9-b85d6cb0c0d4"]}],"mendeley":{"formattedCitation":"(1)","plainTextFormattedCitation":"(1)","previouslyFormattedCitation":"(1)"},"properties":{"noteIndex":0},"schema":"https://github.com/citation-style-language/schema/raw/master/csl-citation.json"}</w:instrText>
            </w:r>
            <w:r>
              <w:rPr>
                <w:sz w:val="20"/>
                <w:szCs w:val="20"/>
              </w:rPr>
              <w:fldChar w:fldCharType="separate"/>
            </w:r>
            <w:r w:rsidRPr="00716877">
              <w:rPr>
                <w:noProof/>
                <w:sz w:val="20"/>
                <w:szCs w:val="20"/>
              </w:rPr>
              <w:t>(1)</w:t>
            </w:r>
            <w:r>
              <w:rPr>
                <w:sz w:val="20"/>
                <w:szCs w:val="20"/>
              </w:rPr>
              <w:fldChar w:fldCharType="end"/>
            </w:r>
          </w:p>
        </w:tc>
      </w:tr>
      <w:tr w:rsidR="003416D8" w14:paraId="7B829F65" w14:textId="5AF40A16" w:rsidTr="003416D8">
        <w:trPr>
          <w:trHeight w:val="88"/>
        </w:trPr>
        <w:tc>
          <w:tcPr>
            <w:tcW w:w="1251" w:type="pct"/>
            <w:tcBorders>
              <w:top w:val="nil"/>
              <w:left w:val="nil"/>
              <w:bottom w:val="nil"/>
            </w:tcBorders>
          </w:tcPr>
          <w:p w14:paraId="3A401D3F" w14:textId="4050EA7A" w:rsidR="003416D8" w:rsidRPr="00950ADE" w:rsidRDefault="003416D8" w:rsidP="00E84283">
            <w:pPr>
              <w:pStyle w:val="Default"/>
              <w:rPr>
                <w:sz w:val="20"/>
                <w:szCs w:val="20"/>
              </w:rPr>
            </w:pPr>
            <w:r>
              <w:rPr>
                <w:sz w:val="20"/>
                <w:szCs w:val="20"/>
              </w:rPr>
              <w:t>Median survival without delay (weeks)</w:t>
            </w:r>
          </w:p>
        </w:tc>
        <w:tc>
          <w:tcPr>
            <w:tcW w:w="1250" w:type="pct"/>
            <w:tcBorders>
              <w:top w:val="nil"/>
              <w:bottom w:val="nil"/>
            </w:tcBorders>
          </w:tcPr>
          <w:p w14:paraId="48AED573" w14:textId="4641BB59" w:rsidR="003416D8" w:rsidRPr="00950ADE" w:rsidRDefault="003416D8" w:rsidP="00E84283">
            <w:pPr>
              <w:pStyle w:val="Default"/>
              <w:rPr>
                <w:sz w:val="20"/>
                <w:szCs w:val="20"/>
              </w:rPr>
            </w:pPr>
            <w:r>
              <w:rPr>
                <w:sz w:val="20"/>
                <w:szCs w:val="20"/>
              </w:rPr>
              <w:t>46</w:t>
            </w:r>
          </w:p>
        </w:tc>
        <w:tc>
          <w:tcPr>
            <w:tcW w:w="1250" w:type="pct"/>
            <w:tcBorders>
              <w:top w:val="nil"/>
              <w:bottom w:val="nil"/>
            </w:tcBorders>
          </w:tcPr>
          <w:p w14:paraId="7D2FA634" w14:textId="77777777" w:rsidR="003416D8" w:rsidRPr="00147E31" w:rsidRDefault="003416D8" w:rsidP="00E84283">
            <w:pPr>
              <w:pStyle w:val="Default"/>
              <w:rPr>
                <w:sz w:val="20"/>
                <w:szCs w:val="20"/>
              </w:rPr>
            </w:pPr>
          </w:p>
        </w:tc>
        <w:tc>
          <w:tcPr>
            <w:tcW w:w="1250" w:type="pct"/>
            <w:tcBorders>
              <w:top w:val="nil"/>
              <w:bottom w:val="nil"/>
              <w:right w:val="nil"/>
            </w:tcBorders>
          </w:tcPr>
          <w:p w14:paraId="5F33E3EE" w14:textId="5429C980" w:rsidR="003416D8" w:rsidRPr="00147E31" w:rsidRDefault="003416D8" w:rsidP="00E84283">
            <w:pPr>
              <w:pStyle w:val="Default"/>
              <w:rPr>
                <w:sz w:val="20"/>
                <w:szCs w:val="20"/>
              </w:rPr>
            </w:pPr>
            <w:r>
              <w:rPr>
                <w:sz w:val="20"/>
                <w:szCs w:val="20"/>
              </w:rPr>
              <w:fldChar w:fldCharType="begin" w:fldLock="1"/>
            </w:r>
            <w:r>
              <w:rPr>
                <w:sz w:val="20"/>
                <w:szCs w:val="20"/>
              </w:rPr>
              <w:instrText>ADDIN CSL_CITATION {"citationItems":[{"id":"ITEM-1","itemData":{"DOI":"10.1016/S0167-8140(00)00257-7","ISSN":"01678140","abstract":"Aim: To determine the effect of waiting time for radiotherapy on the overall survival of patients with high-grade gliomas. Methods: We examined records of patients with grade III/IV gliomas who were referred to radiotherapy after surgery or biopsy - ECOG &lt;3, any age, radical intent or palliative intent with dose &gt;50 Gy, no interstitial or radiosurgery boost. Waiting time was defined in two ways, time from biopsy to radiotherapy and time from presentation to radiotherapy department to start of radiotherapy. Results: There were 182 patients in the study having a median survival of 8.5 months, with a median follow up of 10.5 months. The group comprised of 63 (35%) grade III and 119 (65%) grade IV gliomas. Median times and ranges from biopsy and presentation to treatment were 26 days (4-78 days) and 15 days (1-62 days), respectively. The median dose was 60 Gy in a median of 30 fractions over a median of 46 days. Tumour progression before and during radiotherapy occurred in seven patients (4%) and 19 patients (11%), respectively. One hundred and seventy-nine patients died of disease. The seven patients whose tumour progressed before radiotherapy were excluded from the analysis of prognostic variables. In a multivariate analysis the variables that were significantly associated with worse survival were older age, reduced dose and prolonged waiting time from presentation. The risk of death increased by 2% for each day of waiting for radiotherapy. Conclusion: The study showed longer waiting time from presentation at radiotherapy department to treatment to be a significant predictor of overall survival for patients with high-grade glioma. Copyright (C) 2000 Elsevier Science Ireland Ltd.","author":[{"dropping-particle":"","family":"Do","given":"Viet","non-dropping-particle":"","parse-names":false,"suffix":""},{"dropping-particle":"","family":"Gebski","given":"Val","non-dropping-particle":"","parse-names":false,"suffix":""},{"dropping-particle":"","family":"Barton","given":"Michael B.","non-dropping-particle":"","parse-names":false,"suffix":""}],"container-title":"Radiotherapy and Oncology","id":"ITEM-1","issue":"2","issued":{"date-parts":[["2000"]]},"page":"131-136","title":"The effect of waiting for radiotherapy for grade III/IV gliomas","type":"article-journal","volume":"57"},"uris":["http://www.mendeley.com/documents/?uuid=f856f23c-9ad4-4884-bdf3-a36a877f8338"]}],"mendeley":{"formattedCitation":"(4)","plainTextFormattedCitation":"(4)","previouslyFormattedCitation":"(4)"},"properties":{"noteIndex":0},"schema":"https://github.com/citation-style-language/schema/raw/master/csl-citation.json"}</w:instrText>
            </w:r>
            <w:r>
              <w:rPr>
                <w:sz w:val="20"/>
                <w:szCs w:val="20"/>
              </w:rPr>
              <w:fldChar w:fldCharType="separate"/>
            </w:r>
            <w:r w:rsidRPr="00E943BD">
              <w:rPr>
                <w:noProof/>
                <w:sz w:val="20"/>
                <w:szCs w:val="20"/>
              </w:rPr>
              <w:t>(4)</w:t>
            </w:r>
            <w:r>
              <w:rPr>
                <w:sz w:val="20"/>
                <w:szCs w:val="20"/>
              </w:rPr>
              <w:fldChar w:fldCharType="end"/>
            </w:r>
          </w:p>
        </w:tc>
      </w:tr>
      <w:tr w:rsidR="003416D8" w14:paraId="676B4C82" w14:textId="77777777" w:rsidTr="003416D8">
        <w:trPr>
          <w:trHeight w:val="88"/>
        </w:trPr>
        <w:tc>
          <w:tcPr>
            <w:tcW w:w="1251" w:type="pct"/>
            <w:tcBorders>
              <w:top w:val="nil"/>
              <w:left w:val="nil"/>
              <w:bottom w:val="nil"/>
            </w:tcBorders>
          </w:tcPr>
          <w:p w14:paraId="7FBCB397" w14:textId="0B7AC66B" w:rsidR="003416D8" w:rsidRDefault="003416D8" w:rsidP="00E84283">
            <w:pPr>
              <w:pStyle w:val="Default"/>
              <w:rPr>
                <w:sz w:val="20"/>
                <w:szCs w:val="20"/>
              </w:rPr>
            </w:pPr>
            <w:r>
              <w:rPr>
                <w:sz w:val="20"/>
                <w:szCs w:val="20"/>
              </w:rPr>
              <w:t>Time-to-diagnosis, standard referral (weeks)</w:t>
            </w:r>
          </w:p>
        </w:tc>
        <w:tc>
          <w:tcPr>
            <w:tcW w:w="1250" w:type="pct"/>
            <w:tcBorders>
              <w:top w:val="nil"/>
              <w:bottom w:val="nil"/>
            </w:tcBorders>
          </w:tcPr>
          <w:p w14:paraId="0542A165" w14:textId="5D846679" w:rsidR="003416D8" w:rsidRDefault="003416D8" w:rsidP="00E84283">
            <w:pPr>
              <w:pStyle w:val="Default"/>
              <w:rPr>
                <w:sz w:val="20"/>
                <w:szCs w:val="20"/>
              </w:rPr>
            </w:pPr>
            <w:r>
              <w:rPr>
                <w:sz w:val="20"/>
                <w:szCs w:val="20"/>
              </w:rPr>
              <w:t>1</w:t>
            </w:r>
          </w:p>
        </w:tc>
        <w:tc>
          <w:tcPr>
            <w:tcW w:w="1250" w:type="pct"/>
            <w:tcBorders>
              <w:top w:val="nil"/>
              <w:bottom w:val="nil"/>
            </w:tcBorders>
          </w:tcPr>
          <w:p w14:paraId="04F98321" w14:textId="77777777" w:rsidR="003416D8" w:rsidRPr="00147E31" w:rsidRDefault="003416D8" w:rsidP="00E84283">
            <w:pPr>
              <w:pStyle w:val="Default"/>
              <w:rPr>
                <w:sz w:val="20"/>
                <w:szCs w:val="20"/>
              </w:rPr>
            </w:pPr>
          </w:p>
        </w:tc>
        <w:tc>
          <w:tcPr>
            <w:tcW w:w="1250" w:type="pct"/>
            <w:tcBorders>
              <w:top w:val="nil"/>
              <w:bottom w:val="nil"/>
              <w:right w:val="nil"/>
            </w:tcBorders>
          </w:tcPr>
          <w:p w14:paraId="73282DA0" w14:textId="0E82AA89" w:rsidR="003416D8" w:rsidRDefault="003416D8" w:rsidP="00E84283">
            <w:pPr>
              <w:pStyle w:val="Default"/>
              <w:rPr>
                <w:sz w:val="20"/>
                <w:szCs w:val="20"/>
              </w:rPr>
            </w:pPr>
            <w:r>
              <w:rPr>
                <w:sz w:val="20"/>
                <w:szCs w:val="20"/>
              </w:rPr>
              <w:fldChar w:fldCharType="begin" w:fldLock="1"/>
            </w:r>
            <w:r>
              <w:rPr>
                <w:sz w:val="20"/>
                <w:szCs w:val="20"/>
              </w:rPr>
              <w:instrText>ADDIN CSL_CITATION {"citationItems":[{"id":"ITEM-1","itemData":{"DOI":"10.3109/02688697.2015.1012050","ISSN":"1360046X","PMID":"25738427","abstract":"Introduction. We present a retrospective single-centre study to determine whether delays in diagnosis of high-grade glioma (HGG) impact on overall survival (OS). Material and methods. Consecutive patients diagnosed with HGG at a single neuroscience centre in 2011 were reviewed. Route of referral and time from initial presentation to diagnosis were analysed and correlated with OS. Results.118 patients were studied - 92 patients with glioblastoma (GBM). Diagnosis of GBM in patients presenting to emergency services was quicker than that through outpatients (8 days vs. 26 days, p &lt; 0.0001), but these patients had significantly worse OS (181 days vs. 386 days p = 0.0075). This trend was observed for the whole cohort (Grade III and GBM), with OS 278 days in patients presenting to emergency services compared with 423 days for patients presenting via outpatients (p = 0.0034). Patients presenting to outpatients were younger (median age: 54 years) compared with patients presenting to emergency services (median age: 62.5 years) (p = 0.0106). There were no other differences between the two groups with respect to the nature of presenting symptoms. Conclusion. Earlier diagnosis is paradoxically associated with a worse OS in GBM. An 'aggressive' phenotype with rapid symptomatic deterioration and hence emergency presentation is a poor prognostic factor not influenced by earlier diagnosis.","author":[{"dropping-particle":"","family":"Aggarwal","given":"Ajay","non-dropping-particle":"","parse-names":false,"suffix":""},{"dropping-particle":"","family":"Herz","given":"Naomi","non-dropping-particle":"","parse-names":false,"suffix":""},{"dropping-particle":"","family":"Campbell","given":"Philip","non-dropping-particle":"","parse-names":false,"suffix":""},{"dropping-particle":"","family":"Arkush","given":"Leo","non-dropping-particle":"","parse-names":false,"suffix":""},{"dropping-particle":"","family":"Short","given":"Susan","non-dropping-particle":"","parse-names":false,"suffix":""},{"dropping-particle":"","family":"Rees","given":"Jeremy","non-dropping-particle":"","parse-names":false,"suffix":""}],"container-title":"British Journal of Neurosurgery","id":"ITEM-1","issue":"4","issued":{"date-parts":[["2015"]]},"page":"520-523","title":"Diagnostic delay and survival in high-grade gliomas - Evidence of the 'waiting time paradox'?","type":"article-journal","volume":"29"},"uris":["http://www.mendeley.com/documents/?uuid=9ab54073-c854-4d9c-b952-a3da4fedbcae"]}],"mendeley":{"formattedCitation":"(5)","plainTextFormattedCitation":"(5)","previouslyFormattedCitation":"(5)"},"properties":{"noteIndex":0},"schema":"https://github.com/citation-style-language/schema/raw/master/csl-citation.json"}</w:instrText>
            </w:r>
            <w:r>
              <w:rPr>
                <w:sz w:val="20"/>
                <w:szCs w:val="20"/>
              </w:rPr>
              <w:fldChar w:fldCharType="separate"/>
            </w:r>
            <w:r w:rsidRPr="00E943BD">
              <w:rPr>
                <w:noProof/>
                <w:sz w:val="20"/>
                <w:szCs w:val="20"/>
              </w:rPr>
              <w:t>(5)</w:t>
            </w:r>
            <w:r>
              <w:rPr>
                <w:sz w:val="20"/>
                <w:szCs w:val="20"/>
              </w:rPr>
              <w:fldChar w:fldCharType="end"/>
            </w:r>
          </w:p>
        </w:tc>
      </w:tr>
      <w:tr w:rsidR="003416D8" w14:paraId="77D01AA4" w14:textId="77777777" w:rsidTr="003416D8">
        <w:trPr>
          <w:trHeight w:val="88"/>
        </w:trPr>
        <w:tc>
          <w:tcPr>
            <w:tcW w:w="1251" w:type="pct"/>
            <w:tcBorders>
              <w:top w:val="nil"/>
              <w:left w:val="nil"/>
              <w:bottom w:val="nil"/>
            </w:tcBorders>
          </w:tcPr>
          <w:p w14:paraId="183AB99B" w14:textId="2B0EAA7D" w:rsidR="003416D8" w:rsidRDefault="003416D8" w:rsidP="00E84283">
            <w:pPr>
              <w:pStyle w:val="Default"/>
              <w:rPr>
                <w:sz w:val="20"/>
                <w:szCs w:val="20"/>
              </w:rPr>
            </w:pPr>
            <w:r>
              <w:rPr>
                <w:sz w:val="20"/>
                <w:szCs w:val="20"/>
              </w:rPr>
              <w:t>Time-to-diagnosis, fast-track referral (weeks)</w:t>
            </w:r>
          </w:p>
        </w:tc>
        <w:tc>
          <w:tcPr>
            <w:tcW w:w="1250" w:type="pct"/>
            <w:tcBorders>
              <w:top w:val="nil"/>
              <w:bottom w:val="nil"/>
            </w:tcBorders>
          </w:tcPr>
          <w:p w14:paraId="1FEF312C" w14:textId="3B5C139D" w:rsidR="003416D8" w:rsidRDefault="003416D8" w:rsidP="00E84283">
            <w:pPr>
              <w:pStyle w:val="Default"/>
              <w:rPr>
                <w:sz w:val="20"/>
                <w:szCs w:val="20"/>
              </w:rPr>
            </w:pPr>
            <w:r>
              <w:rPr>
                <w:sz w:val="20"/>
                <w:szCs w:val="20"/>
              </w:rPr>
              <w:t>4</w:t>
            </w:r>
          </w:p>
        </w:tc>
        <w:tc>
          <w:tcPr>
            <w:tcW w:w="1250" w:type="pct"/>
            <w:tcBorders>
              <w:top w:val="nil"/>
              <w:bottom w:val="nil"/>
            </w:tcBorders>
          </w:tcPr>
          <w:p w14:paraId="0B0BACB3" w14:textId="77777777" w:rsidR="003416D8" w:rsidRPr="00147E31" w:rsidRDefault="003416D8" w:rsidP="00E84283">
            <w:pPr>
              <w:pStyle w:val="Default"/>
              <w:rPr>
                <w:sz w:val="20"/>
                <w:szCs w:val="20"/>
              </w:rPr>
            </w:pPr>
          </w:p>
        </w:tc>
        <w:tc>
          <w:tcPr>
            <w:tcW w:w="1250" w:type="pct"/>
            <w:tcBorders>
              <w:top w:val="nil"/>
              <w:bottom w:val="nil"/>
              <w:right w:val="nil"/>
            </w:tcBorders>
          </w:tcPr>
          <w:p w14:paraId="59ED1875" w14:textId="6F0E7CE0" w:rsidR="003416D8" w:rsidRDefault="003416D8" w:rsidP="00E84283">
            <w:pPr>
              <w:pStyle w:val="Default"/>
              <w:rPr>
                <w:sz w:val="20"/>
                <w:szCs w:val="20"/>
              </w:rPr>
            </w:pPr>
            <w:r>
              <w:rPr>
                <w:sz w:val="20"/>
                <w:szCs w:val="20"/>
              </w:rPr>
              <w:fldChar w:fldCharType="begin" w:fldLock="1"/>
            </w:r>
            <w:r w:rsidR="00E95567">
              <w:rPr>
                <w:sz w:val="20"/>
                <w:szCs w:val="20"/>
              </w:rPr>
              <w:instrText>ADDIN CSL_CITATION {"citationItems":[{"id":"ITEM-1","itemData":{"DOI":"10.3109/02688697.2015.1012050","ISSN":"1360046X","PMID":"25738427","abstract":"Introduction. We present a retrospective single-centre study to determine whether delays in diagnosis of high-grade glioma (HGG) impact on overall survival (OS). Material and methods. Consecutive patients diagnosed with HGG at a single neuroscience centre in 2011 were reviewed. Route of referral and time from initial presentation to diagnosis were analysed and correlated with OS. Results.118 patients were studied - 92 patients with glioblastoma (GBM). Diagnosis of GBM in patients presenting to emergency services was quicker than that through outpatients (8 days vs. 26 days, p &lt; 0.0001), but these patients had significantly worse OS (181 days vs. 386 days p = 0.0075). This trend was observed for the whole cohort (Grade III and GBM), with OS 278 days in patients presenting to emergency services compared with 423 days for patients presenting via outpatients (p = 0.0034). Patients presenting to outpatients were younger (median age: 54 years) compared with patients presenting to emergency services (median age: 62.5 years) (p = 0.0106). There were no other differences between the two groups with respect to the nature of presenting symptoms. Conclusion. Earlier diagnosis is paradoxically associated with a worse OS in GBM. An 'aggressive' phenotype with rapid symptomatic deterioration and hence emergency presentation is a poor prognostic factor not influenced by earlier diagnosis.","author":[{"dropping-particle":"","family":"Aggarwal","given":"Ajay","non-dropping-particle":"","parse-names":false,"suffix":""},{"dropping-particle":"","family":"Herz","given":"Naomi","non-dropping-particle":"","parse-names":false,"suffix":""},{"dropping-particle":"","family":"Campbell","given":"Philip","non-dropping-particle":"","parse-names":false,"suffix":""},{"dropping-particle":"","family":"Arkush","given":"Leo","non-dropping-particle":"","parse-names":false,"suffix":""},{"dropping-particle":"","family":"Short","given":"Susan","non-dropping-particle":"","parse-names":false,"suffix":""},{"dropping-particle":"","family":"Rees","given":"Jeremy","non-dropping-particle":"","parse-names":false,"suffix":""}],"container-title":"British Journal of Neurosurgery","id":"ITEM-1","issue":"4","issued":{"date-parts":[["2015"]]},"page":"520-523","title":"Diagnostic delay and survival in high-grade gliomas - Evidence of the 'waiting time paradox'?","type":"article-journal","volume":"29"},"uris":["http://www.mendeley.com/documents/?uuid=9ab54073-c854-4d9c-b952-a3da4fedbcae"]}],"mendeley":{"formattedCitation":"(5)","plainTextFormattedCitation":"(5)","previouslyFormattedCitation":"(5)"},"properties":{"noteIndex":0},"schema":"https://github.com/citation-style-language/schema/raw/master/csl-citation.json"}</w:instrText>
            </w:r>
            <w:r>
              <w:rPr>
                <w:sz w:val="20"/>
                <w:szCs w:val="20"/>
              </w:rPr>
              <w:fldChar w:fldCharType="separate"/>
            </w:r>
            <w:r w:rsidRPr="00F50C8F">
              <w:rPr>
                <w:noProof/>
                <w:sz w:val="20"/>
                <w:szCs w:val="20"/>
              </w:rPr>
              <w:t>(5)</w:t>
            </w:r>
            <w:r>
              <w:rPr>
                <w:sz w:val="20"/>
                <w:szCs w:val="20"/>
              </w:rPr>
              <w:fldChar w:fldCharType="end"/>
            </w:r>
          </w:p>
        </w:tc>
      </w:tr>
      <w:tr w:rsidR="003416D8" w14:paraId="5D3B884A" w14:textId="77777777" w:rsidTr="003416D8">
        <w:trPr>
          <w:trHeight w:val="88"/>
        </w:trPr>
        <w:tc>
          <w:tcPr>
            <w:tcW w:w="1251" w:type="pct"/>
            <w:tcBorders>
              <w:top w:val="nil"/>
              <w:left w:val="nil"/>
              <w:bottom w:val="nil"/>
            </w:tcBorders>
          </w:tcPr>
          <w:p w14:paraId="3DD9CA32" w14:textId="6CAF50A2" w:rsidR="003416D8" w:rsidRDefault="003416D8" w:rsidP="00E84283">
            <w:pPr>
              <w:pStyle w:val="Default"/>
              <w:rPr>
                <w:sz w:val="20"/>
                <w:szCs w:val="20"/>
              </w:rPr>
            </w:pPr>
            <w:r>
              <w:rPr>
                <w:sz w:val="20"/>
                <w:szCs w:val="20"/>
              </w:rPr>
              <w:t>Time-to-diagnosis, no referral (weeks)</w:t>
            </w:r>
          </w:p>
        </w:tc>
        <w:tc>
          <w:tcPr>
            <w:tcW w:w="1250" w:type="pct"/>
            <w:tcBorders>
              <w:top w:val="nil"/>
              <w:bottom w:val="nil"/>
            </w:tcBorders>
          </w:tcPr>
          <w:p w14:paraId="672EB821" w14:textId="68855114" w:rsidR="003416D8" w:rsidRDefault="003416D8" w:rsidP="00E84283">
            <w:pPr>
              <w:pStyle w:val="Default"/>
              <w:rPr>
                <w:sz w:val="20"/>
                <w:szCs w:val="20"/>
              </w:rPr>
            </w:pPr>
            <w:r>
              <w:rPr>
                <w:sz w:val="20"/>
                <w:szCs w:val="20"/>
              </w:rPr>
              <w:t>8</w:t>
            </w:r>
          </w:p>
        </w:tc>
        <w:tc>
          <w:tcPr>
            <w:tcW w:w="1250" w:type="pct"/>
            <w:tcBorders>
              <w:top w:val="nil"/>
              <w:bottom w:val="nil"/>
            </w:tcBorders>
          </w:tcPr>
          <w:p w14:paraId="5FB5FD64" w14:textId="77777777" w:rsidR="003416D8" w:rsidRPr="00147E31" w:rsidRDefault="003416D8" w:rsidP="00E84283">
            <w:pPr>
              <w:pStyle w:val="Default"/>
              <w:rPr>
                <w:sz w:val="20"/>
                <w:szCs w:val="20"/>
              </w:rPr>
            </w:pPr>
          </w:p>
        </w:tc>
        <w:tc>
          <w:tcPr>
            <w:tcW w:w="1250" w:type="pct"/>
            <w:tcBorders>
              <w:top w:val="nil"/>
              <w:bottom w:val="nil"/>
              <w:right w:val="nil"/>
            </w:tcBorders>
          </w:tcPr>
          <w:p w14:paraId="63C6D08C" w14:textId="43F2673A" w:rsidR="003416D8" w:rsidRDefault="003416D8" w:rsidP="00E84283">
            <w:pPr>
              <w:pStyle w:val="Default"/>
              <w:rPr>
                <w:sz w:val="20"/>
                <w:szCs w:val="20"/>
              </w:rPr>
            </w:pPr>
            <w:r>
              <w:rPr>
                <w:sz w:val="20"/>
                <w:szCs w:val="20"/>
              </w:rPr>
              <w:t>Assumption</w:t>
            </w:r>
          </w:p>
        </w:tc>
      </w:tr>
      <w:tr w:rsidR="003416D8" w14:paraId="1CE999D4" w14:textId="77777777" w:rsidTr="003416D8">
        <w:trPr>
          <w:trHeight w:val="88"/>
        </w:trPr>
        <w:tc>
          <w:tcPr>
            <w:tcW w:w="1251" w:type="pct"/>
            <w:tcBorders>
              <w:top w:val="nil"/>
              <w:left w:val="nil"/>
              <w:bottom w:val="nil"/>
            </w:tcBorders>
          </w:tcPr>
          <w:p w14:paraId="73461D64" w14:textId="1CA80E79" w:rsidR="003416D8" w:rsidRDefault="003416D8" w:rsidP="00E943BD">
            <w:pPr>
              <w:pStyle w:val="Default"/>
              <w:rPr>
                <w:sz w:val="20"/>
                <w:szCs w:val="20"/>
              </w:rPr>
            </w:pPr>
            <w:r>
              <w:rPr>
                <w:sz w:val="20"/>
                <w:szCs w:val="20"/>
              </w:rPr>
              <w:t>Utility weight, Brain tumour</w:t>
            </w:r>
          </w:p>
        </w:tc>
        <w:tc>
          <w:tcPr>
            <w:tcW w:w="1250" w:type="pct"/>
            <w:tcBorders>
              <w:top w:val="nil"/>
              <w:bottom w:val="nil"/>
            </w:tcBorders>
          </w:tcPr>
          <w:p w14:paraId="63E2774B" w14:textId="764003A2" w:rsidR="003416D8" w:rsidRDefault="003416D8" w:rsidP="00E943BD">
            <w:pPr>
              <w:pStyle w:val="Default"/>
              <w:rPr>
                <w:sz w:val="20"/>
                <w:szCs w:val="20"/>
              </w:rPr>
            </w:pPr>
            <w:r>
              <w:rPr>
                <w:sz w:val="20"/>
                <w:szCs w:val="20"/>
              </w:rPr>
              <w:t>0.89</w:t>
            </w:r>
          </w:p>
        </w:tc>
        <w:tc>
          <w:tcPr>
            <w:tcW w:w="1250" w:type="pct"/>
            <w:tcBorders>
              <w:top w:val="nil"/>
              <w:bottom w:val="nil"/>
            </w:tcBorders>
          </w:tcPr>
          <w:p w14:paraId="6F7D154C" w14:textId="77777777" w:rsidR="003416D8" w:rsidRPr="00147E31" w:rsidRDefault="003416D8" w:rsidP="00E943BD">
            <w:pPr>
              <w:pStyle w:val="Default"/>
              <w:rPr>
                <w:sz w:val="20"/>
                <w:szCs w:val="20"/>
              </w:rPr>
            </w:pPr>
          </w:p>
        </w:tc>
        <w:tc>
          <w:tcPr>
            <w:tcW w:w="1250" w:type="pct"/>
            <w:tcBorders>
              <w:top w:val="nil"/>
              <w:bottom w:val="nil"/>
              <w:right w:val="nil"/>
            </w:tcBorders>
          </w:tcPr>
          <w:p w14:paraId="2CA6FAA0" w14:textId="76B9226B" w:rsidR="003416D8" w:rsidRDefault="003416D8" w:rsidP="00E943BD">
            <w:pPr>
              <w:pStyle w:val="Default"/>
              <w:rPr>
                <w:sz w:val="20"/>
                <w:szCs w:val="20"/>
              </w:rPr>
            </w:pPr>
            <w:r>
              <w:rPr>
                <w:sz w:val="20"/>
                <w:szCs w:val="20"/>
              </w:rPr>
              <w:fldChar w:fldCharType="begin" w:fldLock="1"/>
            </w:r>
            <w:r>
              <w:rPr>
                <w:sz w:val="20"/>
                <w:szCs w:val="20"/>
              </w:rPr>
              <w:instrText>ADDIN CSL_CITATION {"citationItems":[{"id":"ITEM-1","itemData":{"DOI":"10.3310/hta11450","ISSN":"13665278","PMID":"17999840","abstract":"Objectives: To assess the clinical and cost-effectiveness of adjuvant carmustine wafers (BCNU-W) and also of adjuvant and concomitant temozolomide (TMZ), compared with surgery with radiotherapy. Data sources: Electronic databases were searched up to August 2005. Review methods: Included trials were critically appraised for key elements of internal and external validity. Relevant data were extracted and a narrative synthesis of the evidence produced. Where possible, data on absolute survival at a fixed time point were meta-analysed using a random effects model. A Markov (state transition) model was developed to assess the cost-utility of the two interventions. The model compared BCNU-W or TMZ separately with current standard treatment with surgery and radiotherapy. The simulated cohort had a mean age of 55 years and was modelled over 5 years. Results: Two randomised controlled trials (RCTs) (n = 32, n = 240) and two observational studies of BCNU-W compared with placebo wafers as adjuvant therapy to surgery and radiotherapy for newly diagnosed high-grade glioma were identified. All the studies were in adults and provided data on 193 patients who had received BCNU-W. The RCT findings excluded under 65-year-olds and those with a Karnofsky Performance Status of less than 60. The largest multi-centre RCT suggested a possible survival advantage with BCNU-W among a cohort of patients with grade III and IV tumours, adding a median of 2.3 months [95% confidence interval (CI) 0.5 to 5.1]. However, analysis using per-protocol, unstratified methods shows this difference to be not statistically significant (HR 0.77, 95% CI 0.57 to 1.03, p = 0.08). Long-term follow-up suggests a significant survival advantage using unstratified analysis. No difference in progression-free survival (PFS) was demonstrated. Subgroup analysis of those with grade IV tumours also showed no significant survival advantage with BCNU-W [hazard ratio (HR) 0.82. 95% CI 0.55 to 1.11, p = 0.20, unstratified analysis]. It is estimated that the cost of surgery and radiotherapy, with follow-up, treatment of adverse effects and end of life care is around £17,000 per patient. Treatment with BCNU-W adds an additional £6600. Across the modelled cohort of 1000 patients, use of BCNU-W costs an additional £6.6 million and confers an additional 122 quality-adjusted life-years (QALYs). On average, that is £6600 per patient for 0.12Z QALYs (6.3 quality-adjusted life-weeks). The base-case incremental cost-effecti…","author":[{"dropping-particle":"","family":"Garside","given":"R.","non-dropping-particle":"","parse-names":false,"suffix":""},{"dropping-particle":"","family":"Pitt","given":"M.","non-dropping-particle":"","parse-names":false,"suffix":""},{"dropping-particle":"","family":"Anderson","given":"R.","non-dropping-particle":"","parse-names":false,"suffix":""},{"dropping-particle":"","family":"Dyer","given":"G.","non-dropping-particle":"","parse-names":false,"suffix":""},{"dropping-particle":"","family":"Mealing","given":"S.","non-dropping-particle":"","parse-names":false,"suffix":""},{"dropping-particle":"","family":"Somerville","given":"M.","non-dropping-particle":"","parse-names":false,"suffix":""},{"dropping-particle":"","family":"Price","given":"A.","non-dropping-particle":"","parse-names":false,"suffix":""},{"dropping-particle":"","family":"Stein","given":"K.","non-dropping-particle":"","parse-names":false,"suffix":""}],"container-title":"Health Technology Assessment","id":"ITEM-1","issued":{"date-parts":[["2007"]]},"title":"The effectiveness and cost-effectiveness of carmustine implants and temozolomide for the treatment of newly diagnosed high-grade glioma: A systematic review and economic evaluation","type":"article"},"uris":["http://www.mendeley.com/documents/?uuid=6e742075-332c-4c86-ac1d-a6ce62a8c18f"]}],"mendeley":{"formattedCitation":"(6)","plainTextFormattedCitation":"(6)","previouslyFormattedCitation":"(6)"},"properties":{"noteIndex":0},"schema":"https://github.com/citation-style-language/schema/raw/master/csl-citation.json"}</w:instrText>
            </w:r>
            <w:r>
              <w:rPr>
                <w:sz w:val="20"/>
                <w:szCs w:val="20"/>
              </w:rPr>
              <w:fldChar w:fldCharType="separate"/>
            </w:r>
            <w:r w:rsidRPr="00E943BD">
              <w:rPr>
                <w:noProof/>
                <w:sz w:val="20"/>
                <w:szCs w:val="20"/>
              </w:rPr>
              <w:t>(6)</w:t>
            </w:r>
            <w:r>
              <w:rPr>
                <w:sz w:val="20"/>
                <w:szCs w:val="20"/>
              </w:rPr>
              <w:fldChar w:fldCharType="end"/>
            </w:r>
          </w:p>
        </w:tc>
      </w:tr>
      <w:tr w:rsidR="003416D8" w14:paraId="520B0F97" w14:textId="64BBF78D" w:rsidTr="003416D8">
        <w:trPr>
          <w:trHeight w:val="88"/>
        </w:trPr>
        <w:tc>
          <w:tcPr>
            <w:tcW w:w="1251" w:type="pct"/>
            <w:tcBorders>
              <w:top w:val="single" w:sz="8" w:space="0" w:color="auto"/>
              <w:left w:val="nil"/>
              <w:bottom w:val="nil"/>
            </w:tcBorders>
          </w:tcPr>
          <w:p w14:paraId="649175FE" w14:textId="417CC960" w:rsidR="003416D8" w:rsidRPr="00950ADE" w:rsidRDefault="003416D8" w:rsidP="00E943BD">
            <w:pPr>
              <w:pStyle w:val="Default"/>
              <w:rPr>
                <w:b/>
                <w:bCs/>
                <w:sz w:val="20"/>
                <w:szCs w:val="20"/>
              </w:rPr>
            </w:pPr>
            <w:r w:rsidRPr="00950ADE">
              <w:rPr>
                <w:b/>
                <w:bCs/>
                <w:sz w:val="20"/>
                <w:szCs w:val="20"/>
              </w:rPr>
              <w:t>Decision Tree Probabilities:</w:t>
            </w:r>
          </w:p>
        </w:tc>
        <w:tc>
          <w:tcPr>
            <w:tcW w:w="1250" w:type="pct"/>
            <w:tcBorders>
              <w:top w:val="single" w:sz="8" w:space="0" w:color="auto"/>
              <w:bottom w:val="nil"/>
            </w:tcBorders>
          </w:tcPr>
          <w:p w14:paraId="3B687B99" w14:textId="77777777" w:rsidR="003416D8" w:rsidRDefault="003416D8" w:rsidP="00E943BD">
            <w:pPr>
              <w:pStyle w:val="Default"/>
              <w:rPr>
                <w:b/>
                <w:bCs/>
                <w:sz w:val="20"/>
                <w:szCs w:val="20"/>
              </w:rPr>
            </w:pPr>
          </w:p>
        </w:tc>
        <w:tc>
          <w:tcPr>
            <w:tcW w:w="1250" w:type="pct"/>
            <w:tcBorders>
              <w:top w:val="single" w:sz="8" w:space="0" w:color="auto"/>
              <w:bottom w:val="nil"/>
            </w:tcBorders>
          </w:tcPr>
          <w:p w14:paraId="580572EB" w14:textId="77777777" w:rsidR="003416D8" w:rsidRPr="00147E31" w:rsidRDefault="003416D8" w:rsidP="00E943BD">
            <w:pPr>
              <w:pStyle w:val="Default"/>
              <w:rPr>
                <w:sz w:val="20"/>
                <w:szCs w:val="20"/>
              </w:rPr>
            </w:pPr>
          </w:p>
        </w:tc>
        <w:tc>
          <w:tcPr>
            <w:tcW w:w="1250" w:type="pct"/>
            <w:tcBorders>
              <w:top w:val="single" w:sz="8" w:space="0" w:color="auto"/>
              <w:bottom w:val="nil"/>
              <w:right w:val="nil"/>
            </w:tcBorders>
          </w:tcPr>
          <w:p w14:paraId="1A14D11D" w14:textId="28080DC8" w:rsidR="003416D8" w:rsidRPr="00147E31" w:rsidRDefault="003416D8" w:rsidP="00E943BD">
            <w:pPr>
              <w:pStyle w:val="Default"/>
              <w:rPr>
                <w:sz w:val="20"/>
                <w:szCs w:val="20"/>
              </w:rPr>
            </w:pPr>
          </w:p>
        </w:tc>
      </w:tr>
      <w:tr w:rsidR="003416D8" w14:paraId="62D2B5CD" w14:textId="2BA706CD" w:rsidTr="003416D8">
        <w:trPr>
          <w:trHeight w:val="88"/>
        </w:trPr>
        <w:tc>
          <w:tcPr>
            <w:tcW w:w="1251" w:type="pct"/>
            <w:tcBorders>
              <w:top w:val="nil"/>
              <w:bottom w:val="single" w:sz="8" w:space="0" w:color="auto"/>
            </w:tcBorders>
          </w:tcPr>
          <w:p w14:paraId="258E9433" w14:textId="77777777" w:rsidR="003416D8" w:rsidRPr="00830FE6" w:rsidRDefault="003416D8" w:rsidP="00E943BD">
            <w:pPr>
              <w:pStyle w:val="Default"/>
              <w:rPr>
                <w:sz w:val="20"/>
                <w:szCs w:val="20"/>
              </w:rPr>
            </w:pPr>
          </w:p>
        </w:tc>
        <w:tc>
          <w:tcPr>
            <w:tcW w:w="1250" w:type="pct"/>
            <w:tcBorders>
              <w:top w:val="nil"/>
              <w:bottom w:val="single" w:sz="8" w:space="0" w:color="auto"/>
            </w:tcBorders>
          </w:tcPr>
          <w:p w14:paraId="69D822C8" w14:textId="1DC7B4A4" w:rsidR="003416D8" w:rsidRDefault="003416D8" w:rsidP="00E943BD">
            <w:pPr>
              <w:pStyle w:val="Default"/>
              <w:rPr>
                <w:sz w:val="20"/>
                <w:szCs w:val="20"/>
              </w:rPr>
            </w:pPr>
            <w:r>
              <w:rPr>
                <w:b/>
                <w:bCs/>
                <w:sz w:val="20"/>
                <w:szCs w:val="20"/>
              </w:rPr>
              <w:t>Probability</w:t>
            </w:r>
          </w:p>
        </w:tc>
        <w:tc>
          <w:tcPr>
            <w:tcW w:w="1250" w:type="pct"/>
            <w:tcBorders>
              <w:top w:val="nil"/>
              <w:bottom w:val="single" w:sz="8" w:space="0" w:color="auto"/>
            </w:tcBorders>
          </w:tcPr>
          <w:p w14:paraId="4EB52A73" w14:textId="0339D229" w:rsidR="003416D8" w:rsidRPr="00147E31" w:rsidRDefault="003416D8" w:rsidP="00E943BD">
            <w:pPr>
              <w:pStyle w:val="Default"/>
              <w:rPr>
                <w:sz w:val="20"/>
                <w:szCs w:val="20"/>
              </w:rPr>
            </w:pPr>
            <w:r>
              <w:rPr>
                <w:b/>
                <w:bCs/>
                <w:sz w:val="20"/>
                <w:szCs w:val="20"/>
              </w:rPr>
              <w:t>Distribution for PSA</w:t>
            </w:r>
            <w:r w:rsidR="00536F86">
              <w:rPr>
                <w:b/>
                <w:bCs/>
                <w:sz w:val="20"/>
                <w:szCs w:val="20"/>
              </w:rPr>
              <w:t>, if applicable</w:t>
            </w:r>
          </w:p>
        </w:tc>
        <w:tc>
          <w:tcPr>
            <w:tcW w:w="1250" w:type="pct"/>
            <w:tcBorders>
              <w:top w:val="nil"/>
              <w:bottom w:val="single" w:sz="8" w:space="0" w:color="auto"/>
            </w:tcBorders>
          </w:tcPr>
          <w:p w14:paraId="41BCA1F7" w14:textId="6BB06E18" w:rsidR="003416D8" w:rsidRPr="00147E31" w:rsidRDefault="003416D8" w:rsidP="00E943BD">
            <w:pPr>
              <w:pStyle w:val="Default"/>
              <w:rPr>
                <w:sz w:val="20"/>
                <w:szCs w:val="20"/>
              </w:rPr>
            </w:pPr>
            <w:r>
              <w:rPr>
                <w:b/>
                <w:bCs/>
                <w:sz w:val="20"/>
                <w:szCs w:val="20"/>
              </w:rPr>
              <w:t>Source</w:t>
            </w:r>
          </w:p>
        </w:tc>
      </w:tr>
      <w:tr w:rsidR="003416D8" w14:paraId="7759EE01" w14:textId="7C9E631C" w:rsidTr="003416D8">
        <w:trPr>
          <w:trHeight w:val="88"/>
        </w:trPr>
        <w:tc>
          <w:tcPr>
            <w:tcW w:w="1251" w:type="pct"/>
            <w:tcBorders>
              <w:top w:val="single" w:sz="8" w:space="0" w:color="auto"/>
            </w:tcBorders>
          </w:tcPr>
          <w:p w14:paraId="489559E8" w14:textId="74F6D6F4" w:rsidR="003416D8" w:rsidRPr="00672948" w:rsidRDefault="00672948" w:rsidP="00E943BD">
            <w:pPr>
              <w:pStyle w:val="Default"/>
              <w:rPr>
                <w:b/>
                <w:bCs/>
                <w:sz w:val="20"/>
                <w:szCs w:val="20"/>
              </w:rPr>
            </w:pPr>
            <w:r w:rsidRPr="00672948">
              <w:rPr>
                <w:b/>
                <w:bCs/>
                <w:sz w:val="20"/>
                <w:szCs w:val="20"/>
              </w:rPr>
              <w:t>Probabilities for c</w:t>
            </w:r>
            <w:r w:rsidR="003416D8" w:rsidRPr="00672948">
              <w:rPr>
                <w:b/>
                <w:bCs/>
                <w:sz w:val="20"/>
                <w:szCs w:val="20"/>
              </w:rPr>
              <w:t>ancer cases:</w:t>
            </w:r>
          </w:p>
        </w:tc>
        <w:tc>
          <w:tcPr>
            <w:tcW w:w="1250" w:type="pct"/>
            <w:tcBorders>
              <w:top w:val="single" w:sz="8" w:space="0" w:color="auto"/>
            </w:tcBorders>
          </w:tcPr>
          <w:p w14:paraId="24A6EA5B" w14:textId="77777777" w:rsidR="003416D8" w:rsidRDefault="003416D8" w:rsidP="00E943BD">
            <w:pPr>
              <w:pStyle w:val="Default"/>
              <w:rPr>
                <w:b/>
                <w:bCs/>
                <w:sz w:val="20"/>
                <w:szCs w:val="20"/>
              </w:rPr>
            </w:pPr>
          </w:p>
        </w:tc>
        <w:tc>
          <w:tcPr>
            <w:tcW w:w="1250" w:type="pct"/>
            <w:tcBorders>
              <w:top w:val="single" w:sz="8" w:space="0" w:color="auto"/>
            </w:tcBorders>
          </w:tcPr>
          <w:p w14:paraId="5147595A" w14:textId="77777777" w:rsidR="003416D8" w:rsidRPr="00147E31" w:rsidRDefault="003416D8" w:rsidP="00E943BD">
            <w:pPr>
              <w:pStyle w:val="Default"/>
              <w:rPr>
                <w:sz w:val="20"/>
                <w:szCs w:val="20"/>
              </w:rPr>
            </w:pPr>
          </w:p>
        </w:tc>
        <w:tc>
          <w:tcPr>
            <w:tcW w:w="1250" w:type="pct"/>
            <w:tcBorders>
              <w:top w:val="single" w:sz="8" w:space="0" w:color="auto"/>
            </w:tcBorders>
          </w:tcPr>
          <w:p w14:paraId="634D15F7" w14:textId="172A6A93" w:rsidR="003416D8" w:rsidRPr="00147E31" w:rsidRDefault="003416D8" w:rsidP="00E943BD">
            <w:pPr>
              <w:pStyle w:val="Default"/>
              <w:rPr>
                <w:sz w:val="20"/>
                <w:szCs w:val="20"/>
              </w:rPr>
            </w:pPr>
          </w:p>
        </w:tc>
      </w:tr>
      <w:tr w:rsidR="003416D8" w14:paraId="168F8E18" w14:textId="1F509B0B" w:rsidTr="003416D8">
        <w:trPr>
          <w:trHeight w:val="204"/>
        </w:trPr>
        <w:tc>
          <w:tcPr>
            <w:tcW w:w="1251" w:type="pct"/>
          </w:tcPr>
          <w:p w14:paraId="500C8B7B" w14:textId="38F09213" w:rsidR="003416D8" w:rsidRDefault="00672948" w:rsidP="00E943BD">
            <w:pPr>
              <w:pStyle w:val="Default"/>
              <w:rPr>
                <w:sz w:val="20"/>
                <w:szCs w:val="20"/>
              </w:rPr>
            </w:pPr>
            <w:r>
              <w:rPr>
                <w:sz w:val="20"/>
                <w:szCs w:val="20"/>
              </w:rPr>
              <w:t>Liquid Biopsy</w:t>
            </w:r>
            <w:r w:rsidR="003416D8">
              <w:rPr>
                <w:sz w:val="20"/>
                <w:szCs w:val="20"/>
              </w:rPr>
              <w:t xml:space="preserve"> Test</w:t>
            </w:r>
            <w:r>
              <w:rPr>
                <w:sz w:val="20"/>
                <w:szCs w:val="20"/>
              </w:rPr>
              <w:t xml:space="preserve"> positive result</w:t>
            </w:r>
            <w:r w:rsidR="003416D8">
              <w:rPr>
                <w:sz w:val="20"/>
                <w:szCs w:val="20"/>
              </w:rPr>
              <w:t xml:space="preserve"> (test sensitivity) </w:t>
            </w:r>
          </w:p>
        </w:tc>
        <w:tc>
          <w:tcPr>
            <w:tcW w:w="1250" w:type="pct"/>
          </w:tcPr>
          <w:p w14:paraId="0C4FD5EA" w14:textId="1026297A" w:rsidR="003416D8" w:rsidRDefault="003416D8" w:rsidP="00E943BD">
            <w:pPr>
              <w:pStyle w:val="Default"/>
              <w:rPr>
                <w:sz w:val="20"/>
                <w:szCs w:val="20"/>
              </w:rPr>
            </w:pPr>
            <w:r>
              <w:rPr>
                <w:sz w:val="20"/>
                <w:szCs w:val="20"/>
              </w:rPr>
              <w:t xml:space="preserve">0·81 </w:t>
            </w:r>
          </w:p>
        </w:tc>
        <w:tc>
          <w:tcPr>
            <w:tcW w:w="1250" w:type="pct"/>
          </w:tcPr>
          <w:p w14:paraId="4019A4FC" w14:textId="6D0895E4" w:rsidR="003416D8" w:rsidRPr="0021347E" w:rsidRDefault="00690AE8" w:rsidP="00E943BD">
            <w:pPr>
              <w:pStyle w:val="Default"/>
              <w:rPr>
                <w:sz w:val="20"/>
                <w:szCs w:val="20"/>
              </w:rPr>
            </w:pPr>
            <w:r>
              <w:rPr>
                <w:sz w:val="20"/>
                <w:szCs w:val="20"/>
              </w:rPr>
              <w:t>Beta (54,13)</w:t>
            </w:r>
          </w:p>
        </w:tc>
        <w:tc>
          <w:tcPr>
            <w:tcW w:w="1250" w:type="pct"/>
          </w:tcPr>
          <w:p w14:paraId="7258C790" w14:textId="393BA444" w:rsidR="003416D8" w:rsidRPr="00147E31" w:rsidRDefault="003416D8" w:rsidP="00E943BD">
            <w:pPr>
              <w:pStyle w:val="Default"/>
              <w:rPr>
                <w:sz w:val="20"/>
                <w:szCs w:val="20"/>
              </w:rPr>
            </w:pPr>
            <w:r w:rsidRPr="0021347E">
              <w:rPr>
                <w:sz w:val="20"/>
                <w:szCs w:val="20"/>
              </w:rPr>
              <w:t>[Brennan et al, under review]</w:t>
            </w:r>
          </w:p>
        </w:tc>
      </w:tr>
      <w:tr w:rsidR="003416D8" w14:paraId="7534D230" w14:textId="52ECE5F5" w:rsidTr="003416D8">
        <w:trPr>
          <w:trHeight w:val="205"/>
        </w:trPr>
        <w:tc>
          <w:tcPr>
            <w:tcW w:w="1251" w:type="pct"/>
          </w:tcPr>
          <w:p w14:paraId="1C4AF83A" w14:textId="101BE860" w:rsidR="003416D8" w:rsidRDefault="003416D8" w:rsidP="00E943BD">
            <w:pPr>
              <w:pStyle w:val="Default"/>
              <w:rPr>
                <w:sz w:val="20"/>
                <w:szCs w:val="20"/>
              </w:rPr>
            </w:pPr>
            <w:r>
              <w:rPr>
                <w:sz w:val="20"/>
                <w:szCs w:val="20"/>
              </w:rPr>
              <w:t>Standard MRI/CT</w:t>
            </w:r>
            <w:r w:rsidR="00672948">
              <w:rPr>
                <w:sz w:val="20"/>
                <w:szCs w:val="20"/>
              </w:rPr>
              <w:t xml:space="preserve"> positive result</w:t>
            </w:r>
            <w:r>
              <w:rPr>
                <w:sz w:val="20"/>
                <w:szCs w:val="20"/>
              </w:rPr>
              <w:t xml:space="preserve"> (reference test sensitivity) </w:t>
            </w:r>
          </w:p>
        </w:tc>
        <w:tc>
          <w:tcPr>
            <w:tcW w:w="1250" w:type="pct"/>
          </w:tcPr>
          <w:p w14:paraId="032183D1" w14:textId="77777777" w:rsidR="003416D8" w:rsidRDefault="003416D8" w:rsidP="00E943BD">
            <w:pPr>
              <w:pStyle w:val="Default"/>
              <w:rPr>
                <w:sz w:val="20"/>
                <w:szCs w:val="20"/>
              </w:rPr>
            </w:pPr>
            <w:r>
              <w:rPr>
                <w:sz w:val="20"/>
                <w:szCs w:val="20"/>
              </w:rPr>
              <w:t xml:space="preserve">1 </w:t>
            </w:r>
          </w:p>
        </w:tc>
        <w:tc>
          <w:tcPr>
            <w:tcW w:w="1250" w:type="pct"/>
          </w:tcPr>
          <w:p w14:paraId="205B399C" w14:textId="77777777" w:rsidR="003416D8" w:rsidRPr="00147E31" w:rsidRDefault="003416D8" w:rsidP="00E943BD">
            <w:pPr>
              <w:pStyle w:val="Default"/>
              <w:rPr>
                <w:sz w:val="20"/>
                <w:szCs w:val="20"/>
              </w:rPr>
            </w:pPr>
          </w:p>
        </w:tc>
        <w:tc>
          <w:tcPr>
            <w:tcW w:w="1250" w:type="pct"/>
          </w:tcPr>
          <w:p w14:paraId="653ED193" w14:textId="0839EF52" w:rsidR="003416D8" w:rsidRPr="00147E31" w:rsidRDefault="00536F86" w:rsidP="00E943BD">
            <w:pPr>
              <w:pStyle w:val="Default"/>
              <w:rPr>
                <w:sz w:val="20"/>
                <w:szCs w:val="20"/>
              </w:rPr>
            </w:pPr>
            <w:r>
              <w:rPr>
                <w:sz w:val="20"/>
                <w:szCs w:val="20"/>
              </w:rPr>
              <w:t>Assumption</w:t>
            </w:r>
          </w:p>
        </w:tc>
      </w:tr>
      <w:tr w:rsidR="003416D8" w14:paraId="0B66EF27" w14:textId="35FAF1FC" w:rsidTr="003416D8">
        <w:trPr>
          <w:trHeight w:val="205"/>
        </w:trPr>
        <w:tc>
          <w:tcPr>
            <w:tcW w:w="1251" w:type="pct"/>
          </w:tcPr>
          <w:p w14:paraId="06708502" w14:textId="566A0F56" w:rsidR="003416D8" w:rsidRDefault="003416D8" w:rsidP="00E943BD">
            <w:pPr>
              <w:pStyle w:val="Default"/>
              <w:rPr>
                <w:sz w:val="20"/>
                <w:szCs w:val="20"/>
              </w:rPr>
            </w:pPr>
            <w:r>
              <w:rPr>
                <w:sz w:val="20"/>
                <w:szCs w:val="20"/>
              </w:rPr>
              <w:t>Fast-track MRI/CT</w:t>
            </w:r>
            <w:r w:rsidR="00672948">
              <w:rPr>
                <w:sz w:val="20"/>
                <w:szCs w:val="20"/>
              </w:rPr>
              <w:t xml:space="preserve"> positive result</w:t>
            </w:r>
            <w:r>
              <w:rPr>
                <w:sz w:val="20"/>
                <w:szCs w:val="20"/>
              </w:rPr>
              <w:t xml:space="preserve"> (reference test sensitivity) </w:t>
            </w:r>
          </w:p>
        </w:tc>
        <w:tc>
          <w:tcPr>
            <w:tcW w:w="1250" w:type="pct"/>
          </w:tcPr>
          <w:p w14:paraId="25AB6416" w14:textId="77777777" w:rsidR="003416D8" w:rsidRDefault="003416D8" w:rsidP="00E943BD">
            <w:pPr>
              <w:pStyle w:val="Default"/>
              <w:rPr>
                <w:sz w:val="20"/>
                <w:szCs w:val="20"/>
              </w:rPr>
            </w:pPr>
            <w:r>
              <w:rPr>
                <w:sz w:val="20"/>
                <w:szCs w:val="20"/>
              </w:rPr>
              <w:t xml:space="preserve">1 </w:t>
            </w:r>
          </w:p>
        </w:tc>
        <w:tc>
          <w:tcPr>
            <w:tcW w:w="1250" w:type="pct"/>
          </w:tcPr>
          <w:p w14:paraId="1CF104EA" w14:textId="77777777" w:rsidR="003416D8" w:rsidRPr="00147E31" w:rsidRDefault="003416D8" w:rsidP="00E943BD">
            <w:pPr>
              <w:pStyle w:val="Default"/>
              <w:rPr>
                <w:sz w:val="20"/>
                <w:szCs w:val="20"/>
              </w:rPr>
            </w:pPr>
          </w:p>
        </w:tc>
        <w:tc>
          <w:tcPr>
            <w:tcW w:w="1250" w:type="pct"/>
          </w:tcPr>
          <w:p w14:paraId="77221481" w14:textId="35FF5C59" w:rsidR="003416D8" w:rsidRPr="00147E31" w:rsidRDefault="00536F86" w:rsidP="00E943BD">
            <w:pPr>
              <w:pStyle w:val="Default"/>
              <w:rPr>
                <w:sz w:val="20"/>
                <w:szCs w:val="20"/>
              </w:rPr>
            </w:pPr>
            <w:r>
              <w:rPr>
                <w:sz w:val="20"/>
                <w:szCs w:val="20"/>
              </w:rPr>
              <w:t>Assumption</w:t>
            </w:r>
          </w:p>
        </w:tc>
      </w:tr>
      <w:tr w:rsidR="003416D8" w14:paraId="53F95D65" w14:textId="71798F66" w:rsidTr="003416D8">
        <w:trPr>
          <w:trHeight w:val="90"/>
        </w:trPr>
        <w:tc>
          <w:tcPr>
            <w:tcW w:w="1251" w:type="pct"/>
          </w:tcPr>
          <w:p w14:paraId="06F164B7" w14:textId="4D584A00" w:rsidR="003416D8" w:rsidRDefault="003416D8" w:rsidP="00E943BD">
            <w:pPr>
              <w:pStyle w:val="Default"/>
              <w:rPr>
                <w:sz w:val="20"/>
                <w:szCs w:val="20"/>
              </w:rPr>
            </w:pPr>
            <w:r>
              <w:rPr>
                <w:sz w:val="20"/>
                <w:szCs w:val="20"/>
              </w:rPr>
              <w:lastRenderedPageBreak/>
              <w:t>Referral decision</w:t>
            </w:r>
            <w:r w:rsidR="00672948">
              <w:rPr>
                <w:sz w:val="20"/>
                <w:szCs w:val="20"/>
              </w:rPr>
              <w:t xml:space="preserve"> if Liquid Biopsy Test negative result </w:t>
            </w:r>
          </w:p>
        </w:tc>
        <w:tc>
          <w:tcPr>
            <w:tcW w:w="1250" w:type="pct"/>
          </w:tcPr>
          <w:p w14:paraId="75B18723" w14:textId="3B9E936A" w:rsidR="003416D8" w:rsidRDefault="003416D8" w:rsidP="00E943BD">
            <w:pPr>
              <w:pStyle w:val="Default"/>
              <w:rPr>
                <w:sz w:val="20"/>
                <w:szCs w:val="20"/>
              </w:rPr>
            </w:pPr>
            <w:r>
              <w:rPr>
                <w:sz w:val="20"/>
                <w:szCs w:val="20"/>
              </w:rPr>
              <w:t xml:space="preserve">Primary:0·5, Secondary: 1 </w:t>
            </w:r>
          </w:p>
        </w:tc>
        <w:tc>
          <w:tcPr>
            <w:tcW w:w="1250" w:type="pct"/>
          </w:tcPr>
          <w:p w14:paraId="3A54011B" w14:textId="77777777" w:rsidR="003416D8" w:rsidRDefault="003416D8" w:rsidP="00E943BD">
            <w:pPr>
              <w:pStyle w:val="Default"/>
              <w:rPr>
                <w:sz w:val="20"/>
                <w:szCs w:val="20"/>
              </w:rPr>
            </w:pPr>
          </w:p>
        </w:tc>
        <w:tc>
          <w:tcPr>
            <w:tcW w:w="1250" w:type="pct"/>
          </w:tcPr>
          <w:p w14:paraId="5F7F23AE" w14:textId="655649A4" w:rsidR="003416D8" w:rsidRPr="00147E31" w:rsidRDefault="003416D8" w:rsidP="00E943BD">
            <w:pPr>
              <w:pStyle w:val="Default"/>
              <w:rPr>
                <w:sz w:val="20"/>
                <w:szCs w:val="20"/>
              </w:rPr>
            </w:pPr>
            <w:r>
              <w:rPr>
                <w:sz w:val="20"/>
                <w:szCs w:val="20"/>
              </w:rPr>
              <w:t xml:space="preserve">Expert opinion </w:t>
            </w:r>
            <w:r>
              <w:rPr>
                <w:sz w:val="20"/>
                <w:szCs w:val="20"/>
              </w:rPr>
              <w:fldChar w:fldCharType="begin" w:fldLock="1"/>
            </w:r>
            <w:r>
              <w:rPr>
                <w:sz w:val="20"/>
                <w:szCs w:val="20"/>
              </w:rPr>
              <w:instrText>ADDIN CSL_CITATION {"citationItems":[{"id":"ITEM-1","itemData":{"DOI":"10.1136/bmjopen-2017-017593","ISSN":"20446055","abstract":"Objectives To determine the potential costs and health benefits of a serum-based spectroscopic triage tool for brain tumours, which could be developed to reduce diagnostic delays in the current clinical pathway. Design A model-based health pre-trial economic assessment. Decision tree models were constructed based on simplified diagnostic pathways. Models were populated with parameters identified from rapid reviews of the literature and clinical expert opinion. Setting Explored as a test in both primary and secondary care (neuroimaging) in the UK health service, as well as application to the USA. Participants Calculations based on an initial cohort of 10 000 patients. In primary care, it is estimated that the volume of tests would approach 75 000 per annum. The volume of tests in secondary care is estimated at 53 000 per annum. Main outcome measures The primary outcome measure was quality-adjusted life-years (QALY), which were employed to derive incremental cost-effectiveness ratios (ICER) in a cost-effectiveness analysis. Results Results indicate that using a blood-based spectroscopic test in both scenarios has the potential to be highly cost-effective in a health technology assessment agency decision-making process, as ICERs were well below standard threshold values of £20 000-£30 000 per QALY. This test may be cost-effective in both scenarios with test sensitivities and specificities as low as 80%; however, the price of the test would need to be lower (less than approximately £40). Conclusion Use of this test as triage tool in primary care has the potential to be both more effective and cost saving for the health service. In secondary care, this test would also be deemed more effective than the current diagnostic pathway.","author":[{"dropping-particle":"","family":"Gray","given":"Ewan","non-dropping-particle":"","parse-names":false,"suffix":""},{"dropping-particle":"","family":"Butler","given":"Holly J.","non-dropping-particle":"","parse-names":false,"suffix":""},{"dropping-particle":"","family":"Board","given":"Ruth","non-dropping-particle":"","parse-names":false,"suffix":""},{"dropping-particle":"","family":"Brennan","given":"Paul M.","non-dropping-particle":"","parse-names":false,"suffix":""},{"dropping-particle":"","family":"Chalmers","given":"Anthony J.","non-dropping-particle":"","parse-names":false,"suffix":""},{"dropping-particle":"","family":"Dawson","given":"Timothy","non-dropping-particle":"","parse-names":false,"suffix":""},{"dropping-particle":"","family":"Goodden","given":"John","non-dropping-particle":"","parse-names":false,"suffix":""},{"dropping-particle":"","family":"Hamilton","given":"Willie","non-dropping-particle":"","parse-names":false,"suffix":""},{"dropping-particle":"","family":"Hegarty","given":"Mark G.","non-dropping-particle":"","parse-names":false,"suffix":""},{"dropping-particle":"","family":"James","given":"Allan","non-dropping-particle":"","parse-names":false,"suffix":""},{"dropping-particle":"","family":"Jenkinson","given":"Michael D.","non-dropping-particle":"","parse-names":false,"suffix":""},{"dropping-particle":"","family":"Kernick","given":"David","non-dropping-particle":"","parse-names":false,"suffix":""},{"dropping-particle":"","family":"Lekka","given":"Elvira","non-dropping-particle":"","parse-names":false,"suffix":""},{"dropping-particle":"","family":"Livermore","given":"Laurent J.","non-dropping-particle":"","parse-names":false,"suffix":""},{"dropping-particle":"","family":"Mills","given":"Samantha J.","non-dropping-particle":"","parse-names":false,"suffix":""},{"dropping-particle":"","family":"O'Neill","given":"Kevin","non-dropping-particle":"","parse-names":false,"suffix":""},{"dropping-particle":"","family":"Palmer","given":"David S.","non-dropping-particle":"","parse-names":false,"suffix":""},{"dropping-particle":"","family":"Vaqas","given":"Babar","non-dropping-particle":"","parse-names":false,"suffix":""},{"dropping-particle":"","family":"Baker","given":"Matthew J.","non-dropping-particle":"","parse-names":false,"suffix":""}],"container-title":"BMJ Open","id":"ITEM-1","issue":"5","issued":{"date-parts":[["2018","5","1"]]},"publisher":"BMJ Publishing Group","title":"Health economic evaluation of a serum-based blood test for brain tumour diagnosis: Exploration of two clinical scenarios","type":"article-journal","volume":"8"},"uris":["http://www.mendeley.com/documents/?uuid=2b0dfa23-c2c6-34ce-88c9-b85d6cb0c0d4"]}],"mendeley":{"formattedCitation":"(1)","plainTextFormattedCitation":"(1)","previouslyFormattedCitation":"(1)"},"properties":{"noteIndex":0},"schema":"https://github.com/citation-style-language/schema/raw/master/csl-citation.json"}</w:instrText>
            </w:r>
            <w:r>
              <w:rPr>
                <w:sz w:val="20"/>
                <w:szCs w:val="20"/>
              </w:rPr>
              <w:fldChar w:fldCharType="separate"/>
            </w:r>
            <w:r w:rsidRPr="00147E31">
              <w:rPr>
                <w:noProof/>
                <w:sz w:val="20"/>
                <w:szCs w:val="20"/>
              </w:rPr>
              <w:t>(1)</w:t>
            </w:r>
            <w:r>
              <w:rPr>
                <w:sz w:val="20"/>
                <w:szCs w:val="20"/>
              </w:rPr>
              <w:fldChar w:fldCharType="end"/>
            </w:r>
          </w:p>
        </w:tc>
      </w:tr>
      <w:tr w:rsidR="003416D8" w14:paraId="0A5FBEF7" w14:textId="2B88AC25" w:rsidTr="003416D8">
        <w:trPr>
          <w:gridAfter w:val="2"/>
          <w:wAfter w:w="2500" w:type="pct"/>
          <w:trHeight w:val="90"/>
        </w:trPr>
        <w:tc>
          <w:tcPr>
            <w:tcW w:w="1250" w:type="pct"/>
          </w:tcPr>
          <w:p w14:paraId="7E74F474" w14:textId="311FE5EE" w:rsidR="003416D8" w:rsidRPr="00672948" w:rsidRDefault="00672948" w:rsidP="00E943BD">
            <w:pPr>
              <w:pStyle w:val="Default"/>
              <w:rPr>
                <w:b/>
                <w:bCs/>
                <w:sz w:val="20"/>
                <w:szCs w:val="20"/>
              </w:rPr>
            </w:pPr>
            <w:r w:rsidRPr="00672948">
              <w:rPr>
                <w:b/>
                <w:bCs/>
                <w:sz w:val="20"/>
                <w:szCs w:val="20"/>
              </w:rPr>
              <w:t>Probabilities for non-cancer cases:</w:t>
            </w:r>
          </w:p>
        </w:tc>
        <w:tc>
          <w:tcPr>
            <w:tcW w:w="1250" w:type="pct"/>
          </w:tcPr>
          <w:p w14:paraId="3540CA6E" w14:textId="43BB2B32" w:rsidR="003416D8" w:rsidRPr="00147E31" w:rsidRDefault="003416D8" w:rsidP="00E943BD">
            <w:pPr>
              <w:pStyle w:val="Default"/>
              <w:rPr>
                <w:sz w:val="20"/>
                <w:szCs w:val="20"/>
              </w:rPr>
            </w:pPr>
          </w:p>
        </w:tc>
      </w:tr>
      <w:tr w:rsidR="003416D8" w14:paraId="7AB7B635" w14:textId="11A2A047" w:rsidTr="003416D8">
        <w:trPr>
          <w:trHeight w:val="204"/>
        </w:trPr>
        <w:tc>
          <w:tcPr>
            <w:tcW w:w="1251" w:type="pct"/>
          </w:tcPr>
          <w:p w14:paraId="162DC347" w14:textId="768BEA52" w:rsidR="003416D8" w:rsidRDefault="00672948" w:rsidP="00E943BD">
            <w:pPr>
              <w:pStyle w:val="Default"/>
              <w:rPr>
                <w:sz w:val="20"/>
                <w:szCs w:val="20"/>
              </w:rPr>
            </w:pPr>
            <w:r>
              <w:rPr>
                <w:sz w:val="20"/>
                <w:szCs w:val="20"/>
              </w:rPr>
              <w:t xml:space="preserve">Liquid Biopsy Test negative result </w:t>
            </w:r>
            <w:r w:rsidR="003416D8">
              <w:rPr>
                <w:sz w:val="20"/>
                <w:szCs w:val="20"/>
              </w:rPr>
              <w:t xml:space="preserve">(test specificity) </w:t>
            </w:r>
          </w:p>
        </w:tc>
        <w:tc>
          <w:tcPr>
            <w:tcW w:w="1250" w:type="pct"/>
          </w:tcPr>
          <w:p w14:paraId="74A94173" w14:textId="6A5D279E" w:rsidR="003416D8" w:rsidRDefault="003416D8" w:rsidP="00E943BD">
            <w:pPr>
              <w:pStyle w:val="Default"/>
              <w:rPr>
                <w:sz w:val="20"/>
                <w:szCs w:val="20"/>
              </w:rPr>
            </w:pPr>
            <w:r>
              <w:rPr>
                <w:sz w:val="20"/>
                <w:szCs w:val="20"/>
              </w:rPr>
              <w:t>0·</w:t>
            </w:r>
            <w:r w:rsidR="00690AE8">
              <w:rPr>
                <w:sz w:val="20"/>
                <w:szCs w:val="20"/>
              </w:rPr>
              <w:t>8</w:t>
            </w:r>
          </w:p>
        </w:tc>
        <w:tc>
          <w:tcPr>
            <w:tcW w:w="1250" w:type="pct"/>
          </w:tcPr>
          <w:p w14:paraId="236B2961" w14:textId="7A197092" w:rsidR="003416D8" w:rsidRPr="0021347E" w:rsidRDefault="00690AE8" w:rsidP="00E943BD">
            <w:pPr>
              <w:pStyle w:val="Default"/>
              <w:rPr>
                <w:sz w:val="20"/>
                <w:szCs w:val="20"/>
              </w:rPr>
            </w:pPr>
            <w:r>
              <w:rPr>
                <w:sz w:val="20"/>
                <w:szCs w:val="20"/>
              </w:rPr>
              <w:t>Beta (253,65)</w:t>
            </w:r>
          </w:p>
        </w:tc>
        <w:tc>
          <w:tcPr>
            <w:tcW w:w="1250" w:type="pct"/>
          </w:tcPr>
          <w:p w14:paraId="26EB6DC1" w14:textId="67D2F76E" w:rsidR="003416D8" w:rsidRPr="00147E31" w:rsidRDefault="003416D8" w:rsidP="00E943BD">
            <w:pPr>
              <w:pStyle w:val="Default"/>
              <w:rPr>
                <w:sz w:val="20"/>
                <w:szCs w:val="20"/>
              </w:rPr>
            </w:pPr>
            <w:r w:rsidRPr="0021347E">
              <w:rPr>
                <w:sz w:val="20"/>
                <w:szCs w:val="20"/>
              </w:rPr>
              <w:t>[Brennan et al, under review]</w:t>
            </w:r>
          </w:p>
        </w:tc>
      </w:tr>
      <w:tr w:rsidR="003416D8" w14:paraId="0A5B26EB" w14:textId="30DE542A" w:rsidTr="003416D8">
        <w:trPr>
          <w:trHeight w:val="205"/>
        </w:trPr>
        <w:tc>
          <w:tcPr>
            <w:tcW w:w="1251" w:type="pct"/>
          </w:tcPr>
          <w:p w14:paraId="74D5FE98" w14:textId="54981C26" w:rsidR="003416D8" w:rsidRDefault="003416D8" w:rsidP="00E943BD">
            <w:pPr>
              <w:pStyle w:val="Default"/>
              <w:rPr>
                <w:sz w:val="20"/>
                <w:szCs w:val="20"/>
              </w:rPr>
            </w:pPr>
            <w:r>
              <w:rPr>
                <w:sz w:val="20"/>
                <w:szCs w:val="20"/>
              </w:rPr>
              <w:t>Standard MRI/CT</w:t>
            </w:r>
            <w:r w:rsidR="00672948">
              <w:rPr>
                <w:sz w:val="20"/>
                <w:szCs w:val="20"/>
              </w:rPr>
              <w:t xml:space="preserve"> positive result</w:t>
            </w:r>
            <w:r>
              <w:rPr>
                <w:sz w:val="20"/>
                <w:szCs w:val="20"/>
              </w:rPr>
              <w:t xml:space="preserve"> (</w:t>
            </w:r>
            <w:r w:rsidR="00672948">
              <w:rPr>
                <w:sz w:val="20"/>
                <w:szCs w:val="20"/>
              </w:rPr>
              <w:t>1 -</w:t>
            </w:r>
            <w:r>
              <w:rPr>
                <w:sz w:val="20"/>
                <w:szCs w:val="20"/>
              </w:rPr>
              <w:t xml:space="preserve">reference test specificity) </w:t>
            </w:r>
          </w:p>
        </w:tc>
        <w:tc>
          <w:tcPr>
            <w:tcW w:w="1250" w:type="pct"/>
          </w:tcPr>
          <w:p w14:paraId="50950A6C" w14:textId="77777777" w:rsidR="003416D8" w:rsidRDefault="003416D8" w:rsidP="00E943BD">
            <w:pPr>
              <w:pStyle w:val="Default"/>
              <w:rPr>
                <w:sz w:val="20"/>
                <w:szCs w:val="20"/>
              </w:rPr>
            </w:pPr>
            <w:r>
              <w:rPr>
                <w:sz w:val="20"/>
                <w:szCs w:val="20"/>
              </w:rPr>
              <w:t xml:space="preserve">0 </w:t>
            </w:r>
          </w:p>
        </w:tc>
        <w:tc>
          <w:tcPr>
            <w:tcW w:w="1250" w:type="pct"/>
          </w:tcPr>
          <w:p w14:paraId="0476C2F9" w14:textId="77777777" w:rsidR="003416D8" w:rsidRPr="00147E31" w:rsidRDefault="003416D8" w:rsidP="00E943BD">
            <w:pPr>
              <w:pStyle w:val="Default"/>
              <w:rPr>
                <w:sz w:val="20"/>
                <w:szCs w:val="20"/>
              </w:rPr>
            </w:pPr>
          </w:p>
        </w:tc>
        <w:tc>
          <w:tcPr>
            <w:tcW w:w="1250" w:type="pct"/>
          </w:tcPr>
          <w:p w14:paraId="5C4F9AEF" w14:textId="20869308" w:rsidR="003416D8" w:rsidRPr="00147E31" w:rsidRDefault="00536F86" w:rsidP="00E943BD">
            <w:pPr>
              <w:pStyle w:val="Default"/>
              <w:rPr>
                <w:sz w:val="20"/>
                <w:szCs w:val="20"/>
              </w:rPr>
            </w:pPr>
            <w:r>
              <w:rPr>
                <w:sz w:val="20"/>
                <w:szCs w:val="20"/>
              </w:rPr>
              <w:t>Assumption</w:t>
            </w:r>
          </w:p>
        </w:tc>
      </w:tr>
      <w:tr w:rsidR="003416D8" w14:paraId="5AC462CD" w14:textId="74F7AE32" w:rsidTr="003416D8">
        <w:trPr>
          <w:trHeight w:val="204"/>
        </w:trPr>
        <w:tc>
          <w:tcPr>
            <w:tcW w:w="1251" w:type="pct"/>
            <w:tcBorders>
              <w:bottom w:val="nil"/>
            </w:tcBorders>
          </w:tcPr>
          <w:p w14:paraId="65F0C07D" w14:textId="17FC63F7" w:rsidR="003416D8" w:rsidRDefault="003416D8" w:rsidP="00E943BD">
            <w:pPr>
              <w:pStyle w:val="Default"/>
              <w:rPr>
                <w:sz w:val="20"/>
                <w:szCs w:val="20"/>
              </w:rPr>
            </w:pPr>
            <w:r>
              <w:rPr>
                <w:sz w:val="20"/>
                <w:szCs w:val="20"/>
              </w:rPr>
              <w:t xml:space="preserve">Fast-track MRI/CT </w:t>
            </w:r>
            <w:r w:rsidR="00672948">
              <w:rPr>
                <w:sz w:val="20"/>
                <w:szCs w:val="20"/>
              </w:rPr>
              <w:t xml:space="preserve">positive result </w:t>
            </w:r>
            <w:r>
              <w:rPr>
                <w:sz w:val="20"/>
                <w:szCs w:val="20"/>
              </w:rPr>
              <w:t>(</w:t>
            </w:r>
            <w:r w:rsidR="00672948">
              <w:rPr>
                <w:sz w:val="20"/>
                <w:szCs w:val="20"/>
              </w:rPr>
              <w:t xml:space="preserve">1 - </w:t>
            </w:r>
            <w:r>
              <w:rPr>
                <w:sz w:val="20"/>
                <w:szCs w:val="20"/>
              </w:rPr>
              <w:t xml:space="preserve">reference test specificity) </w:t>
            </w:r>
          </w:p>
        </w:tc>
        <w:tc>
          <w:tcPr>
            <w:tcW w:w="1250" w:type="pct"/>
            <w:tcBorders>
              <w:bottom w:val="nil"/>
            </w:tcBorders>
          </w:tcPr>
          <w:p w14:paraId="60156CD0" w14:textId="77777777" w:rsidR="003416D8" w:rsidRDefault="003416D8" w:rsidP="00E943BD">
            <w:pPr>
              <w:pStyle w:val="Default"/>
              <w:rPr>
                <w:sz w:val="20"/>
                <w:szCs w:val="20"/>
              </w:rPr>
            </w:pPr>
            <w:r>
              <w:rPr>
                <w:sz w:val="20"/>
                <w:szCs w:val="20"/>
              </w:rPr>
              <w:t xml:space="preserve">0 </w:t>
            </w:r>
          </w:p>
        </w:tc>
        <w:tc>
          <w:tcPr>
            <w:tcW w:w="1250" w:type="pct"/>
            <w:tcBorders>
              <w:bottom w:val="nil"/>
            </w:tcBorders>
          </w:tcPr>
          <w:p w14:paraId="54B37217" w14:textId="77777777" w:rsidR="003416D8" w:rsidRPr="00147E31" w:rsidRDefault="003416D8" w:rsidP="00E943BD">
            <w:pPr>
              <w:pStyle w:val="Default"/>
              <w:rPr>
                <w:sz w:val="20"/>
                <w:szCs w:val="20"/>
              </w:rPr>
            </w:pPr>
          </w:p>
        </w:tc>
        <w:tc>
          <w:tcPr>
            <w:tcW w:w="1250" w:type="pct"/>
            <w:tcBorders>
              <w:bottom w:val="nil"/>
            </w:tcBorders>
          </w:tcPr>
          <w:p w14:paraId="5CE2992A" w14:textId="65C3656F" w:rsidR="003416D8" w:rsidRPr="00147E31" w:rsidRDefault="00536F86" w:rsidP="00E943BD">
            <w:pPr>
              <w:pStyle w:val="Default"/>
              <w:rPr>
                <w:sz w:val="20"/>
                <w:szCs w:val="20"/>
              </w:rPr>
            </w:pPr>
            <w:r>
              <w:rPr>
                <w:sz w:val="20"/>
                <w:szCs w:val="20"/>
              </w:rPr>
              <w:t>Assumption</w:t>
            </w:r>
          </w:p>
        </w:tc>
      </w:tr>
      <w:tr w:rsidR="003416D8" w14:paraId="3E374A9F" w14:textId="7C1ADAC3" w:rsidTr="003416D8">
        <w:trPr>
          <w:trHeight w:val="90"/>
        </w:trPr>
        <w:tc>
          <w:tcPr>
            <w:tcW w:w="1251" w:type="pct"/>
            <w:tcBorders>
              <w:top w:val="nil"/>
              <w:bottom w:val="single" w:sz="8" w:space="0" w:color="auto"/>
            </w:tcBorders>
          </w:tcPr>
          <w:p w14:paraId="3B0F38AD" w14:textId="7B66EF18" w:rsidR="003416D8" w:rsidRDefault="00672948" w:rsidP="00E943BD">
            <w:pPr>
              <w:pStyle w:val="Default"/>
              <w:rPr>
                <w:sz w:val="20"/>
                <w:szCs w:val="20"/>
              </w:rPr>
            </w:pPr>
            <w:r>
              <w:rPr>
                <w:sz w:val="20"/>
                <w:szCs w:val="20"/>
              </w:rPr>
              <w:t>Referral decision if Liquid Biopsy Test negative result</w:t>
            </w:r>
          </w:p>
        </w:tc>
        <w:tc>
          <w:tcPr>
            <w:tcW w:w="1250" w:type="pct"/>
            <w:tcBorders>
              <w:top w:val="nil"/>
              <w:bottom w:val="single" w:sz="8" w:space="0" w:color="auto"/>
            </w:tcBorders>
          </w:tcPr>
          <w:p w14:paraId="51FE1565" w14:textId="24F63D43" w:rsidR="003416D8" w:rsidRDefault="003416D8" w:rsidP="00E943BD">
            <w:pPr>
              <w:pStyle w:val="Default"/>
              <w:rPr>
                <w:sz w:val="20"/>
                <w:szCs w:val="20"/>
              </w:rPr>
            </w:pPr>
            <w:r>
              <w:rPr>
                <w:sz w:val="20"/>
                <w:szCs w:val="20"/>
              </w:rPr>
              <w:t xml:space="preserve">Primary:0·5, Secondary: 1 </w:t>
            </w:r>
          </w:p>
        </w:tc>
        <w:tc>
          <w:tcPr>
            <w:tcW w:w="1250" w:type="pct"/>
            <w:tcBorders>
              <w:top w:val="nil"/>
              <w:bottom w:val="single" w:sz="8" w:space="0" w:color="auto"/>
            </w:tcBorders>
          </w:tcPr>
          <w:p w14:paraId="68056EED" w14:textId="77777777" w:rsidR="003416D8" w:rsidRDefault="003416D8" w:rsidP="00E943BD">
            <w:pPr>
              <w:pStyle w:val="Default"/>
              <w:rPr>
                <w:sz w:val="20"/>
                <w:szCs w:val="20"/>
              </w:rPr>
            </w:pPr>
          </w:p>
        </w:tc>
        <w:tc>
          <w:tcPr>
            <w:tcW w:w="1250" w:type="pct"/>
            <w:tcBorders>
              <w:top w:val="nil"/>
              <w:bottom w:val="single" w:sz="8" w:space="0" w:color="auto"/>
            </w:tcBorders>
          </w:tcPr>
          <w:p w14:paraId="2D476A5F" w14:textId="032CC81B" w:rsidR="003416D8" w:rsidRPr="00147E31" w:rsidRDefault="003416D8" w:rsidP="00E943BD">
            <w:pPr>
              <w:pStyle w:val="Default"/>
              <w:rPr>
                <w:sz w:val="20"/>
                <w:szCs w:val="20"/>
              </w:rPr>
            </w:pPr>
            <w:r>
              <w:rPr>
                <w:sz w:val="20"/>
                <w:szCs w:val="20"/>
              </w:rPr>
              <w:t xml:space="preserve">Expert opinion </w:t>
            </w:r>
            <w:r>
              <w:rPr>
                <w:sz w:val="20"/>
                <w:szCs w:val="20"/>
              </w:rPr>
              <w:fldChar w:fldCharType="begin" w:fldLock="1"/>
            </w:r>
            <w:r>
              <w:rPr>
                <w:sz w:val="20"/>
                <w:szCs w:val="20"/>
              </w:rPr>
              <w:instrText>ADDIN CSL_CITATION {"citationItems":[{"id":"ITEM-1","itemData":{"DOI":"10.1136/bmjopen-2017-017593","ISSN":"20446055","abstract":"Objectives To determine the potential costs and health benefits of a serum-based spectroscopic triage tool for brain tumours, which could be developed to reduce diagnostic delays in the current clinical pathway. Design A model-based health pre-trial economic assessment. Decision tree models were constructed based on simplified diagnostic pathways. Models were populated with parameters identified from rapid reviews of the literature and clinical expert opinion. Setting Explored as a test in both primary and secondary care (neuroimaging) in the UK health service, as well as application to the USA. Participants Calculations based on an initial cohort of 10 000 patients. In primary care, it is estimated that the volume of tests would approach 75 000 per annum. The volume of tests in secondary care is estimated at 53 000 per annum. Main outcome measures The primary outcome measure was quality-adjusted life-years (QALY), which were employed to derive incremental cost-effectiveness ratios (ICER) in a cost-effectiveness analysis. Results Results indicate that using a blood-based spectroscopic test in both scenarios has the potential to be highly cost-effective in a health technology assessment agency decision-making process, as ICERs were well below standard threshold values of £20 000-£30 000 per QALY. This test may be cost-effective in both scenarios with test sensitivities and specificities as low as 80%; however, the price of the test would need to be lower (less than approximately £40). Conclusion Use of this test as triage tool in primary care has the potential to be both more effective and cost saving for the health service. In secondary care, this test would also be deemed more effective than the current diagnostic pathway.","author":[{"dropping-particle":"","family":"Gray","given":"Ewan","non-dropping-particle":"","parse-names":false,"suffix":""},{"dropping-particle":"","family":"Butler","given":"Holly J.","non-dropping-particle":"","parse-names":false,"suffix":""},{"dropping-particle":"","family":"Board","given":"Ruth","non-dropping-particle":"","parse-names":false,"suffix":""},{"dropping-particle":"","family":"Brennan","given":"Paul M.","non-dropping-particle":"","parse-names":false,"suffix":""},{"dropping-particle":"","family":"Chalmers","given":"Anthony J.","non-dropping-particle":"","parse-names":false,"suffix":""},{"dropping-particle":"","family":"Dawson","given":"Timothy","non-dropping-particle":"","parse-names":false,"suffix":""},{"dropping-particle":"","family":"Goodden","given":"John","non-dropping-particle":"","parse-names":false,"suffix":""},{"dropping-particle":"","family":"Hamilton","given":"Willie","non-dropping-particle":"","parse-names":false,"suffix":""},{"dropping-particle":"","family":"Hegarty","given":"Mark G.","non-dropping-particle":"","parse-names":false,"suffix":""},{"dropping-particle":"","family":"James","given":"Allan","non-dropping-particle":"","parse-names":false,"suffix":""},{"dropping-particle":"","family":"Jenkinson","given":"Michael D.","non-dropping-particle":"","parse-names":false,"suffix":""},{"dropping-particle":"","family":"Kernick","given":"David","non-dropping-particle":"","parse-names":false,"suffix":""},{"dropping-particle":"","family":"Lekka","given":"Elvira","non-dropping-particle":"","parse-names":false,"suffix":""},{"dropping-particle":"","family":"Livermore","given":"Laurent J.","non-dropping-particle":"","parse-names":false,"suffix":""},{"dropping-particle":"","family":"Mills","given":"Samantha J.","non-dropping-particle":"","parse-names":false,"suffix":""},{"dropping-particle":"","family":"O'Neill","given":"Kevin","non-dropping-particle":"","parse-names":false,"suffix":""},{"dropping-particle":"","family":"Palmer","given":"David S.","non-dropping-particle":"","parse-names":false,"suffix":""},{"dropping-particle":"","family":"Vaqas","given":"Babar","non-dropping-particle":"","parse-names":false,"suffix":""},{"dropping-particle":"","family":"Baker","given":"Matthew J.","non-dropping-particle":"","parse-names":false,"suffix":""}],"container-title":"BMJ Open","id":"ITEM-1","issue":"5","issued":{"date-parts":[["2018","5","1"]]},"publisher":"BMJ Publishing Group","title":"Health economic evaluation of a serum-based blood test for brain tumour diagnosis: Exploration of two clinical scenarios","type":"article-journal","volume":"8"},"uris":["http://www.mendeley.com/documents/?uuid=2b0dfa23-c2c6-34ce-88c9-b85d6cb0c0d4"]}],"mendeley":{"formattedCitation":"(1)","plainTextFormattedCitation":"(1)","previouslyFormattedCitation":"(1)"},"properties":{"noteIndex":0},"schema":"https://github.com/citation-style-language/schema/raw/master/csl-citation.json"}</w:instrText>
            </w:r>
            <w:r>
              <w:rPr>
                <w:sz w:val="20"/>
                <w:szCs w:val="20"/>
              </w:rPr>
              <w:fldChar w:fldCharType="separate"/>
            </w:r>
            <w:r w:rsidRPr="00147E31">
              <w:rPr>
                <w:noProof/>
                <w:sz w:val="20"/>
                <w:szCs w:val="20"/>
              </w:rPr>
              <w:t>(1)</w:t>
            </w:r>
            <w:r>
              <w:rPr>
                <w:sz w:val="20"/>
                <w:szCs w:val="20"/>
              </w:rPr>
              <w:fldChar w:fldCharType="end"/>
            </w:r>
          </w:p>
        </w:tc>
      </w:tr>
    </w:tbl>
    <w:p w14:paraId="2AA6234F" w14:textId="382021DB" w:rsidR="00D57B47" w:rsidRDefault="00D57B47" w:rsidP="001F4231">
      <w:pPr>
        <w:pStyle w:val="Caption"/>
      </w:pPr>
      <w:bookmarkStart w:id="1" w:name="_Ref40385237"/>
    </w:p>
    <w:p w14:paraId="43BFB36A" w14:textId="77777777" w:rsidR="00323AE9" w:rsidRPr="00323AE9" w:rsidRDefault="00323AE9" w:rsidP="00323AE9"/>
    <w:p w14:paraId="39F5F448" w14:textId="0B99E9AC" w:rsidR="001F4231" w:rsidRPr="00220E32" w:rsidRDefault="001F4231" w:rsidP="001F4231">
      <w:pPr>
        <w:pStyle w:val="Caption"/>
      </w:pPr>
      <w:r>
        <w:t xml:space="preserve">Table SA </w:t>
      </w:r>
      <w:fldSimple w:instr=" SEQ Table_SA \* ARABIC ">
        <w:r>
          <w:rPr>
            <w:noProof/>
          </w:rPr>
          <w:t>3</w:t>
        </w:r>
      </w:fldSimple>
      <w:bookmarkEnd w:id="1"/>
      <w:r>
        <w:t xml:space="preserve"> - Additional parameters for model extension.</w:t>
      </w:r>
    </w:p>
    <w:tbl>
      <w:tblPr>
        <w:tblStyle w:val="TableGrid"/>
        <w:tblW w:w="0" w:type="auto"/>
        <w:tblLook w:val="04A0" w:firstRow="1" w:lastRow="0" w:firstColumn="1" w:lastColumn="0" w:noHBand="0" w:noVBand="1"/>
      </w:tblPr>
      <w:tblGrid>
        <w:gridCol w:w="3005"/>
        <w:gridCol w:w="3005"/>
        <w:gridCol w:w="3006"/>
      </w:tblGrid>
      <w:tr w:rsidR="001F4231" w14:paraId="409FD443" w14:textId="77777777" w:rsidTr="00E84283">
        <w:tc>
          <w:tcPr>
            <w:tcW w:w="3005" w:type="dxa"/>
          </w:tcPr>
          <w:p w14:paraId="2BA93F61" w14:textId="77777777" w:rsidR="001F4231" w:rsidRDefault="001F4231" w:rsidP="00E84283">
            <w:r>
              <w:t>Parameter</w:t>
            </w:r>
          </w:p>
        </w:tc>
        <w:tc>
          <w:tcPr>
            <w:tcW w:w="3005" w:type="dxa"/>
          </w:tcPr>
          <w:p w14:paraId="16F1422F" w14:textId="77777777" w:rsidR="001F4231" w:rsidRDefault="001F4231" w:rsidP="00E84283">
            <w:r>
              <w:t>Value</w:t>
            </w:r>
          </w:p>
        </w:tc>
        <w:tc>
          <w:tcPr>
            <w:tcW w:w="3006" w:type="dxa"/>
          </w:tcPr>
          <w:p w14:paraId="4084C5AA" w14:textId="77777777" w:rsidR="001F4231" w:rsidRDefault="001F4231" w:rsidP="00E84283">
            <w:r>
              <w:t>Source</w:t>
            </w:r>
          </w:p>
        </w:tc>
      </w:tr>
      <w:tr w:rsidR="000331CB" w14:paraId="02EEC444" w14:textId="77777777" w:rsidTr="00E84283">
        <w:tc>
          <w:tcPr>
            <w:tcW w:w="3005" w:type="dxa"/>
            <w:vAlign w:val="bottom"/>
          </w:tcPr>
          <w:p w14:paraId="61A1D13C" w14:textId="0788CE78" w:rsidR="000331CB" w:rsidRPr="00F250D8" w:rsidRDefault="000331CB" w:rsidP="00E84283">
            <w:pPr>
              <w:rPr>
                <w:rFonts w:cs="Times New Roman"/>
                <w:color w:val="000000"/>
                <w:sz w:val="22"/>
              </w:rPr>
            </w:pPr>
            <w:r>
              <w:rPr>
                <w:rFonts w:cs="Times New Roman"/>
                <w:color w:val="000000"/>
                <w:sz w:val="22"/>
              </w:rPr>
              <w:t xml:space="preserve">Proportion of patients that would receive surgery under standard care </w:t>
            </w:r>
          </w:p>
        </w:tc>
        <w:tc>
          <w:tcPr>
            <w:tcW w:w="3005" w:type="dxa"/>
            <w:vAlign w:val="bottom"/>
          </w:tcPr>
          <w:p w14:paraId="17E4E3E2" w14:textId="73AAF0C0" w:rsidR="000331CB" w:rsidRDefault="000331CB" w:rsidP="00E84283">
            <w:pPr>
              <w:rPr>
                <w:rFonts w:cs="Times New Roman"/>
                <w:color w:val="000000"/>
                <w:sz w:val="22"/>
              </w:rPr>
            </w:pPr>
            <w:r>
              <w:rPr>
                <w:rFonts w:cs="Times New Roman"/>
                <w:color w:val="000000"/>
                <w:sz w:val="22"/>
              </w:rPr>
              <w:t>1</w:t>
            </w:r>
          </w:p>
        </w:tc>
        <w:tc>
          <w:tcPr>
            <w:tcW w:w="3006" w:type="dxa"/>
          </w:tcPr>
          <w:p w14:paraId="43071CF5" w14:textId="095984A4" w:rsidR="000331CB" w:rsidRPr="00F250D8" w:rsidRDefault="000331CB" w:rsidP="00E84283">
            <w:pPr>
              <w:rPr>
                <w:rFonts w:cs="Times New Roman"/>
                <w:sz w:val="22"/>
              </w:rPr>
            </w:pPr>
            <w:r>
              <w:rPr>
                <w:rFonts w:cs="Times New Roman"/>
                <w:sz w:val="22"/>
              </w:rPr>
              <w:t>Model assumption</w:t>
            </w:r>
          </w:p>
        </w:tc>
      </w:tr>
      <w:tr w:rsidR="00C44D12" w14:paraId="543F117D" w14:textId="77777777" w:rsidTr="00E84283">
        <w:tc>
          <w:tcPr>
            <w:tcW w:w="3005" w:type="dxa"/>
            <w:vAlign w:val="bottom"/>
          </w:tcPr>
          <w:p w14:paraId="1883001F" w14:textId="2BC82F5F" w:rsidR="00C44D12" w:rsidRDefault="00C44D12" w:rsidP="00E84283">
            <w:pPr>
              <w:rPr>
                <w:rFonts w:cs="Times New Roman"/>
                <w:color w:val="000000"/>
                <w:sz w:val="22"/>
              </w:rPr>
            </w:pPr>
            <w:r w:rsidRPr="00F250D8">
              <w:rPr>
                <w:rFonts w:cs="Times New Roman"/>
                <w:color w:val="000000"/>
                <w:sz w:val="22"/>
              </w:rPr>
              <w:t>Costs</w:t>
            </w:r>
          </w:p>
        </w:tc>
        <w:tc>
          <w:tcPr>
            <w:tcW w:w="3005" w:type="dxa"/>
            <w:vAlign w:val="bottom"/>
          </w:tcPr>
          <w:p w14:paraId="74A869D1" w14:textId="77777777" w:rsidR="00C44D12" w:rsidRDefault="00C44D12" w:rsidP="00E84283">
            <w:pPr>
              <w:rPr>
                <w:rFonts w:cs="Times New Roman"/>
                <w:color w:val="000000"/>
                <w:sz w:val="22"/>
              </w:rPr>
            </w:pPr>
          </w:p>
        </w:tc>
        <w:tc>
          <w:tcPr>
            <w:tcW w:w="3006" w:type="dxa"/>
          </w:tcPr>
          <w:p w14:paraId="7BF07ED8" w14:textId="77777777" w:rsidR="00C44D12" w:rsidRDefault="00C44D12" w:rsidP="00E84283">
            <w:pPr>
              <w:rPr>
                <w:rFonts w:cs="Times New Roman"/>
                <w:sz w:val="22"/>
              </w:rPr>
            </w:pPr>
          </w:p>
        </w:tc>
      </w:tr>
      <w:tr w:rsidR="001F4231" w14:paraId="3C8FF0B9" w14:textId="77777777" w:rsidTr="00E84283">
        <w:tc>
          <w:tcPr>
            <w:tcW w:w="3005" w:type="dxa"/>
            <w:vAlign w:val="bottom"/>
          </w:tcPr>
          <w:p w14:paraId="2F2BF90C" w14:textId="77777777" w:rsidR="001F4231" w:rsidRPr="00F250D8" w:rsidRDefault="001F4231" w:rsidP="00E84283">
            <w:pPr>
              <w:rPr>
                <w:rFonts w:cs="Times New Roman"/>
                <w:sz w:val="22"/>
              </w:rPr>
            </w:pPr>
            <w:r w:rsidRPr="00F250D8">
              <w:rPr>
                <w:rFonts w:cs="Times New Roman"/>
                <w:color w:val="000000"/>
                <w:sz w:val="22"/>
              </w:rPr>
              <w:t>Surgical excision/debulking</w:t>
            </w:r>
          </w:p>
        </w:tc>
        <w:tc>
          <w:tcPr>
            <w:tcW w:w="3005" w:type="dxa"/>
            <w:vAlign w:val="bottom"/>
          </w:tcPr>
          <w:p w14:paraId="44FE0984" w14:textId="6E38390A" w:rsidR="001F4231" w:rsidRPr="00F250D8" w:rsidRDefault="005535F6" w:rsidP="00E84283">
            <w:pPr>
              <w:rPr>
                <w:rFonts w:cs="Times New Roman"/>
                <w:sz w:val="22"/>
              </w:rPr>
            </w:pPr>
            <w:r>
              <w:rPr>
                <w:rFonts w:cs="Times New Roman"/>
                <w:color w:val="000000"/>
                <w:sz w:val="22"/>
              </w:rPr>
              <w:t xml:space="preserve">GBP </w:t>
            </w:r>
            <w:r w:rsidR="001F4231" w:rsidRPr="00F250D8">
              <w:rPr>
                <w:rFonts w:cs="Times New Roman"/>
                <w:color w:val="000000"/>
                <w:sz w:val="22"/>
              </w:rPr>
              <w:t>7931</w:t>
            </w:r>
            <w:r>
              <w:rPr>
                <w:rFonts w:cs="Times New Roman"/>
                <w:color w:val="000000"/>
                <w:sz w:val="22"/>
              </w:rPr>
              <w:t xml:space="preserve"> (EUR 9045)</w:t>
            </w:r>
          </w:p>
        </w:tc>
        <w:tc>
          <w:tcPr>
            <w:tcW w:w="3006" w:type="dxa"/>
          </w:tcPr>
          <w:p w14:paraId="60BFE3B8" w14:textId="77777777" w:rsidR="001F4231" w:rsidRPr="00F250D8" w:rsidRDefault="001F4231" w:rsidP="00E84283">
            <w:pPr>
              <w:rPr>
                <w:rFonts w:cs="Times New Roman"/>
                <w:sz w:val="22"/>
              </w:rPr>
            </w:pPr>
            <w:r w:rsidRPr="00F250D8">
              <w:rPr>
                <w:rFonts w:cs="Times New Roman"/>
                <w:sz w:val="22"/>
              </w:rPr>
              <w:t>NHS reference costs 2017/18, average all AA52 and AA53</w:t>
            </w:r>
          </w:p>
        </w:tc>
      </w:tr>
      <w:tr w:rsidR="001F4231" w14:paraId="2D1DDBA5" w14:textId="77777777" w:rsidTr="00E84283">
        <w:tc>
          <w:tcPr>
            <w:tcW w:w="3005" w:type="dxa"/>
            <w:vAlign w:val="bottom"/>
          </w:tcPr>
          <w:p w14:paraId="7912ABBD" w14:textId="77777777" w:rsidR="001F4231" w:rsidRPr="00F250D8" w:rsidRDefault="001F4231" w:rsidP="00E84283">
            <w:pPr>
              <w:rPr>
                <w:rFonts w:cs="Times New Roman"/>
                <w:sz w:val="22"/>
              </w:rPr>
            </w:pPr>
            <w:r w:rsidRPr="00F250D8">
              <w:rPr>
                <w:rFonts w:cs="Times New Roman"/>
                <w:color w:val="000000"/>
                <w:sz w:val="22"/>
              </w:rPr>
              <w:t>biopsy, open</w:t>
            </w:r>
          </w:p>
        </w:tc>
        <w:tc>
          <w:tcPr>
            <w:tcW w:w="3005" w:type="dxa"/>
            <w:vAlign w:val="bottom"/>
          </w:tcPr>
          <w:p w14:paraId="5C537D40" w14:textId="4C93012A" w:rsidR="001F4231" w:rsidRPr="00F250D8" w:rsidRDefault="005535F6" w:rsidP="00E84283">
            <w:pPr>
              <w:rPr>
                <w:rFonts w:cs="Times New Roman"/>
                <w:sz w:val="22"/>
              </w:rPr>
            </w:pPr>
            <w:r>
              <w:rPr>
                <w:rFonts w:cs="Times New Roman"/>
                <w:color w:val="000000"/>
                <w:sz w:val="22"/>
              </w:rPr>
              <w:t xml:space="preserve">GBP </w:t>
            </w:r>
            <w:r w:rsidR="001F4231" w:rsidRPr="00F250D8">
              <w:rPr>
                <w:rFonts w:cs="Times New Roman"/>
                <w:sz w:val="22"/>
              </w:rPr>
              <w:t>1888</w:t>
            </w:r>
            <w:r>
              <w:rPr>
                <w:rFonts w:cs="Times New Roman"/>
                <w:sz w:val="22"/>
              </w:rPr>
              <w:t xml:space="preserve"> (EUR 2153)</w:t>
            </w:r>
          </w:p>
        </w:tc>
        <w:tc>
          <w:tcPr>
            <w:tcW w:w="3006" w:type="dxa"/>
          </w:tcPr>
          <w:p w14:paraId="09F8E961" w14:textId="77777777" w:rsidR="001F4231" w:rsidRPr="00F250D8" w:rsidRDefault="001F4231" w:rsidP="00E84283">
            <w:pPr>
              <w:rPr>
                <w:rFonts w:cs="Times New Roman"/>
                <w:sz w:val="22"/>
              </w:rPr>
            </w:pPr>
            <w:r w:rsidRPr="00F250D8">
              <w:rPr>
                <w:rFonts w:cs="Times New Roman"/>
                <w:sz w:val="22"/>
              </w:rPr>
              <w:t>NHS reference costs 2017/18, AA54C</w:t>
            </w:r>
          </w:p>
        </w:tc>
      </w:tr>
      <w:tr w:rsidR="001F4231" w14:paraId="1D061137" w14:textId="77777777" w:rsidTr="00E84283">
        <w:tc>
          <w:tcPr>
            <w:tcW w:w="3005" w:type="dxa"/>
            <w:vAlign w:val="bottom"/>
          </w:tcPr>
          <w:p w14:paraId="6D8025A0" w14:textId="77777777" w:rsidR="001F4231" w:rsidRPr="00F250D8" w:rsidRDefault="001F4231" w:rsidP="00E84283">
            <w:pPr>
              <w:rPr>
                <w:rFonts w:cs="Times New Roman"/>
                <w:sz w:val="22"/>
              </w:rPr>
            </w:pPr>
            <w:r w:rsidRPr="00F250D8">
              <w:rPr>
                <w:rFonts w:cs="Times New Roman"/>
                <w:color w:val="000000"/>
                <w:sz w:val="22"/>
              </w:rPr>
              <w:t>Full body CT</w:t>
            </w:r>
          </w:p>
        </w:tc>
        <w:tc>
          <w:tcPr>
            <w:tcW w:w="3005" w:type="dxa"/>
            <w:vAlign w:val="bottom"/>
          </w:tcPr>
          <w:p w14:paraId="68305F69" w14:textId="4B913B14" w:rsidR="001F4231" w:rsidRPr="00F250D8" w:rsidRDefault="005535F6" w:rsidP="00E84283">
            <w:pPr>
              <w:rPr>
                <w:rFonts w:cs="Times New Roman"/>
                <w:sz w:val="22"/>
              </w:rPr>
            </w:pPr>
            <w:r>
              <w:rPr>
                <w:rFonts w:cs="Times New Roman"/>
                <w:color w:val="000000"/>
                <w:sz w:val="22"/>
              </w:rPr>
              <w:t xml:space="preserve">GBP </w:t>
            </w:r>
            <w:r w:rsidR="001F4231" w:rsidRPr="00F250D8">
              <w:rPr>
                <w:rFonts w:cs="Times New Roman"/>
                <w:sz w:val="22"/>
              </w:rPr>
              <w:t>139</w:t>
            </w:r>
            <w:r>
              <w:rPr>
                <w:rFonts w:cs="Times New Roman"/>
                <w:sz w:val="22"/>
              </w:rPr>
              <w:t xml:space="preserve"> (EUR 159)</w:t>
            </w:r>
          </w:p>
        </w:tc>
        <w:tc>
          <w:tcPr>
            <w:tcW w:w="3006" w:type="dxa"/>
          </w:tcPr>
          <w:p w14:paraId="22C93BC1" w14:textId="77777777" w:rsidR="001F4231" w:rsidRPr="00F250D8" w:rsidRDefault="001F4231" w:rsidP="00E84283">
            <w:pPr>
              <w:rPr>
                <w:rFonts w:cs="Times New Roman"/>
                <w:sz w:val="22"/>
              </w:rPr>
            </w:pPr>
            <w:r w:rsidRPr="00F250D8">
              <w:rPr>
                <w:rFonts w:cs="Times New Roman"/>
                <w:sz w:val="22"/>
              </w:rPr>
              <w:t>NHS reference costs 2017/18, IMAGOP</w:t>
            </w:r>
          </w:p>
        </w:tc>
      </w:tr>
      <w:tr w:rsidR="001F4231" w14:paraId="70826AE3" w14:textId="77777777" w:rsidTr="00E84283">
        <w:tc>
          <w:tcPr>
            <w:tcW w:w="3005" w:type="dxa"/>
          </w:tcPr>
          <w:p w14:paraId="0CCF2401" w14:textId="2FB0C8D3" w:rsidR="001F4231" w:rsidRPr="00F250D8" w:rsidRDefault="001F4231" w:rsidP="00E84283">
            <w:pPr>
              <w:rPr>
                <w:rFonts w:cs="Times New Roman"/>
                <w:sz w:val="22"/>
              </w:rPr>
            </w:pPr>
            <w:r w:rsidRPr="00F250D8">
              <w:rPr>
                <w:rFonts w:cs="Times New Roman"/>
                <w:sz w:val="22"/>
              </w:rPr>
              <w:t>Pr</w:t>
            </w:r>
            <w:r w:rsidR="000331CB">
              <w:rPr>
                <w:rFonts w:cs="Times New Roman"/>
                <w:sz w:val="22"/>
              </w:rPr>
              <w:t xml:space="preserve">obability </w:t>
            </w:r>
            <w:r w:rsidRPr="00F250D8">
              <w:rPr>
                <w:rFonts w:cs="Times New Roman"/>
                <w:sz w:val="22"/>
              </w:rPr>
              <w:t xml:space="preserve">of each </w:t>
            </w:r>
            <w:r w:rsidR="000331CB">
              <w:rPr>
                <w:rFonts w:cs="Times New Roman"/>
                <w:sz w:val="22"/>
              </w:rPr>
              <w:t>cancer sub-</w:t>
            </w:r>
            <w:r w:rsidRPr="00F250D8">
              <w:rPr>
                <w:rFonts w:cs="Times New Roman"/>
                <w:sz w:val="22"/>
              </w:rPr>
              <w:t>type</w:t>
            </w:r>
          </w:p>
        </w:tc>
        <w:tc>
          <w:tcPr>
            <w:tcW w:w="3005" w:type="dxa"/>
          </w:tcPr>
          <w:p w14:paraId="01A4F69C" w14:textId="77777777" w:rsidR="001F4231" w:rsidRPr="00F250D8" w:rsidRDefault="001F4231" w:rsidP="00E84283">
            <w:pPr>
              <w:rPr>
                <w:rFonts w:cs="Times New Roman"/>
                <w:sz w:val="22"/>
              </w:rPr>
            </w:pPr>
          </w:p>
        </w:tc>
        <w:tc>
          <w:tcPr>
            <w:tcW w:w="3006" w:type="dxa"/>
          </w:tcPr>
          <w:p w14:paraId="309573A6" w14:textId="2585838E" w:rsidR="001F4231" w:rsidRPr="00F250D8" w:rsidRDefault="00B244A9" w:rsidP="00E84283">
            <w:pPr>
              <w:rPr>
                <w:rFonts w:cs="Times New Roman"/>
                <w:sz w:val="22"/>
              </w:rPr>
            </w:pPr>
            <w:r>
              <w:rPr>
                <w:rFonts w:cs="Times New Roman"/>
                <w:sz w:val="22"/>
              </w:rPr>
              <w:t xml:space="preserve">Expert opinion - </w:t>
            </w:r>
            <w:r w:rsidR="001F4231">
              <w:rPr>
                <w:rFonts w:cs="Times New Roman"/>
                <w:sz w:val="22"/>
              </w:rPr>
              <w:t>Clinical focus group</w:t>
            </w:r>
          </w:p>
        </w:tc>
      </w:tr>
      <w:tr w:rsidR="001F4231" w14:paraId="5B077A46" w14:textId="77777777" w:rsidTr="00E84283">
        <w:tc>
          <w:tcPr>
            <w:tcW w:w="3005" w:type="dxa"/>
            <w:vAlign w:val="bottom"/>
          </w:tcPr>
          <w:p w14:paraId="564B8C06" w14:textId="6BD6D2BB" w:rsidR="001F4231" w:rsidRPr="00F250D8" w:rsidRDefault="001F4231" w:rsidP="00E84283">
            <w:pPr>
              <w:rPr>
                <w:rFonts w:cs="Times New Roman"/>
                <w:sz w:val="22"/>
              </w:rPr>
            </w:pPr>
            <w:r w:rsidRPr="00F250D8">
              <w:rPr>
                <w:rFonts w:cs="Times New Roman"/>
                <w:color w:val="000000"/>
                <w:sz w:val="22"/>
              </w:rPr>
              <w:t>G</w:t>
            </w:r>
            <w:r w:rsidR="0097676A">
              <w:rPr>
                <w:rFonts w:cs="Times New Roman"/>
                <w:color w:val="000000"/>
                <w:sz w:val="22"/>
              </w:rPr>
              <w:t>lioblastoma</w:t>
            </w:r>
          </w:p>
        </w:tc>
        <w:tc>
          <w:tcPr>
            <w:tcW w:w="3005" w:type="dxa"/>
            <w:vAlign w:val="bottom"/>
          </w:tcPr>
          <w:p w14:paraId="2B47A6A9" w14:textId="77777777" w:rsidR="001F4231" w:rsidRPr="00F250D8" w:rsidRDefault="001F4231" w:rsidP="00E84283">
            <w:pPr>
              <w:rPr>
                <w:rFonts w:cs="Times New Roman"/>
                <w:sz w:val="22"/>
              </w:rPr>
            </w:pPr>
            <w:r w:rsidRPr="00F250D8">
              <w:rPr>
                <w:rFonts w:cs="Times New Roman"/>
                <w:color w:val="000000"/>
                <w:sz w:val="22"/>
              </w:rPr>
              <w:t>0.9</w:t>
            </w:r>
          </w:p>
        </w:tc>
        <w:tc>
          <w:tcPr>
            <w:tcW w:w="3006" w:type="dxa"/>
          </w:tcPr>
          <w:p w14:paraId="76D16B1F" w14:textId="77777777" w:rsidR="001F4231" w:rsidRPr="00F250D8" w:rsidRDefault="001F4231" w:rsidP="00E84283">
            <w:pPr>
              <w:rPr>
                <w:rFonts w:cs="Times New Roman"/>
                <w:sz w:val="22"/>
              </w:rPr>
            </w:pPr>
          </w:p>
        </w:tc>
      </w:tr>
      <w:tr w:rsidR="001F4231" w14:paraId="67FD3AF1" w14:textId="77777777" w:rsidTr="00E84283">
        <w:tc>
          <w:tcPr>
            <w:tcW w:w="3005" w:type="dxa"/>
            <w:vAlign w:val="bottom"/>
          </w:tcPr>
          <w:p w14:paraId="48EAAC91" w14:textId="2B5F4353" w:rsidR="001F4231" w:rsidRPr="0097676A" w:rsidRDefault="0097676A" w:rsidP="00E84283">
            <w:pPr>
              <w:rPr>
                <w:rFonts w:cs="Times New Roman"/>
                <w:sz w:val="22"/>
              </w:rPr>
            </w:pPr>
            <w:r w:rsidRPr="0097676A">
              <w:rPr>
                <w:sz w:val="22"/>
              </w:rPr>
              <w:t>Primary Central Nervous System Lymphoma</w:t>
            </w:r>
          </w:p>
        </w:tc>
        <w:tc>
          <w:tcPr>
            <w:tcW w:w="3005" w:type="dxa"/>
            <w:vAlign w:val="bottom"/>
          </w:tcPr>
          <w:p w14:paraId="6DEB080C" w14:textId="77777777" w:rsidR="001F4231" w:rsidRPr="00F250D8" w:rsidRDefault="001F4231" w:rsidP="00E84283">
            <w:pPr>
              <w:rPr>
                <w:rFonts w:cs="Times New Roman"/>
                <w:sz w:val="22"/>
              </w:rPr>
            </w:pPr>
            <w:r w:rsidRPr="00F250D8">
              <w:rPr>
                <w:rFonts w:cs="Times New Roman"/>
                <w:color w:val="000000"/>
                <w:sz w:val="22"/>
              </w:rPr>
              <w:t>0.03</w:t>
            </w:r>
          </w:p>
        </w:tc>
        <w:tc>
          <w:tcPr>
            <w:tcW w:w="3006" w:type="dxa"/>
          </w:tcPr>
          <w:p w14:paraId="6CA0983D" w14:textId="77777777" w:rsidR="001F4231" w:rsidRPr="00F250D8" w:rsidRDefault="001F4231" w:rsidP="00E84283">
            <w:pPr>
              <w:rPr>
                <w:rFonts w:cs="Times New Roman"/>
                <w:sz w:val="22"/>
              </w:rPr>
            </w:pPr>
          </w:p>
        </w:tc>
      </w:tr>
      <w:tr w:rsidR="001F4231" w14:paraId="5F8B3B41" w14:textId="77777777" w:rsidTr="00E84283">
        <w:tc>
          <w:tcPr>
            <w:tcW w:w="3005" w:type="dxa"/>
            <w:vAlign w:val="bottom"/>
          </w:tcPr>
          <w:p w14:paraId="78CB2735" w14:textId="32B9B9F6" w:rsidR="001F4231" w:rsidRPr="00F250D8" w:rsidRDefault="001F4231" w:rsidP="00E84283">
            <w:pPr>
              <w:rPr>
                <w:rFonts w:cs="Times New Roman"/>
                <w:sz w:val="22"/>
              </w:rPr>
            </w:pPr>
            <w:r w:rsidRPr="00F250D8">
              <w:rPr>
                <w:rFonts w:cs="Times New Roman"/>
                <w:color w:val="000000"/>
                <w:sz w:val="22"/>
              </w:rPr>
              <w:t>Met</w:t>
            </w:r>
            <w:r w:rsidR="0097676A">
              <w:rPr>
                <w:rFonts w:cs="Times New Roman"/>
                <w:color w:val="000000"/>
                <w:sz w:val="22"/>
              </w:rPr>
              <w:t>astatic Cancer</w:t>
            </w:r>
          </w:p>
        </w:tc>
        <w:tc>
          <w:tcPr>
            <w:tcW w:w="3005" w:type="dxa"/>
            <w:vAlign w:val="bottom"/>
          </w:tcPr>
          <w:p w14:paraId="24AC1F88" w14:textId="77777777" w:rsidR="001F4231" w:rsidRPr="00F250D8" w:rsidRDefault="001F4231" w:rsidP="00E84283">
            <w:pPr>
              <w:rPr>
                <w:rFonts w:cs="Times New Roman"/>
                <w:sz w:val="22"/>
              </w:rPr>
            </w:pPr>
            <w:r w:rsidRPr="00F250D8">
              <w:rPr>
                <w:rFonts w:cs="Times New Roman"/>
                <w:color w:val="000000"/>
                <w:sz w:val="22"/>
              </w:rPr>
              <w:t>0.07</w:t>
            </w:r>
          </w:p>
        </w:tc>
        <w:tc>
          <w:tcPr>
            <w:tcW w:w="3006" w:type="dxa"/>
          </w:tcPr>
          <w:p w14:paraId="7A4260DF" w14:textId="77777777" w:rsidR="001F4231" w:rsidRPr="00F250D8" w:rsidRDefault="001F4231" w:rsidP="00E84283">
            <w:pPr>
              <w:rPr>
                <w:rFonts w:cs="Times New Roman"/>
                <w:sz w:val="22"/>
              </w:rPr>
            </w:pPr>
          </w:p>
        </w:tc>
      </w:tr>
      <w:tr w:rsidR="001F4231" w14:paraId="597B0626" w14:textId="77777777" w:rsidTr="00E84283">
        <w:tc>
          <w:tcPr>
            <w:tcW w:w="3005" w:type="dxa"/>
          </w:tcPr>
          <w:p w14:paraId="7B6D0A58" w14:textId="77777777" w:rsidR="001F4231" w:rsidRPr="00F250D8" w:rsidRDefault="001F4231" w:rsidP="00E84283">
            <w:pPr>
              <w:rPr>
                <w:rFonts w:cs="Times New Roman"/>
                <w:sz w:val="22"/>
              </w:rPr>
            </w:pPr>
            <w:r w:rsidRPr="00F250D8">
              <w:rPr>
                <w:rFonts w:cs="Times New Roman"/>
                <w:sz w:val="22"/>
              </w:rPr>
              <w:t>Test accuracy for types</w:t>
            </w:r>
          </w:p>
        </w:tc>
        <w:tc>
          <w:tcPr>
            <w:tcW w:w="3005" w:type="dxa"/>
          </w:tcPr>
          <w:p w14:paraId="2132DB17" w14:textId="77777777" w:rsidR="001F4231" w:rsidRPr="00F250D8" w:rsidRDefault="001F4231" w:rsidP="00E84283">
            <w:pPr>
              <w:rPr>
                <w:rFonts w:cs="Times New Roman"/>
                <w:sz w:val="22"/>
              </w:rPr>
            </w:pPr>
          </w:p>
        </w:tc>
        <w:tc>
          <w:tcPr>
            <w:tcW w:w="3006" w:type="dxa"/>
          </w:tcPr>
          <w:p w14:paraId="370BC46B" w14:textId="6FD3F836" w:rsidR="001F4231" w:rsidRPr="00F250D8" w:rsidRDefault="001F4231" w:rsidP="00E84283">
            <w:pPr>
              <w:rPr>
                <w:rFonts w:cs="Times New Roman"/>
                <w:sz w:val="22"/>
              </w:rPr>
            </w:pPr>
            <w:r>
              <w:rPr>
                <w:rFonts w:cs="Times New Roman"/>
                <w:sz w:val="22"/>
              </w:rPr>
              <w:fldChar w:fldCharType="begin" w:fldLock="1"/>
            </w:r>
            <w:r w:rsidR="00F50C8F">
              <w:rPr>
                <w:rFonts w:cs="Times New Roman"/>
                <w:sz w:val="22"/>
              </w:rPr>
              <w:instrText>ADDIN CSL_CITATION {"citationItems":[{"id":"ITEM-1","itemData":{"DOI":"10.1039/c9an01731c","ISSN":"13645528","PMID":"31612875","abstract":"Over a third of brain tumour patients visit their general practitioner more than five times prior to diagnosis in the UK, leading to 62% of patients being diagnosed as emergency presentations. Unfortunately, symptoms are non-specific to brain tumours, and the majority of these patients complain of headaches on multiple occasions before being referred to a neurologist. As there are currently no methods in place for the early detection of brain cancer, the affected patients' average life expectancy is reduced by 20 years. These statistics indicate that the current pathway is ineffective, and there is a vast need for a rapid diagnostic test. Attenuated total reflection Fourier-transform infrared (ATR-FTIR) spectroscopy is sensitive to the hallmarks of cancer, as it analyses the full range of macromolecular classes. The combination of serum spectroscopy and advanced data analysis has previously been shown to rapidly and objectively distinguish brain tumour severity. Recently, a novel high-throughput ATR accessory has been developed, which could be cost-effective to the National Health Service in the UK, and valuable for clinical translation. In this study, 765 blood serum samples have been collected from healthy controls and patients diagnosed with various types of brain cancer, contributing to one of the largest spectroscopic studies to date. Three robust machine learning techniques-random forest, partial least squares-discriminant analysis and support vector machine-have all provided promising results. The novel high-throughput technology has been validated by separating brain cancer and non-cancer with balanced accuracies of 90% which is comparable to the traditional fixed diamond crystal methodology. Furthermore, the differentiation of brain tumour type could be useful for neurologists, as some are difficult to distinguish through medical imaging alone. For example, the highly aggressive glioblastoma multiforme and primary cerebral lymphoma can appear similar on magnetic resonance imaging (MRI) scans, thus are often misdiagnosed. Here, we report the ability of infrared spectroscopy to distinguish between glioblastoma and lymphoma patients, at a sensitivity and specificity of 90.1% and 86.3%, respectively. A reliable serum diagnostic test could avoid the need for surgery and speed up time to definitive chemotherapy and radiotherapy.","author":[{"dropping-particle":"","family":"Cameron","given":"James M.","non-dropping-particle":"","parse-names":false,"suffix":""},{"dropping-particle":"","family":"Butler","given":"Holly J.","non-dropping-particle":"","parse-names":false,"suffix":""},{"dropping-particle":"","family":"Smith","given":"Benjamin R.","non-dropping-particle":"","parse-names":false,"suffix":""},{"dropping-particle":"","family":"Hegarty","given":"Mark G.","non-dropping-particle":"","parse-names":false,"suffix":""},{"dropping-particle":"","family":"Jenkinson","given":"Michael D.","non-dropping-particle":"","parse-names":false,"suffix":""},{"dropping-particle":"","family":"Syed","given":"Khaja","non-dropping-particle":"","parse-names":false,"suffix":""},{"dropping-particle":"","family":"Brennan","given":"Paul M.","non-dropping-particle":"","parse-names":false,"suffix":""},{"dropping-particle":"","family":"Ashton","given":"Katherine","non-dropping-particle":"","parse-names":false,"suffix":""},{"dropping-particle":"","family":"Dawson","given":"Timothy","non-dropping-particle":"","parse-names":false,"suffix":""},{"dropping-particle":"","family":"Palmer","given":"David S.","non-dropping-particle":"","parse-names":false,"suffix":""},{"dropping-particle":"","family":"Baker","given":"Matthew J.","non-dropping-particle":"","parse-names":false,"suffix":""}],"container-title":"Analyst","id":"ITEM-1","issue":"22","issued":{"date-parts":[["2019"]]},"page":"6736-6750","title":"Developing infrared spectroscopic detection for stratifying brain tumour patients: Glioblastoma multiforme: Vs. lymphoma","type":"article-journal","volume":"144"},"uris":["http://www.mendeley.com/documents/?uuid=8bfbfa8f-ae4f-4203-bd49-5588196301f8"]}],"mendeley":{"formattedCitation":"(7)","plainTextFormattedCitation":"(7)","previouslyFormattedCitation":"(7)"},"properties":{"noteIndex":0},"schema":"https://github.com/citation-style-language/schema/raw/master/csl-citation.json"}</w:instrText>
            </w:r>
            <w:r>
              <w:rPr>
                <w:rFonts w:cs="Times New Roman"/>
                <w:sz w:val="22"/>
              </w:rPr>
              <w:fldChar w:fldCharType="separate"/>
            </w:r>
            <w:r w:rsidR="00E943BD" w:rsidRPr="00E943BD">
              <w:rPr>
                <w:rFonts w:cs="Times New Roman"/>
                <w:noProof/>
                <w:sz w:val="22"/>
              </w:rPr>
              <w:t>(7)</w:t>
            </w:r>
            <w:r>
              <w:rPr>
                <w:rFonts w:cs="Times New Roman"/>
                <w:sz w:val="22"/>
              </w:rPr>
              <w:fldChar w:fldCharType="end"/>
            </w:r>
          </w:p>
        </w:tc>
      </w:tr>
      <w:tr w:rsidR="001F4231" w14:paraId="3CDB26BC" w14:textId="77777777" w:rsidTr="00E84283">
        <w:tc>
          <w:tcPr>
            <w:tcW w:w="3005" w:type="dxa"/>
            <w:vAlign w:val="bottom"/>
          </w:tcPr>
          <w:p w14:paraId="5FA7D25E" w14:textId="00A69681" w:rsidR="001F4231" w:rsidRPr="00F250D8" w:rsidRDefault="0097676A" w:rsidP="00E84283">
            <w:pPr>
              <w:rPr>
                <w:rFonts w:cs="Times New Roman"/>
                <w:sz w:val="22"/>
              </w:rPr>
            </w:pPr>
            <w:r>
              <w:rPr>
                <w:rFonts w:cs="Times New Roman"/>
                <w:color w:val="000000"/>
                <w:sz w:val="22"/>
              </w:rPr>
              <w:t>Glioblastoma</w:t>
            </w:r>
            <w:r w:rsidR="001F4231" w:rsidRPr="00F250D8">
              <w:rPr>
                <w:rFonts w:cs="Times New Roman"/>
                <w:color w:val="000000"/>
                <w:sz w:val="22"/>
              </w:rPr>
              <w:t xml:space="preserve"> sens.</w:t>
            </w:r>
          </w:p>
        </w:tc>
        <w:tc>
          <w:tcPr>
            <w:tcW w:w="3005" w:type="dxa"/>
          </w:tcPr>
          <w:p w14:paraId="443E55F0" w14:textId="77777777" w:rsidR="001F4231" w:rsidRPr="00646B77" w:rsidRDefault="001F4231" w:rsidP="00E84283">
            <w:pPr>
              <w:rPr>
                <w:rFonts w:cs="Times New Roman"/>
                <w:sz w:val="22"/>
              </w:rPr>
            </w:pPr>
            <w:r w:rsidRPr="00646B77">
              <w:rPr>
                <w:sz w:val="22"/>
              </w:rPr>
              <w:t>0.862</w:t>
            </w:r>
          </w:p>
        </w:tc>
        <w:tc>
          <w:tcPr>
            <w:tcW w:w="3006" w:type="dxa"/>
          </w:tcPr>
          <w:p w14:paraId="2673A058" w14:textId="77777777" w:rsidR="001F4231" w:rsidRPr="00F250D8" w:rsidRDefault="001F4231" w:rsidP="00E84283">
            <w:pPr>
              <w:rPr>
                <w:rFonts w:cs="Times New Roman"/>
                <w:sz w:val="22"/>
              </w:rPr>
            </w:pPr>
          </w:p>
        </w:tc>
      </w:tr>
      <w:tr w:rsidR="001F4231" w14:paraId="76B13BA3" w14:textId="77777777" w:rsidTr="00E84283">
        <w:tc>
          <w:tcPr>
            <w:tcW w:w="3005" w:type="dxa"/>
            <w:vAlign w:val="bottom"/>
          </w:tcPr>
          <w:p w14:paraId="3E69E12D" w14:textId="11E8940E" w:rsidR="001F4231" w:rsidRPr="00F250D8" w:rsidRDefault="001F4231" w:rsidP="00E84283">
            <w:pPr>
              <w:rPr>
                <w:rFonts w:cs="Times New Roman"/>
                <w:sz w:val="22"/>
              </w:rPr>
            </w:pPr>
            <w:r w:rsidRPr="00F250D8">
              <w:rPr>
                <w:rFonts w:cs="Times New Roman"/>
                <w:color w:val="000000"/>
                <w:sz w:val="22"/>
              </w:rPr>
              <w:t>G</w:t>
            </w:r>
            <w:r w:rsidR="0097676A">
              <w:rPr>
                <w:rFonts w:cs="Times New Roman"/>
                <w:color w:val="000000"/>
                <w:sz w:val="22"/>
              </w:rPr>
              <w:t>lioblastoma</w:t>
            </w:r>
            <w:r w:rsidRPr="00F250D8">
              <w:rPr>
                <w:rFonts w:cs="Times New Roman"/>
                <w:color w:val="000000"/>
                <w:sz w:val="22"/>
              </w:rPr>
              <w:t xml:space="preserve"> spec.</w:t>
            </w:r>
          </w:p>
        </w:tc>
        <w:tc>
          <w:tcPr>
            <w:tcW w:w="3005" w:type="dxa"/>
          </w:tcPr>
          <w:p w14:paraId="7EF03DE1" w14:textId="77777777" w:rsidR="001F4231" w:rsidRPr="00646B77" w:rsidRDefault="001F4231" w:rsidP="00E84283">
            <w:pPr>
              <w:rPr>
                <w:rFonts w:cs="Times New Roman"/>
                <w:sz w:val="22"/>
              </w:rPr>
            </w:pPr>
            <w:r w:rsidRPr="00646B77">
              <w:rPr>
                <w:sz w:val="22"/>
              </w:rPr>
              <w:t>0.843</w:t>
            </w:r>
          </w:p>
        </w:tc>
        <w:tc>
          <w:tcPr>
            <w:tcW w:w="3006" w:type="dxa"/>
          </w:tcPr>
          <w:p w14:paraId="6182EC54" w14:textId="77777777" w:rsidR="001F4231" w:rsidRPr="00F250D8" w:rsidRDefault="001F4231" w:rsidP="00E84283">
            <w:pPr>
              <w:rPr>
                <w:rFonts w:cs="Times New Roman"/>
                <w:sz w:val="22"/>
              </w:rPr>
            </w:pPr>
          </w:p>
        </w:tc>
      </w:tr>
      <w:tr w:rsidR="001F4231" w14:paraId="356A950C" w14:textId="77777777" w:rsidTr="00E84283">
        <w:tc>
          <w:tcPr>
            <w:tcW w:w="3005" w:type="dxa"/>
            <w:vAlign w:val="bottom"/>
          </w:tcPr>
          <w:p w14:paraId="0849D65A" w14:textId="45FFF4FE" w:rsidR="001F4231" w:rsidRPr="00F250D8" w:rsidRDefault="001F4231" w:rsidP="00E84283">
            <w:pPr>
              <w:rPr>
                <w:rFonts w:cs="Times New Roman"/>
                <w:sz w:val="22"/>
              </w:rPr>
            </w:pPr>
            <w:r w:rsidRPr="00F250D8">
              <w:rPr>
                <w:rFonts w:cs="Times New Roman"/>
                <w:color w:val="000000"/>
                <w:sz w:val="22"/>
              </w:rPr>
              <w:t>Lymph</w:t>
            </w:r>
            <w:r w:rsidR="0097676A">
              <w:rPr>
                <w:rFonts w:cs="Times New Roman"/>
                <w:color w:val="000000"/>
                <w:sz w:val="22"/>
              </w:rPr>
              <w:t>oma</w:t>
            </w:r>
            <w:r w:rsidRPr="00F250D8">
              <w:rPr>
                <w:rFonts w:cs="Times New Roman"/>
                <w:color w:val="000000"/>
                <w:sz w:val="22"/>
              </w:rPr>
              <w:t xml:space="preserve"> sens.</w:t>
            </w:r>
          </w:p>
        </w:tc>
        <w:tc>
          <w:tcPr>
            <w:tcW w:w="3005" w:type="dxa"/>
          </w:tcPr>
          <w:p w14:paraId="13B0F12C" w14:textId="77777777" w:rsidR="001F4231" w:rsidRPr="00646B77" w:rsidRDefault="001F4231" w:rsidP="00E84283">
            <w:pPr>
              <w:rPr>
                <w:rFonts w:cs="Times New Roman"/>
                <w:sz w:val="22"/>
              </w:rPr>
            </w:pPr>
            <w:r w:rsidRPr="00646B77">
              <w:rPr>
                <w:sz w:val="22"/>
              </w:rPr>
              <w:t>0.74</w:t>
            </w:r>
          </w:p>
        </w:tc>
        <w:tc>
          <w:tcPr>
            <w:tcW w:w="3006" w:type="dxa"/>
          </w:tcPr>
          <w:p w14:paraId="0620DA7D" w14:textId="77777777" w:rsidR="001F4231" w:rsidRPr="00F250D8" w:rsidRDefault="001F4231" w:rsidP="00E84283">
            <w:pPr>
              <w:rPr>
                <w:rFonts w:cs="Times New Roman"/>
                <w:sz w:val="22"/>
              </w:rPr>
            </w:pPr>
          </w:p>
        </w:tc>
      </w:tr>
      <w:tr w:rsidR="001F4231" w14:paraId="61B810B8" w14:textId="77777777" w:rsidTr="00E84283">
        <w:tc>
          <w:tcPr>
            <w:tcW w:w="3005" w:type="dxa"/>
            <w:vAlign w:val="bottom"/>
          </w:tcPr>
          <w:p w14:paraId="54E4CA92" w14:textId="1ABF0F5B" w:rsidR="001F4231" w:rsidRPr="00F250D8" w:rsidRDefault="001F4231" w:rsidP="00E84283">
            <w:pPr>
              <w:rPr>
                <w:rFonts w:cs="Times New Roman"/>
                <w:sz w:val="22"/>
              </w:rPr>
            </w:pPr>
            <w:r w:rsidRPr="00F250D8">
              <w:rPr>
                <w:rFonts w:cs="Times New Roman"/>
                <w:color w:val="000000"/>
                <w:sz w:val="22"/>
              </w:rPr>
              <w:t>Lymph</w:t>
            </w:r>
            <w:r w:rsidR="0097676A">
              <w:rPr>
                <w:rFonts w:cs="Times New Roman"/>
                <w:color w:val="000000"/>
                <w:sz w:val="22"/>
              </w:rPr>
              <w:t>oma</w:t>
            </w:r>
            <w:r w:rsidRPr="00F250D8">
              <w:rPr>
                <w:rFonts w:cs="Times New Roman"/>
                <w:color w:val="000000"/>
                <w:sz w:val="22"/>
              </w:rPr>
              <w:t xml:space="preserve"> spec.</w:t>
            </w:r>
          </w:p>
        </w:tc>
        <w:tc>
          <w:tcPr>
            <w:tcW w:w="3005" w:type="dxa"/>
          </w:tcPr>
          <w:p w14:paraId="683C1B61" w14:textId="77777777" w:rsidR="001F4231" w:rsidRPr="00646B77" w:rsidRDefault="001F4231" w:rsidP="00E84283">
            <w:pPr>
              <w:rPr>
                <w:rFonts w:cs="Times New Roman"/>
                <w:sz w:val="22"/>
              </w:rPr>
            </w:pPr>
            <w:r w:rsidRPr="00646B77">
              <w:rPr>
                <w:sz w:val="22"/>
              </w:rPr>
              <w:t>0.64</w:t>
            </w:r>
          </w:p>
        </w:tc>
        <w:tc>
          <w:tcPr>
            <w:tcW w:w="3006" w:type="dxa"/>
          </w:tcPr>
          <w:p w14:paraId="64F337FF" w14:textId="77777777" w:rsidR="001F4231" w:rsidRPr="00F250D8" w:rsidRDefault="001F4231" w:rsidP="00E84283">
            <w:pPr>
              <w:rPr>
                <w:rFonts w:cs="Times New Roman"/>
                <w:sz w:val="22"/>
              </w:rPr>
            </w:pPr>
          </w:p>
        </w:tc>
      </w:tr>
      <w:tr w:rsidR="001F4231" w14:paraId="60718700" w14:textId="77777777" w:rsidTr="00E84283">
        <w:tc>
          <w:tcPr>
            <w:tcW w:w="3005" w:type="dxa"/>
            <w:vAlign w:val="bottom"/>
          </w:tcPr>
          <w:p w14:paraId="6D664FF0" w14:textId="0029A9AD" w:rsidR="001F4231" w:rsidRPr="00F250D8" w:rsidRDefault="001F4231" w:rsidP="00E84283">
            <w:pPr>
              <w:rPr>
                <w:rFonts w:cs="Times New Roman"/>
                <w:sz w:val="22"/>
              </w:rPr>
            </w:pPr>
            <w:r w:rsidRPr="00F250D8">
              <w:rPr>
                <w:rFonts w:cs="Times New Roman"/>
                <w:color w:val="000000"/>
                <w:sz w:val="22"/>
              </w:rPr>
              <w:t>Met</w:t>
            </w:r>
            <w:r w:rsidR="0097676A">
              <w:rPr>
                <w:rFonts w:cs="Times New Roman"/>
                <w:color w:val="000000"/>
                <w:sz w:val="22"/>
              </w:rPr>
              <w:t>astatic</w:t>
            </w:r>
            <w:r w:rsidRPr="00F250D8">
              <w:rPr>
                <w:rFonts w:cs="Times New Roman"/>
                <w:color w:val="000000"/>
                <w:sz w:val="22"/>
              </w:rPr>
              <w:t xml:space="preserve"> sens.</w:t>
            </w:r>
          </w:p>
        </w:tc>
        <w:tc>
          <w:tcPr>
            <w:tcW w:w="3005" w:type="dxa"/>
          </w:tcPr>
          <w:p w14:paraId="09159603" w14:textId="77777777" w:rsidR="001F4231" w:rsidRPr="00646B77" w:rsidRDefault="001F4231" w:rsidP="00E84283">
            <w:pPr>
              <w:rPr>
                <w:rFonts w:cs="Times New Roman"/>
                <w:sz w:val="22"/>
              </w:rPr>
            </w:pPr>
            <w:r w:rsidRPr="00646B77">
              <w:rPr>
                <w:sz w:val="22"/>
              </w:rPr>
              <w:t>0.836</w:t>
            </w:r>
          </w:p>
        </w:tc>
        <w:tc>
          <w:tcPr>
            <w:tcW w:w="3006" w:type="dxa"/>
          </w:tcPr>
          <w:p w14:paraId="1C28B341" w14:textId="77777777" w:rsidR="001F4231" w:rsidRPr="00F250D8" w:rsidRDefault="001F4231" w:rsidP="00E84283">
            <w:pPr>
              <w:rPr>
                <w:rFonts w:cs="Times New Roman"/>
                <w:sz w:val="22"/>
              </w:rPr>
            </w:pPr>
          </w:p>
        </w:tc>
      </w:tr>
      <w:tr w:rsidR="001F4231" w14:paraId="61B004E7" w14:textId="77777777" w:rsidTr="00E84283">
        <w:tc>
          <w:tcPr>
            <w:tcW w:w="3005" w:type="dxa"/>
            <w:vAlign w:val="bottom"/>
          </w:tcPr>
          <w:p w14:paraId="7E54E24A" w14:textId="7097688B" w:rsidR="001F4231" w:rsidRPr="00F250D8" w:rsidRDefault="001F4231" w:rsidP="00E84283">
            <w:pPr>
              <w:rPr>
                <w:rFonts w:cs="Times New Roman"/>
                <w:sz w:val="22"/>
              </w:rPr>
            </w:pPr>
            <w:r w:rsidRPr="00F250D8">
              <w:rPr>
                <w:rFonts w:cs="Times New Roman"/>
                <w:color w:val="000000"/>
                <w:sz w:val="22"/>
              </w:rPr>
              <w:t>Met</w:t>
            </w:r>
            <w:r w:rsidR="0097676A">
              <w:rPr>
                <w:rFonts w:cs="Times New Roman"/>
                <w:color w:val="000000"/>
                <w:sz w:val="22"/>
              </w:rPr>
              <w:t>astatic</w:t>
            </w:r>
            <w:r w:rsidRPr="00F250D8">
              <w:rPr>
                <w:rFonts w:cs="Times New Roman"/>
                <w:color w:val="000000"/>
                <w:sz w:val="22"/>
              </w:rPr>
              <w:t xml:space="preserve"> spec.</w:t>
            </w:r>
          </w:p>
        </w:tc>
        <w:tc>
          <w:tcPr>
            <w:tcW w:w="3005" w:type="dxa"/>
          </w:tcPr>
          <w:p w14:paraId="197A222D" w14:textId="77777777" w:rsidR="001F4231" w:rsidRPr="00646B77" w:rsidRDefault="001F4231" w:rsidP="00E84283">
            <w:pPr>
              <w:rPr>
                <w:rFonts w:cs="Times New Roman"/>
                <w:sz w:val="22"/>
              </w:rPr>
            </w:pPr>
            <w:r w:rsidRPr="00646B77">
              <w:rPr>
                <w:sz w:val="22"/>
              </w:rPr>
              <w:t>0.942</w:t>
            </w:r>
          </w:p>
        </w:tc>
        <w:tc>
          <w:tcPr>
            <w:tcW w:w="3006" w:type="dxa"/>
          </w:tcPr>
          <w:p w14:paraId="7D7DE465" w14:textId="77777777" w:rsidR="001F4231" w:rsidRPr="00F250D8" w:rsidRDefault="001F4231" w:rsidP="00E84283">
            <w:pPr>
              <w:rPr>
                <w:rFonts w:cs="Times New Roman"/>
                <w:sz w:val="22"/>
              </w:rPr>
            </w:pPr>
          </w:p>
        </w:tc>
      </w:tr>
      <w:tr w:rsidR="001F4231" w14:paraId="5288F510" w14:textId="77777777" w:rsidTr="00E84283">
        <w:tc>
          <w:tcPr>
            <w:tcW w:w="3005" w:type="dxa"/>
            <w:vAlign w:val="bottom"/>
          </w:tcPr>
          <w:p w14:paraId="38B908D4" w14:textId="77777777" w:rsidR="001F4231" w:rsidRPr="00F250D8" w:rsidRDefault="001F4231" w:rsidP="00E84283">
            <w:pPr>
              <w:rPr>
                <w:rFonts w:cs="Times New Roman"/>
                <w:color w:val="000000"/>
                <w:sz w:val="22"/>
              </w:rPr>
            </w:pPr>
            <w:r w:rsidRPr="00F250D8">
              <w:rPr>
                <w:rFonts w:cs="Times New Roman"/>
                <w:color w:val="000000"/>
                <w:sz w:val="22"/>
              </w:rPr>
              <w:t>Other parameters</w:t>
            </w:r>
          </w:p>
        </w:tc>
        <w:tc>
          <w:tcPr>
            <w:tcW w:w="3005" w:type="dxa"/>
            <w:vAlign w:val="bottom"/>
          </w:tcPr>
          <w:p w14:paraId="2D9490F9" w14:textId="77777777" w:rsidR="001F4231" w:rsidRPr="00F250D8" w:rsidRDefault="001F4231" w:rsidP="00E84283">
            <w:pPr>
              <w:rPr>
                <w:rFonts w:cs="Times New Roman"/>
                <w:color w:val="000000"/>
                <w:sz w:val="22"/>
              </w:rPr>
            </w:pPr>
          </w:p>
        </w:tc>
        <w:tc>
          <w:tcPr>
            <w:tcW w:w="3006" w:type="dxa"/>
          </w:tcPr>
          <w:p w14:paraId="378A5FC6" w14:textId="77777777" w:rsidR="001F4231" w:rsidRPr="00F250D8" w:rsidRDefault="001F4231" w:rsidP="00E84283">
            <w:pPr>
              <w:rPr>
                <w:rFonts w:cs="Times New Roman"/>
                <w:sz w:val="22"/>
              </w:rPr>
            </w:pPr>
          </w:p>
        </w:tc>
      </w:tr>
      <w:tr w:rsidR="001F4231" w14:paraId="48A4383A" w14:textId="77777777" w:rsidTr="00E84283">
        <w:tc>
          <w:tcPr>
            <w:tcW w:w="3005" w:type="dxa"/>
            <w:vAlign w:val="bottom"/>
          </w:tcPr>
          <w:p w14:paraId="6B2E4140" w14:textId="1F626512" w:rsidR="001F4231" w:rsidRPr="00F250D8" w:rsidRDefault="001F4231" w:rsidP="00E84283">
            <w:pPr>
              <w:rPr>
                <w:rFonts w:cs="Times New Roman"/>
                <w:color w:val="000000"/>
                <w:sz w:val="22"/>
              </w:rPr>
            </w:pPr>
            <w:r w:rsidRPr="00F250D8">
              <w:rPr>
                <w:rFonts w:cs="Times New Roman"/>
                <w:color w:val="000000"/>
                <w:sz w:val="22"/>
              </w:rPr>
              <w:t xml:space="preserve">Probability </w:t>
            </w:r>
            <w:r w:rsidR="00D57B47">
              <w:rPr>
                <w:rFonts w:cs="Times New Roman"/>
                <w:color w:val="000000"/>
                <w:sz w:val="22"/>
              </w:rPr>
              <w:t xml:space="preserve">identified </w:t>
            </w:r>
            <w:r w:rsidRPr="00F250D8">
              <w:rPr>
                <w:rFonts w:cs="Times New Roman"/>
                <w:color w:val="000000"/>
                <w:sz w:val="22"/>
              </w:rPr>
              <w:t>PCNSL case will have primary surgery</w:t>
            </w:r>
          </w:p>
        </w:tc>
        <w:tc>
          <w:tcPr>
            <w:tcW w:w="3005" w:type="dxa"/>
            <w:vAlign w:val="bottom"/>
          </w:tcPr>
          <w:p w14:paraId="688A174E" w14:textId="77777777" w:rsidR="001F4231" w:rsidRPr="00F250D8" w:rsidRDefault="001F4231" w:rsidP="00E84283">
            <w:pPr>
              <w:rPr>
                <w:rFonts w:cs="Times New Roman"/>
                <w:color w:val="000000"/>
                <w:sz w:val="22"/>
              </w:rPr>
            </w:pPr>
            <w:r>
              <w:rPr>
                <w:rFonts w:cs="Times New Roman"/>
                <w:color w:val="000000"/>
                <w:sz w:val="22"/>
              </w:rPr>
              <w:t>0</w:t>
            </w:r>
          </w:p>
        </w:tc>
        <w:tc>
          <w:tcPr>
            <w:tcW w:w="3006" w:type="dxa"/>
          </w:tcPr>
          <w:p w14:paraId="14ACEA46" w14:textId="01DB7EC5" w:rsidR="001F4231" w:rsidRPr="00F250D8" w:rsidRDefault="00E95567" w:rsidP="00E84283">
            <w:pPr>
              <w:rPr>
                <w:rFonts w:cs="Times New Roman"/>
                <w:sz w:val="22"/>
              </w:rPr>
            </w:pPr>
            <w:r>
              <w:rPr>
                <w:rFonts w:cs="Times New Roman"/>
                <w:sz w:val="22"/>
              </w:rPr>
              <w:fldChar w:fldCharType="begin" w:fldLock="1"/>
            </w:r>
            <w:r>
              <w:rPr>
                <w:rFonts w:cs="Times New Roman"/>
                <w:sz w:val="22"/>
              </w:rPr>
              <w:instrText>ADDIN CSL_CITATION {"citationItems":[{"id":"ITEM-1","itemData":{"DOI":"10.1080/02841860410015640","ISSN":"0284186X","PMID":"15370608","abstract":"The incidence of primary central nervous system lymphoma (PCNSL) has been reported to increase in some parts of the world, while being stable in other regions. In an attempt to characterize the incidence rate, clinical features, treatment, outcome, and prognostic factors of PCNSL in Norway, we report our experience in a large unselected series of patients. Clinical features, histological diagnosis, radiological findings, treatment, and outcome of all patients diagnosed with PCNSL in Norway in the years 1989-1998 were registered. During the 10-year period 58 new cases of histologically verified PCNSL were registered in Norway. The annual incidence rate of PCNSL was on average 1.34 cases per million people with a non-significant increasing trend (p = 0.069). For patients diagnosed before death (n = 45) the estimated survival following histological diagnosis was 55%, 47%, and 23% at 1, 2, and 5 years, respectively. In Cox-regression analysis age, WHO performance status and treatment had independent prognostic impact on survival. In the studied decade, there was a non-significant trend towards increased incidence of PCNSL, perhaps due to increased availability of diagnostic imaging, especially magnetic resonance imaging.","author":[{"dropping-particle":"","family":"Haldorsen","given":"Ingfrid Salvesen","non-dropping-particle":"","parse-names":false,"suffix":""},{"dropping-particle":"","family":"Aarseth","given":"Jan Harald","non-dropping-particle":"","parse-names":false,"suffix":""},{"dropping-particle":"","family":"Hollender","given":"Aase","non-dropping-particle":"","parse-names":false,"suffix":""},{"dropping-particle":"","family":"Larsen","given":"John Ludvig","non-dropping-particle":"","parse-names":false,"suffix":""},{"dropping-particle":"","family":"Espeland","given":"Ansgar","non-dropping-particle":"","parse-names":false,"suffix":""},{"dropping-particle":"","family":"Mella","given":"Olav","non-dropping-particle":"","parse-names":false,"suffix":""}],"container-title":"Acta Oncologica","id":"ITEM-1","issue":"6","issued":{"date-parts":[["2004"]]},"page":"520-529","title":"Incidence, clinical features, treatment and outcome of primary central nervous system lymphoma in Norway: A ten-year national survey","type":"article-journal","volume":"43"},"uris":["http://www.mendeley.com/documents/?uuid=4c95dee0-aa2d-4f5d-8700-817d629c85be"]}],"mendeley":{"formattedCitation":"(8)","plainTextFormattedCitation":"(8)"},"properties":{"noteIndex":0},"schema":"https://github.com/citation-style-language/schema/raw/master/csl-citation.json"}</w:instrText>
            </w:r>
            <w:r>
              <w:rPr>
                <w:rFonts w:cs="Times New Roman"/>
                <w:sz w:val="22"/>
              </w:rPr>
              <w:fldChar w:fldCharType="separate"/>
            </w:r>
            <w:r w:rsidRPr="00E95567">
              <w:rPr>
                <w:rFonts w:cs="Times New Roman"/>
                <w:noProof/>
                <w:sz w:val="22"/>
              </w:rPr>
              <w:t>(8)</w:t>
            </w:r>
            <w:r>
              <w:rPr>
                <w:rFonts w:cs="Times New Roman"/>
                <w:sz w:val="22"/>
              </w:rPr>
              <w:fldChar w:fldCharType="end"/>
            </w:r>
          </w:p>
        </w:tc>
      </w:tr>
      <w:tr w:rsidR="001F4231" w14:paraId="6678F14D" w14:textId="77777777" w:rsidTr="00E84283">
        <w:tc>
          <w:tcPr>
            <w:tcW w:w="3005" w:type="dxa"/>
            <w:vAlign w:val="bottom"/>
          </w:tcPr>
          <w:p w14:paraId="5F0DD6C5" w14:textId="252D4028" w:rsidR="001F4231" w:rsidRPr="00F250D8" w:rsidRDefault="001F4231" w:rsidP="00E84283">
            <w:pPr>
              <w:rPr>
                <w:rFonts w:cs="Times New Roman"/>
                <w:color w:val="000000"/>
                <w:sz w:val="22"/>
              </w:rPr>
            </w:pPr>
            <w:r w:rsidRPr="00F250D8">
              <w:rPr>
                <w:rFonts w:cs="Times New Roman"/>
                <w:color w:val="000000"/>
                <w:sz w:val="22"/>
              </w:rPr>
              <w:t>Probability</w:t>
            </w:r>
            <w:r w:rsidR="00D57B47">
              <w:rPr>
                <w:rFonts w:cs="Times New Roman"/>
                <w:color w:val="000000"/>
                <w:sz w:val="22"/>
              </w:rPr>
              <w:t xml:space="preserve"> identified</w:t>
            </w:r>
            <w:r w:rsidRPr="00F250D8">
              <w:rPr>
                <w:rFonts w:cs="Times New Roman"/>
                <w:color w:val="000000"/>
                <w:sz w:val="22"/>
              </w:rPr>
              <w:t xml:space="preserve"> metastatic disease will have primary surgery</w:t>
            </w:r>
          </w:p>
        </w:tc>
        <w:tc>
          <w:tcPr>
            <w:tcW w:w="3005" w:type="dxa"/>
            <w:vAlign w:val="bottom"/>
          </w:tcPr>
          <w:p w14:paraId="30F52B45" w14:textId="77777777" w:rsidR="001F4231" w:rsidRPr="00F250D8" w:rsidRDefault="001F4231" w:rsidP="00E84283">
            <w:pPr>
              <w:rPr>
                <w:rFonts w:cs="Times New Roman"/>
                <w:color w:val="000000"/>
                <w:sz w:val="22"/>
              </w:rPr>
            </w:pPr>
            <w:r>
              <w:rPr>
                <w:rFonts w:cs="Times New Roman"/>
                <w:color w:val="000000"/>
                <w:sz w:val="22"/>
              </w:rPr>
              <w:t>0.1</w:t>
            </w:r>
          </w:p>
        </w:tc>
        <w:tc>
          <w:tcPr>
            <w:tcW w:w="3006" w:type="dxa"/>
          </w:tcPr>
          <w:p w14:paraId="4889B887" w14:textId="32C61B9C" w:rsidR="001F4231" w:rsidRPr="00F250D8" w:rsidRDefault="00B244A9" w:rsidP="00E84283">
            <w:pPr>
              <w:rPr>
                <w:rFonts w:cs="Times New Roman"/>
                <w:sz w:val="22"/>
              </w:rPr>
            </w:pPr>
            <w:r>
              <w:rPr>
                <w:rFonts w:cs="Times New Roman"/>
                <w:sz w:val="22"/>
              </w:rPr>
              <w:t>Expert opinion - Clinical focus group</w:t>
            </w:r>
          </w:p>
        </w:tc>
      </w:tr>
      <w:tr w:rsidR="001F4231" w14:paraId="34AE43FA" w14:textId="77777777" w:rsidTr="00E84283">
        <w:tc>
          <w:tcPr>
            <w:tcW w:w="3005" w:type="dxa"/>
            <w:vAlign w:val="bottom"/>
          </w:tcPr>
          <w:p w14:paraId="48CE0425" w14:textId="63DC4D2F" w:rsidR="001F4231" w:rsidRPr="00F250D8" w:rsidRDefault="001F4231" w:rsidP="00E84283">
            <w:pPr>
              <w:rPr>
                <w:rFonts w:cs="Times New Roman"/>
                <w:color w:val="000000"/>
                <w:sz w:val="22"/>
              </w:rPr>
            </w:pPr>
            <w:r w:rsidRPr="00F250D8">
              <w:rPr>
                <w:rFonts w:cs="Times New Roman"/>
                <w:color w:val="000000"/>
                <w:sz w:val="22"/>
              </w:rPr>
              <w:lastRenderedPageBreak/>
              <w:t>Probability a</w:t>
            </w:r>
            <w:r w:rsidR="00D57B47">
              <w:rPr>
                <w:rFonts w:cs="Times New Roman"/>
                <w:color w:val="000000"/>
                <w:sz w:val="22"/>
              </w:rPr>
              <w:t xml:space="preserve">ny identified brain tumour </w:t>
            </w:r>
            <w:r w:rsidRPr="00F250D8">
              <w:rPr>
                <w:rFonts w:cs="Times New Roman"/>
                <w:color w:val="000000"/>
                <w:sz w:val="22"/>
              </w:rPr>
              <w:t xml:space="preserve">will have biopsy for possible PCNSL in current practice </w:t>
            </w:r>
          </w:p>
        </w:tc>
        <w:tc>
          <w:tcPr>
            <w:tcW w:w="3005" w:type="dxa"/>
            <w:vAlign w:val="bottom"/>
          </w:tcPr>
          <w:p w14:paraId="2281CBDF" w14:textId="77777777" w:rsidR="001F4231" w:rsidRPr="00F250D8" w:rsidRDefault="001F4231" w:rsidP="00E84283">
            <w:pPr>
              <w:rPr>
                <w:rFonts w:cs="Times New Roman"/>
                <w:color w:val="000000"/>
                <w:sz w:val="22"/>
              </w:rPr>
            </w:pPr>
            <w:r w:rsidRPr="00F250D8">
              <w:rPr>
                <w:rFonts w:cs="Times New Roman"/>
                <w:color w:val="000000"/>
                <w:sz w:val="22"/>
              </w:rPr>
              <w:t>0.02</w:t>
            </w:r>
          </w:p>
        </w:tc>
        <w:tc>
          <w:tcPr>
            <w:tcW w:w="3006" w:type="dxa"/>
          </w:tcPr>
          <w:p w14:paraId="6876E7FA" w14:textId="1B4BC4AE" w:rsidR="001F4231" w:rsidRPr="00F250D8" w:rsidRDefault="00B244A9" w:rsidP="00E84283">
            <w:pPr>
              <w:rPr>
                <w:rFonts w:cs="Times New Roman"/>
                <w:sz w:val="22"/>
              </w:rPr>
            </w:pPr>
            <w:r>
              <w:rPr>
                <w:rFonts w:cs="Times New Roman"/>
                <w:sz w:val="22"/>
              </w:rPr>
              <w:t>Expert opinion - Clinical focus group</w:t>
            </w:r>
          </w:p>
        </w:tc>
      </w:tr>
    </w:tbl>
    <w:p w14:paraId="1C72A5B7" w14:textId="77777777" w:rsidR="001F4231" w:rsidRDefault="001F4231" w:rsidP="001F4231"/>
    <w:p w14:paraId="754C136D" w14:textId="77777777" w:rsidR="001F4231" w:rsidRDefault="001F4231" w:rsidP="001F4231">
      <w:pPr>
        <w:pStyle w:val="Caption"/>
      </w:pPr>
      <w:bookmarkStart w:id="2" w:name="_Ref40385125"/>
      <w:r>
        <w:t xml:space="preserve">Table SA </w:t>
      </w:r>
      <w:fldSimple w:instr=" SEQ Table_SA \* ARABIC ">
        <w:r>
          <w:rPr>
            <w:noProof/>
          </w:rPr>
          <w:t>4</w:t>
        </w:r>
      </w:fldSimple>
      <w:bookmarkEnd w:id="2"/>
      <w:r>
        <w:t xml:space="preserve"> Base case results using retrospective test data sensitivity and specificity parameters</w:t>
      </w:r>
    </w:p>
    <w:tbl>
      <w:tblPr>
        <w:tblStyle w:val="TableGrid"/>
        <w:tblW w:w="9883" w:type="dxa"/>
        <w:tblLook w:val="04A0" w:firstRow="1" w:lastRow="0" w:firstColumn="1" w:lastColumn="0" w:noHBand="0" w:noVBand="1"/>
      </w:tblPr>
      <w:tblGrid>
        <w:gridCol w:w="1723"/>
        <w:gridCol w:w="1309"/>
        <w:gridCol w:w="1216"/>
        <w:gridCol w:w="1599"/>
        <w:gridCol w:w="1442"/>
        <w:gridCol w:w="1309"/>
        <w:gridCol w:w="1309"/>
      </w:tblGrid>
      <w:tr w:rsidR="001F4231" w:rsidRPr="00B67D80" w14:paraId="034DCC46" w14:textId="77777777" w:rsidTr="00E84283">
        <w:trPr>
          <w:trHeight w:val="311"/>
        </w:trPr>
        <w:tc>
          <w:tcPr>
            <w:tcW w:w="1723" w:type="dxa"/>
            <w:noWrap/>
            <w:hideMark/>
          </w:tcPr>
          <w:p w14:paraId="02923469" w14:textId="77777777" w:rsidR="001F4231" w:rsidRPr="00B67D80" w:rsidRDefault="001F4231" w:rsidP="00E84283"/>
        </w:tc>
        <w:tc>
          <w:tcPr>
            <w:tcW w:w="1309" w:type="dxa"/>
            <w:noWrap/>
            <w:hideMark/>
          </w:tcPr>
          <w:p w14:paraId="3DF164B4" w14:textId="77777777" w:rsidR="001F4231" w:rsidRPr="00B67D80" w:rsidRDefault="001F4231" w:rsidP="00E84283">
            <w:r w:rsidRPr="00B67D80">
              <w:t>Primary</w:t>
            </w:r>
          </w:p>
        </w:tc>
        <w:tc>
          <w:tcPr>
            <w:tcW w:w="1192" w:type="dxa"/>
            <w:noWrap/>
            <w:hideMark/>
          </w:tcPr>
          <w:p w14:paraId="70B12EF2" w14:textId="77777777" w:rsidR="001F4231" w:rsidRPr="00B67D80" w:rsidRDefault="001F4231" w:rsidP="00E84283"/>
        </w:tc>
        <w:tc>
          <w:tcPr>
            <w:tcW w:w="1599" w:type="dxa"/>
            <w:noWrap/>
            <w:hideMark/>
          </w:tcPr>
          <w:p w14:paraId="5862FDC9" w14:textId="77777777" w:rsidR="001F4231" w:rsidRPr="00B67D80" w:rsidRDefault="001F4231" w:rsidP="00E84283"/>
        </w:tc>
        <w:tc>
          <w:tcPr>
            <w:tcW w:w="1442" w:type="dxa"/>
            <w:noWrap/>
            <w:hideMark/>
          </w:tcPr>
          <w:p w14:paraId="68AEFC3B" w14:textId="77777777" w:rsidR="001F4231" w:rsidRPr="00B67D80" w:rsidRDefault="001F4231" w:rsidP="00E84283">
            <w:r w:rsidRPr="00B67D80">
              <w:t>Secondary</w:t>
            </w:r>
          </w:p>
        </w:tc>
        <w:tc>
          <w:tcPr>
            <w:tcW w:w="1309" w:type="dxa"/>
            <w:noWrap/>
            <w:hideMark/>
          </w:tcPr>
          <w:p w14:paraId="1C0F5913" w14:textId="77777777" w:rsidR="001F4231" w:rsidRPr="00B67D80" w:rsidRDefault="001F4231" w:rsidP="00E84283"/>
        </w:tc>
        <w:tc>
          <w:tcPr>
            <w:tcW w:w="1309" w:type="dxa"/>
            <w:noWrap/>
            <w:hideMark/>
          </w:tcPr>
          <w:p w14:paraId="13D8E820" w14:textId="77777777" w:rsidR="001F4231" w:rsidRPr="00B67D80" w:rsidRDefault="001F4231" w:rsidP="00E84283"/>
        </w:tc>
      </w:tr>
      <w:tr w:rsidR="001F4231" w:rsidRPr="00B67D80" w14:paraId="63A9181A" w14:textId="77777777" w:rsidTr="00E84283">
        <w:trPr>
          <w:trHeight w:val="311"/>
        </w:trPr>
        <w:tc>
          <w:tcPr>
            <w:tcW w:w="1723" w:type="dxa"/>
            <w:noWrap/>
            <w:hideMark/>
          </w:tcPr>
          <w:p w14:paraId="5AA25931" w14:textId="77777777" w:rsidR="001F4231" w:rsidRPr="00B67D80" w:rsidRDefault="001F4231" w:rsidP="00E84283">
            <w:r>
              <w:t xml:space="preserve">Serum spectroscopy </w:t>
            </w:r>
            <w:r w:rsidRPr="00B67D80">
              <w:t>cost (£)</w:t>
            </w:r>
          </w:p>
        </w:tc>
        <w:tc>
          <w:tcPr>
            <w:tcW w:w="1309" w:type="dxa"/>
            <w:noWrap/>
            <w:hideMark/>
          </w:tcPr>
          <w:p w14:paraId="21449CC0" w14:textId="77777777" w:rsidR="001F4231" w:rsidRPr="00B67D80" w:rsidRDefault="001F4231" w:rsidP="00E84283">
            <w:r w:rsidRPr="00B67D80">
              <w:t>∆QALY</w:t>
            </w:r>
          </w:p>
        </w:tc>
        <w:tc>
          <w:tcPr>
            <w:tcW w:w="1192" w:type="dxa"/>
            <w:noWrap/>
            <w:hideMark/>
          </w:tcPr>
          <w:p w14:paraId="55574781" w14:textId="77777777" w:rsidR="001F4231" w:rsidRDefault="001F4231" w:rsidP="00E84283">
            <w:r w:rsidRPr="00B67D80">
              <w:t>∆Cost</w:t>
            </w:r>
          </w:p>
          <w:p w14:paraId="4E39DB74" w14:textId="77777777" w:rsidR="005535F6" w:rsidRDefault="005535F6" w:rsidP="00E84283">
            <w:r>
              <w:t>GBP</w:t>
            </w:r>
          </w:p>
          <w:p w14:paraId="603E241A" w14:textId="348A4BAF" w:rsidR="005535F6" w:rsidRPr="00B67D80" w:rsidRDefault="005535F6" w:rsidP="00E84283">
            <w:r>
              <w:t>(EUR)</w:t>
            </w:r>
          </w:p>
        </w:tc>
        <w:tc>
          <w:tcPr>
            <w:tcW w:w="1599" w:type="dxa"/>
            <w:noWrap/>
            <w:hideMark/>
          </w:tcPr>
          <w:p w14:paraId="1730EF81" w14:textId="77777777" w:rsidR="001F4231" w:rsidRDefault="001F4231" w:rsidP="00E84283">
            <w:r w:rsidRPr="00B67D80">
              <w:t>ICER</w:t>
            </w:r>
          </w:p>
          <w:p w14:paraId="4B60EAEC" w14:textId="77777777" w:rsidR="005535F6" w:rsidRDefault="005535F6" w:rsidP="005535F6">
            <w:r>
              <w:t>GBP</w:t>
            </w:r>
          </w:p>
          <w:p w14:paraId="4AFBD5AF" w14:textId="60214F60" w:rsidR="005535F6" w:rsidRPr="00B67D80" w:rsidRDefault="005535F6" w:rsidP="005535F6">
            <w:r>
              <w:t>(EUR)</w:t>
            </w:r>
          </w:p>
        </w:tc>
        <w:tc>
          <w:tcPr>
            <w:tcW w:w="1442" w:type="dxa"/>
            <w:noWrap/>
            <w:hideMark/>
          </w:tcPr>
          <w:p w14:paraId="3A41650E" w14:textId="77777777" w:rsidR="001F4231" w:rsidRPr="00B67D80" w:rsidRDefault="001F4231" w:rsidP="00E84283">
            <w:r w:rsidRPr="00B67D80">
              <w:t>∆QALY</w:t>
            </w:r>
          </w:p>
        </w:tc>
        <w:tc>
          <w:tcPr>
            <w:tcW w:w="1309" w:type="dxa"/>
            <w:noWrap/>
            <w:hideMark/>
          </w:tcPr>
          <w:p w14:paraId="1323090C" w14:textId="77777777" w:rsidR="001F4231" w:rsidRDefault="001F4231" w:rsidP="00E84283">
            <w:r w:rsidRPr="00B67D80">
              <w:t>∆Cost</w:t>
            </w:r>
          </w:p>
          <w:p w14:paraId="3A2A27A0" w14:textId="77777777" w:rsidR="005535F6" w:rsidRDefault="005535F6" w:rsidP="00E84283">
            <w:r>
              <w:t>GBP</w:t>
            </w:r>
          </w:p>
          <w:p w14:paraId="79CE92B0" w14:textId="1FED4E0E" w:rsidR="005535F6" w:rsidRPr="00B67D80" w:rsidRDefault="005535F6" w:rsidP="00E84283">
            <w:r>
              <w:t>(EUR)</w:t>
            </w:r>
          </w:p>
        </w:tc>
        <w:tc>
          <w:tcPr>
            <w:tcW w:w="1309" w:type="dxa"/>
            <w:noWrap/>
            <w:hideMark/>
          </w:tcPr>
          <w:p w14:paraId="0523A67B" w14:textId="77777777" w:rsidR="001F4231" w:rsidRDefault="001F4231" w:rsidP="00E84283">
            <w:r w:rsidRPr="00B67D80">
              <w:t>ICER</w:t>
            </w:r>
          </w:p>
          <w:p w14:paraId="43B65E7A" w14:textId="77777777" w:rsidR="005535F6" w:rsidRDefault="005535F6" w:rsidP="005535F6">
            <w:r>
              <w:t>GBP</w:t>
            </w:r>
          </w:p>
          <w:p w14:paraId="04DE6A85" w14:textId="46534516" w:rsidR="005535F6" w:rsidRPr="00B67D80" w:rsidRDefault="005535F6" w:rsidP="005535F6">
            <w:r>
              <w:t>(EUR)</w:t>
            </w:r>
          </w:p>
        </w:tc>
      </w:tr>
      <w:tr w:rsidR="001F4231" w:rsidRPr="00B67D80" w14:paraId="069E9401" w14:textId="77777777" w:rsidTr="00E84283">
        <w:trPr>
          <w:trHeight w:val="311"/>
        </w:trPr>
        <w:tc>
          <w:tcPr>
            <w:tcW w:w="1723" w:type="dxa"/>
            <w:noWrap/>
          </w:tcPr>
          <w:p w14:paraId="690E8897" w14:textId="77777777" w:rsidR="001F4231" w:rsidRPr="00B67D80" w:rsidRDefault="001F4231" w:rsidP="00E84283">
            <w:r w:rsidRPr="00B67D80">
              <w:t>50</w:t>
            </w:r>
          </w:p>
        </w:tc>
        <w:tc>
          <w:tcPr>
            <w:tcW w:w="1309" w:type="dxa"/>
            <w:noWrap/>
          </w:tcPr>
          <w:p w14:paraId="6D9AFF51" w14:textId="77777777" w:rsidR="001F4231" w:rsidRPr="00B67D80" w:rsidRDefault="001F4231" w:rsidP="00E84283">
            <w:r w:rsidRPr="006F5737">
              <w:t>17.62</w:t>
            </w:r>
          </w:p>
        </w:tc>
        <w:tc>
          <w:tcPr>
            <w:tcW w:w="1192" w:type="dxa"/>
            <w:noWrap/>
          </w:tcPr>
          <w:p w14:paraId="77B13DE5" w14:textId="77777777" w:rsidR="001F4231" w:rsidRDefault="001F4231" w:rsidP="00E84283">
            <w:r w:rsidRPr="006F5737">
              <w:t>-408687</w:t>
            </w:r>
          </w:p>
          <w:p w14:paraId="6E41A6EE" w14:textId="64DB0CE4" w:rsidR="005535F6" w:rsidRPr="00B67D80" w:rsidRDefault="005535F6" w:rsidP="00E84283">
            <w:r>
              <w:t>(-466108)</w:t>
            </w:r>
          </w:p>
        </w:tc>
        <w:tc>
          <w:tcPr>
            <w:tcW w:w="1599" w:type="dxa"/>
            <w:noWrap/>
          </w:tcPr>
          <w:p w14:paraId="67ADF6DD" w14:textId="62D11747" w:rsidR="001F4231" w:rsidRDefault="001F4231" w:rsidP="00E84283">
            <w:r w:rsidRPr="006F5737">
              <w:t>-23194</w:t>
            </w:r>
          </w:p>
          <w:p w14:paraId="0A76FC4D" w14:textId="61EC7E12" w:rsidR="001575E8" w:rsidRDefault="001575E8" w:rsidP="00E84283">
            <w:r>
              <w:t>(-26452)</w:t>
            </w:r>
          </w:p>
          <w:p w14:paraId="17E4669C" w14:textId="77777777" w:rsidR="001F4231" w:rsidRPr="00B67D80" w:rsidRDefault="001F4231" w:rsidP="00E84283">
            <w:r>
              <w:t>(dominates)</w:t>
            </w:r>
          </w:p>
        </w:tc>
        <w:tc>
          <w:tcPr>
            <w:tcW w:w="1442" w:type="dxa"/>
            <w:noWrap/>
          </w:tcPr>
          <w:p w14:paraId="30413ED9" w14:textId="77777777" w:rsidR="001F4231" w:rsidRPr="00B67D80" w:rsidRDefault="001F4231" w:rsidP="00E84283">
            <w:r w:rsidRPr="006F5737">
              <w:t>52.86</w:t>
            </w:r>
          </w:p>
        </w:tc>
        <w:tc>
          <w:tcPr>
            <w:tcW w:w="1309" w:type="dxa"/>
            <w:noWrap/>
          </w:tcPr>
          <w:p w14:paraId="1C0ECFB9" w14:textId="77777777" w:rsidR="001F4231" w:rsidRDefault="001F4231" w:rsidP="00E84283">
            <w:r w:rsidRPr="006F5737">
              <w:t>527646</w:t>
            </w:r>
          </w:p>
          <w:p w14:paraId="5214CBF2" w14:textId="5499D071" w:rsidR="001575E8" w:rsidRPr="00B67D80" w:rsidRDefault="001575E8" w:rsidP="00E84283">
            <w:r>
              <w:t>(601780)</w:t>
            </w:r>
          </w:p>
        </w:tc>
        <w:tc>
          <w:tcPr>
            <w:tcW w:w="1309" w:type="dxa"/>
            <w:noWrap/>
          </w:tcPr>
          <w:p w14:paraId="1298E7B7" w14:textId="77777777" w:rsidR="001F4231" w:rsidRDefault="001F4231" w:rsidP="00E84283">
            <w:r w:rsidRPr="006F5737">
              <w:t>9982</w:t>
            </w:r>
          </w:p>
          <w:p w14:paraId="02E0D6D6" w14:textId="7F740E76" w:rsidR="001575E8" w:rsidRPr="00B67D80" w:rsidRDefault="001575E8" w:rsidP="00E84283">
            <w:r>
              <w:t>(11384)</w:t>
            </w:r>
          </w:p>
        </w:tc>
      </w:tr>
      <w:tr w:rsidR="001F4231" w:rsidRPr="00B67D80" w14:paraId="5BB7820B" w14:textId="77777777" w:rsidTr="00E84283">
        <w:trPr>
          <w:trHeight w:val="311"/>
        </w:trPr>
        <w:tc>
          <w:tcPr>
            <w:tcW w:w="1723" w:type="dxa"/>
            <w:noWrap/>
          </w:tcPr>
          <w:p w14:paraId="0CA0B00D" w14:textId="77777777" w:rsidR="001F4231" w:rsidRPr="00B67D80" w:rsidRDefault="001F4231" w:rsidP="00E84283">
            <w:r w:rsidRPr="00B67D80">
              <w:t>75</w:t>
            </w:r>
          </w:p>
        </w:tc>
        <w:tc>
          <w:tcPr>
            <w:tcW w:w="1309" w:type="dxa"/>
            <w:noWrap/>
          </w:tcPr>
          <w:p w14:paraId="0B8EAA59" w14:textId="77777777" w:rsidR="001F4231" w:rsidRPr="00B67D80" w:rsidRDefault="001F4231" w:rsidP="00E84283">
            <w:r w:rsidRPr="006F5737">
              <w:t>17.62</w:t>
            </w:r>
          </w:p>
        </w:tc>
        <w:tc>
          <w:tcPr>
            <w:tcW w:w="1192" w:type="dxa"/>
            <w:noWrap/>
          </w:tcPr>
          <w:p w14:paraId="79DFA3C6" w14:textId="77777777" w:rsidR="001F4231" w:rsidRDefault="001F4231" w:rsidP="00E84283">
            <w:r w:rsidRPr="006F5737">
              <w:t>-158687</w:t>
            </w:r>
          </w:p>
          <w:p w14:paraId="7B29D56C" w14:textId="2DD01214" w:rsidR="001575E8" w:rsidRPr="00B67D80" w:rsidRDefault="001575E8" w:rsidP="00E84283">
            <w:r>
              <w:t>(-180983)</w:t>
            </w:r>
          </w:p>
        </w:tc>
        <w:tc>
          <w:tcPr>
            <w:tcW w:w="1599" w:type="dxa"/>
            <w:noWrap/>
          </w:tcPr>
          <w:p w14:paraId="0EED9946" w14:textId="48AD6A34" w:rsidR="001F4231" w:rsidRDefault="001F4231" w:rsidP="00E84283">
            <w:r w:rsidRPr="006F5737">
              <w:t>-9006</w:t>
            </w:r>
          </w:p>
          <w:p w14:paraId="3FD03BC9" w14:textId="440DA78B" w:rsidR="001575E8" w:rsidRDefault="001575E8" w:rsidP="00E84283">
            <w:r>
              <w:t>(-10271)</w:t>
            </w:r>
          </w:p>
          <w:p w14:paraId="4C1DBF29" w14:textId="77777777" w:rsidR="001F4231" w:rsidRPr="00B67D80" w:rsidRDefault="001F4231" w:rsidP="00E84283">
            <w:r>
              <w:t>(dominates)</w:t>
            </w:r>
          </w:p>
        </w:tc>
        <w:tc>
          <w:tcPr>
            <w:tcW w:w="1442" w:type="dxa"/>
            <w:noWrap/>
          </w:tcPr>
          <w:p w14:paraId="2C3B7298" w14:textId="77777777" w:rsidR="001F4231" w:rsidRPr="00B67D80" w:rsidRDefault="001F4231" w:rsidP="00E84283">
            <w:r w:rsidRPr="006F5737">
              <w:t>52.86</w:t>
            </w:r>
          </w:p>
        </w:tc>
        <w:tc>
          <w:tcPr>
            <w:tcW w:w="1309" w:type="dxa"/>
            <w:noWrap/>
          </w:tcPr>
          <w:p w14:paraId="0CC58BD7" w14:textId="77777777" w:rsidR="001F4231" w:rsidRDefault="001F4231" w:rsidP="00E84283">
            <w:r w:rsidRPr="006F5737">
              <w:t>777646</w:t>
            </w:r>
          </w:p>
          <w:p w14:paraId="7FA7FDDE" w14:textId="6F0677C3" w:rsidR="001575E8" w:rsidRPr="00B67D80" w:rsidRDefault="001575E8" w:rsidP="00E84283">
            <w:r>
              <w:t>(886905)</w:t>
            </w:r>
          </w:p>
        </w:tc>
        <w:tc>
          <w:tcPr>
            <w:tcW w:w="1309" w:type="dxa"/>
            <w:noWrap/>
          </w:tcPr>
          <w:p w14:paraId="37E2FB6C" w14:textId="77777777" w:rsidR="001F4231" w:rsidRDefault="001F4231" w:rsidP="00E84283">
            <w:r w:rsidRPr="006F5737">
              <w:t>14711</w:t>
            </w:r>
          </w:p>
          <w:p w14:paraId="6AC326E1" w14:textId="35008B00" w:rsidR="001575E8" w:rsidRPr="00B67D80" w:rsidRDefault="001575E8" w:rsidP="00E84283">
            <w:r>
              <w:t>(16778)</w:t>
            </w:r>
          </w:p>
        </w:tc>
      </w:tr>
      <w:tr w:rsidR="001F4231" w:rsidRPr="00B67D80" w14:paraId="4263AB81" w14:textId="77777777" w:rsidTr="00E84283">
        <w:trPr>
          <w:trHeight w:val="311"/>
        </w:trPr>
        <w:tc>
          <w:tcPr>
            <w:tcW w:w="1723" w:type="dxa"/>
            <w:noWrap/>
          </w:tcPr>
          <w:p w14:paraId="2A04C6F3" w14:textId="77777777" w:rsidR="001F4231" w:rsidRPr="00B67D80" w:rsidRDefault="001F4231" w:rsidP="00E84283">
            <w:r w:rsidRPr="00B67D80">
              <w:t>100</w:t>
            </w:r>
          </w:p>
        </w:tc>
        <w:tc>
          <w:tcPr>
            <w:tcW w:w="1309" w:type="dxa"/>
            <w:noWrap/>
          </w:tcPr>
          <w:p w14:paraId="145121C9" w14:textId="77777777" w:rsidR="001F4231" w:rsidRPr="00B67D80" w:rsidRDefault="001F4231" w:rsidP="00E84283">
            <w:r w:rsidRPr="006F5737">
              <w:t>17.62</w:t>
            </w:r>
          </w:p>
        </w:tc>
        <w:tc>
          <w:tcPr>
            <w:tcW w:w="1192" w:type="dxa"/>
            <w:noWrap/>
          </w:tcPr>
          <w:p w14:paraId="4E2C6EEB" w14:textId="77777777" w:rsidR="001F4231" w:rsidRDefault="001F4231" w:rsidP="00E84283">
            <w:r w:rsidRPr="006F5737">
              <w:t>91313</w:t>
            </w:r>
          </w:p>
          <w:p w14:paraId="0789D6C4" w14:textId="45D5AD21" w:rsidR="001575E8" w:rsidRPr="00B67D80" w:rsidRDefault="001575E8" w:rsidP="00E84283">
            <w:r>
              <w:t>(104143)</w:t>
            </w:r>
          </w:p>
        </w:tc>
        <w:tc>
          <w:tcPr>
            <w:tcW w:w="1599" w:type="dxa"/>
            <w:noWrap/>
          </w:tcPr>
          <w:p w14:paraId="411780F9" w14:textId="77777777" w:rsidR="001F4231" w:rsidRDefault="001F4231" w:rsidP="00E84283">
            <w:r w:rsidRPr="006F5737">
              <w:t>5182</w:t>
            </w:r>
          </w:p>
          <w:p w14:paraId="4E00E043" w14:textId="77BC3F4D" w:rsidR="001575E8" w:rsidRPr="00B67D80" w:rsidRDefault="001575E8" w:rsidP="00E84283">
            <w:r>
              <w:t>(5910)</w:t>
            </w:r>
          </w:p>
        </w:tc>
        <w:tc>
          <w:tcPr>
            <w:tcW w:w="1442" w:type="dxa"/>
            <w:noWrap/>
          </w:tcPr>
          <w:p w14:paraId="12A859FC" w14:textId="77777777" w:rsidR="001F4231" w:rsidRPr="00B67D80" w:rsidRDefault="001F4231" w:rsidP="00E84283">
            <w:r w:rsidRPr="006F5737">
              <w:t>52.86</w:t>
            </w:r>
          </w:p>
        </w:tc>
        <w:tc>
          <w:tcPr>
            <w:tcW w:w="1309" w:type="dxa"/>
            <w:noWrap/>
          </w:tcPr>
          <w:p w14:paraId="75DE3D5D" w14:textId="77777777" w:rsidR="001F4231" w:rsidRDefault="001F4231" w:rsidP="00E84283">
            <w:r w:rsidRPr="006F5737">
              <w:t>1027646</w:t>
            </w:r>
          </w:p>
          <w:p w14:paraId="5F90E4BF" w14:textId="68409841" w:rsidR="001575E8" w:rsidRPr="00B67D80" w:rsidRDefault="001575E8" w:rsidP="00E84283">
            <w:r>
              <w:t>(1172030)</w:t>
            </w:r>
          </w:p>
        </w:tc>
        <w:tc>
          <w:tcPr>
            <w:tcW w:w="1309" w:type="dxa"/>
            <w:noWrap/>
          </w:tcPr>
          <w:p w14:paraId="0D2BC389" w14:textId="77777777" w:rsidR="001F4231" w:rsidRDefault="001F4231" w:rsidP="00E84283">
            <w:r w:rsidRPr="006F5737">
              <w:t>19441</w:t>
            </w:r>
          </w:p>
          <w:p w14:paraId="54A4692C" w14:textId="265B9280" w:rsidR="001575E8" w:rsidRPr="00B67D80" w:rsidRDefault="001575E8" w:rsidP="00E84283">
            <w:r>
              <w:t>(22172)</w:t>
            </w:r>
          </w:p>
        </w:tc>
      </w:tr>
      <w:tr w:rsidR="001F4231" w:rsidRPr="00B67D80" w14:paraId="76716752" w14:textId="77777777" w:rsidTr="00E84283">
        <w:trPr>
          <w:trHeight w:val="311"/>
        </w:trPr>
        <w:tc>
          <w:tcPr>
            <w:tcW w:w="1723" w:type="dxa"/>
            <w:noWrap/>
          </w:tcPr>
          <w:p w14:paraId="04B74AA2" w14:textId="77777777" w:rsidR="001F4231" w:rsidRPr="00B67D80" w:rsidRDefault="001F4231" w:rsidP="00E84283">
            <w:r>
              <w:t>200</w:t>
            </w:r>
          </w:p>
        </w:tc>
        <w:tc>
          <w:tcPr>
            <w:tcW w:w="1309" w:type="dxa"/>
            <w:noWrap/>
          </w:tcPr>
          <w:p w14:paraId="06B6E95E" w14:textId="77777777" w:rsidR="001F4231" w:rsidRPr="00B67D80" w:rsidRDefault="001F4231" w:rsidP="00E84283">
            <w:r w:rsidRPr="00A03BF0">
              <w:t>17.62</w:t>
            </w:r>
          </w:p>
        </w:tc>
        <w:tc>
          <w:tcPr>
            <w:tcW w:w="1192" w:type="dxa"/>
            <w:noWrap/>
          </w:tcPr>
          <w:p w14:paraId="3EA4BAC8" w14:textId="77777777" w:rsidR="001F4231" w:rsidRDefault="001F4231" w:rsidP="00E84283">
            <w:r w:rsidRPr="00A03BF0">
              <w:t>1091313</w:t>
            </w:r>
          </w:p>
          <w:p w14:paraId="32237DB0" w14:textId="42200E4A" w:rsidR="001575E8" w:rsidRPr="00B67D80" w:rsidRDefault="001575E8" w:rsidP="00E84283">
            <w:r>
              <w:t>(1244642)</w:t>
            </w:r>
          </w:p>
        </w:tc>
        <w:tc>
          <w:tcPr>
            <w:tcW w:w="1599" w:type="dxa"/>
            <w:noWrap/>
          </w:tcPr>
          <w:p w14:paraId="12073459" w14:textId="77777777" w:rsidR="001F4231" w:rsidRDefault="001F4231" w:rsidP="00E84283">
            <w:r w:rsidRPr="00A03BF0">
              <w:t>61936</w:t>
            </w:r>
          </w:p>
          <w:p w14:paraId="169987CE" w14:textId="094277D0" w:rsidR="001575E8" w:rsidRPr="00B67D80" w:rsidRDefault="001575E8" w:rsidP="00E84283">
            <w:r>
              <w:t>(70638)</w:t>
            </w:r>
          </w:p>
        </w:tc>
        <w:tc>
          <w:tcPr>
            <w:tcW w:w="1442" w:type="dxa"/>
            <w:noWrap/>
          </w:tcPr>
          <w:p w14:paraId="1AFBAC86" w14:textId="77777777" w:rsidR="001F4231" w:rsidRPr="00B67D80" w:rsidRDefault="001F4231" w:rsidP="00E84283">
            <w:r w:rsidRPr="00A03BF0">
              <w:t>52.86</w:t>
            </w:r>
          </w:p>
        </w:tc>
        <w:tc>
          <w:tcPr>
            <w:tcW w:w="1309" w:type="dxa"/>
            <w:noWrap/>
          </w:tcPr>
          <w:p w14:paraId="41BD4F04" w14:textId="77777777" w:rsidR="001F4231" w:rsidRDefault="001F4231" w:rsidP="00E84283">
            <w:r w:rsidRPr="00A03BF0">
              <w:t>2027646</w:t>
            </w:r>
          </w:p>
          <w:p w14:paraId="44165D7B" w14:textId="08209D7F" w:rsidR="001575E8" w:rsidRPr="00B67D80" w:rsidRDefault="001575E8" w:rsidP="00E84283">
            <w:r>
              <w:t>(2312530)</w:t>
            </w:r>
          </w:p>
        </w:tc>
        <w:tc>
          <w:tcPr>
            <w:tcW w:w="1309" w:type="dxa"/>
            <w:noWrap/>
          </w:tcPr>
          <w:p w14:paraId="598BD418" w14:textId="77777777" w:rsidR="001F4231" w:rsidRDefault="001F4231" w:rsidP="00E84283">
            <w:r w:rsidRPr="00A03BF0">
              <w:t>38358</w:t>
            </w:r>
          </w:p>
          <w:p w14:paraId="290D187E" w14:textId="1008CD10" w:rsidR="001575E8" w:rsidRPr="00B67D80" w:rsidRDefault="001575E8" w:rsidP="00E84283">
            <w:r>
              <w:t>(43747)</w:t>
            </w:r>
          </w:p>
        </w:tc>
      </w:tr>
    </w:tbl>
    <w:p w14:paraId="7795B4EA" w14:textId="77777777" w:rsidR="001F4231" w:rsidRDefault="001F4231" w:rsidP="001F4231"/>
    <w:p w14:paraId="5C759971" w14:textId="2C879079" w:rsidR="00D50B2D" w:rsidRPr="00D67B65" w:rsidRDefault="00D50B2D" w:rsidP="001F4231">
      <w:pPr>
        <w:rPr>
          <w:b/>
          <w:bCs/>
          <w:sz w:val="32"/>
          <w:szCs w:val="28"/>
        </w:rPr>
      </w:pPr>
      <w:r w:rsidRPr="00D67B65">
        <w:rPr>
          <w:b/>
          <w:bCs/>
          <w:sz w:val="32"/>
          <w:szCs w:val="28"/>
        </w:rPr>
        <w:t>One-way sensitivity analysis (OWSA)</w:t>
      </w:r>
    </w:p>
    <w:p w14:paraId="454A6639" w14:textId="548FD00A" w:rsidR="001F4231" w:rsidRDefault="00D50B2D" w:rsidP="001F4231">
      <w:r>
        <w:t>OWSA results are displayed on a cost-effectiveness plane. Multiple options for test cost are displayed in the base case and two of these GBP 50</w:t>
      </w:r>
      <w:r w:rsidR="00E32F1C">
        <w:t xml:space="preserve"> (EUR 57)</w:t>
      </w:r>
      <w:r>
        <w:t xml:space="preserve"> and GBP 100</w:t>
      </w:r>
      <w:r w:rsidR="00E32F1C">
        <w:t xml:space="preserve"> (EUR 114)</w:t>
      </w:r>
      <w:r>
        <w:t xml:space="preserve"> were used in the </w:t>
      </w:r>
      <w:r w:rsidR="00D67B65">
        <w:t>OWSA. Two series of data points are displayed, representing results using GBP 50</w:t>
      </w:r>
      <w:r w:rsidR="00E32F1C">
        <w:t xml:space="preserve"> (EUR 57)</w:t>
      </w:r>
      <w:r w:rsidR="00D67B65">
        <w:t xml:space="preserve"> or GBP 100</w:t>
      </w:r>
      <w:r w:rsidR="00E32F1C">
        <w:t xml:space="preserve"> (EUR 114)</w:t>
      </w:r>
      <w:r w:rsidR="00D67B65">
        <w:t xml:space="preserve"> test cost at specified values of prevalence and HR for delay to diagnosis. A reference line is displayed showing points equivalent to an ICER of </w:t>
      </w:r>
      <w:r w:rsidR="00E32F1C">
        <w:t xml:space="preserve"> GBP </w:t>
      </w:r>
      <w:r w:rsidR="00D67B65">
        <w:t>20,000</w:t>
      </w:r>
      <w:r w:rsidR="00E32F1C">
        <w:t xml:space="preserve"> (EUR 22,810)</w:t>
      </w:r>
      <w:r w:rsidR="00D67B65">
        <w:t>.</w:t>
      </w:r>
      <w:r w:rsidR="001F4231">
        <w:br w:type="page"/>
      </w:r>
    </w:p>
    <w:p w14:paraId="5240843A" w14:textId="44D9C4C1" w:rsidR="001F4231" w:rsidRDefault="001F4231" w:rsidP="001F4231">
      <w:pPr>
        <w:pStyle w:val="Caption"/>
      </w:pPr>
      <w:bookmarkStart w:id="3" w:name="_Ref40385045"/>
      <w:r>
        <w:lastRenderedPageBreak/>
        <w:t xml:space="preserve">Figure SA </w:t>
      </w:r>
      <w:fldSimple w:instr=" SEQ Figure_SA \* ARABIC ">
        <w:r w:rsidR="00B37247">
          <w:rPr>
            <w:noProof/>
          </w:rPr>
          <w:t>1</w:t>
        </w:r>
      </w:fldSimple>
      <w:bookmarkEnd w:id="3"/>
      <w:r>
        <w:t xml:space="preserve"> – OWSA Prevalence</w:t>
      </w:r>
    </w:p>
    <w:p w14:paraId="101D9803" w14:textId="77777777" w:rsidR="001F4231" w:rsidRDefault="001F4231" w:rsidP="001F4231">
      <w:r>
        <w:rPr>
          <w:noProof/>
        </w:rPr>
        <w:drawing>
          <wp:inline distT="0" distB="0" distL="0" distR="0" wp14:anchorId="345DD3D5" wp14:editId="1A6C82EC">
            <wp:extent cx="5731510" cy="3455670"/>
            <wp:effectExtent l="0" t="0" r="2540" b="11430"/>
            <wp:docPr id="85" name="Chart 85">
              <a:extLst xmlns:a="http://schemas.openxmlformats.org/drawingml/2006/main">
                <a:ext uri="{FF2B5EF4-FFF2-40B4-BE49-F238E27FC236}">
                  <a16:creationId xmlns:a16="http://schemas.microsoft.com/office/drawing/2014/main" id="{71338FF7-C589-4868-A6F6-9771C633E25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5A5D76FE" w14:textId="77777777" w:rsidR="001F4231" w:rsidRDefault="001F4231" w:rsidP="001F4231">
      <w:r>
        <w:rPr>
          <w:noProof/>
        </w:rPr>
        <w:drawing>
          <wp:inline distT="0" distB="0" distL="0" distR="0" wp14:anchorId="6B22FEE4" wp14:editId="68B3CE4C">
            <wp:extent cx="5731510" cy="3701415"/>
            <wp:effectExtent l="0" t="0" r="2540" b="13335"/>
            <wp:docPr id="86" name="Chart 86">
              <a:extLst xmlns:a="http://schemas.openxmlformats.org/drawingml/2006/main">
                <a:ext uri="{FF2B5EF4-FFF2-40B4-BE49-F238E27FC236}">
                  <a16:creationId xmlns:a16="http://schemas.microsoft.com/office/drawing/2014/main" id="{176691CE-A271-44DB-9126-9B78A05B899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4EAAC830" w14:textId="77777777" w:rsidR="001F4231" w:rsidRDefault="001F4231" w:rsidP="001F4231">
      <w:r>
        <w:br w:type="page"/>
      </w:r>
    </w:p>
    <w:p w14:paraId="08CEB215" w14:textId="00FDEF07" w:rsidR="001F4231" w:rsidRDefault="001F4231" w:rsidP="001F4231">
      <w:pPr>
        <w:pStyle w:val="Caption"/>
      </w:pPr>
      <w:bookmarkStart w:id="4" w:name="_Ref40385065"/>
      <w:r>
        <w:lastRenderedPageBreak/>
        <w:t xml:space="preserve">Figure SA </w:t>
      </w:r>
      <w:fldSimple w:instr=" SEQ Figure_SA \* ARABIC ">
        <w:r w:rsidR="00B37247">
          <w:rPr>
            <w:noProof/>
          </w:rPr>
          <w:t>2</w:t>
        </w:r>
      </w:fldSimple>
      <w:bookmarkEnd w:id="4"/>
      <w:r>
        <w:t xml:space="preserve"> - OWSA HR for delay to diagnosis</w:t>
      </w:r>
    </w:p>
    <w:p w14:paraId="7C927E88" w14:textId="77777777" w:rsidR="001F4231" w:rsidRDefault="001F4231" w:rsidP="001F4231">
      <w:r>
        <w:rPr>
          <w:noProof/>
        </w:rPr>
        <w:drawing>
          <wp:inline distT="0" distB="0" distL="0" distR="0" wp14:anchorId="6D56627B" wp14:editId="181CBB3B">
            <wp:extent cx="5731510" cy="3596005"/>
            <wp:effectExtent l="0" t="0" r="2540" b="4445"/>
            <wp:docPr id="87" name="Chart 87">
              <a:extLst xmlns:a="http://schemas.openxmlformats.org/drawingml/2006/main">
                <a:ext uri="{FF2B5EF4-FFF2-40B4-BE49-F238E27FC236}">
                  <a16:creationId xmlns:a16="http://schemas.microsoft.com/office/drawing/2014/main" id="{D362FC88-ABA8-4A19-80F3-36E13F25938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B0D1C5F" w14:textId="77777777" w:rsidR="001F4231" w:rsidRDefault="001F4231" w:rsidP="001F4231">
      <w:r>
        <w:rPr>
          <w:noProof/>
        </w:rPr>
        <w:drawing>
          <wp:inline distT="0" distB="0" distL="0" distR="0" wp14:anchorId="5C3D683E" wp14:editId="289B651D">
            <wp:extent cx="5731510" cy="3381375"/>
            <wp:effectExtent l="0" t="0" r="2540" b="9525"/>
            <wp:docPr id="88" name="Chart 88">
              <a:extLst xmlns:a="http://schemas.openxmlformats.org/drawingml/2006/main">
                <a:ext uri="{FF2B5EF4-FFF2-40B4-BE49-F238E27FC236}">
                  <a16:creationId xmlns:a16="http://schemas.microsoft.com/office/drawing/2014/main" id="{028E6BF0-933F-4F7D-ABBC-94925599BD5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7D415AC" w14:textId="77777777" w:rsidR="00B37247" w:rsidRDefault="00B37247" w:rsidP="00B37247">
      <w:pPr>
        <w:pStyle w:val="Caption"/>
      </w:pPr>
      <w:r>
        <w:br w:type="page"/>
      </w:r>
    </w:p>
    <w:p w14:paraId="0A98BFDD" w14:textId="77777777" w:rsidR="00B37247" w:rsidRDefault="00B37247" w:rsidP="00B37247">
      <w:pPr>
        <w:pStyle w:val="Caption"/>
      </w:pPr>
      <w:r>
        <w:lastRenderedPageBreak/>
        <w:t xml:space="preserve">Figure SA </w:t>
      </w:r>
      <w:r w:rsidR="005E2AA9">
        <w:fldChar w:fldCharType="begin"/>
      </w:r>
      <w:r w:rsidR="005E2AA9">
        <w:instrText xml:space="preserve"> SEQ Figure_SA \* ARABIC </w:instrText>
      </w:r>
      <w:r w:rsidR="005E2AA9">
        <w:fldChar w:fldCharType="separate"/>
      </w:r>
      <w:r>
        <w:rPr>
          <w:noProof/>
        </w:rPr>
        <w:t>3</w:t>
      </w:r>
      <w:r w:rsidR="005E2AA9">
        <w:rPr>
          <w:noProof/>
        </w:rPr>
        <w:fldChar w:fldCharType="end"/>
      </w:r>
      <w:r>
        <w:t xml:space="preserve"> - Probabilistic Sensitivity Analysis - Cost-effectiveness Plane</w:t>
      </w:r>
    </w:p>
    <w:p w14:paraId="691DEA5D" w14:textId="77777777" w:rsidR="00B37247" w:rsidRDefault="00B37247" w:rsidP="00B37247">
      <w:r>
        <w:rPr>
          <w:noProof/>
        </w:rPr>
        <w:drawing>
          <wp:inline distT="0" distB="0" distL="0" distR="0" wp14:anchorId="5EE97D40" wp14:editId="0570AA3A">
            <wp:extent cx="6096635" cy="373936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08183" cy="3746445"/>
                    </a:xfrm>
                    <a:prstGeom prst="rect">
                      <a:avLst/>
                    </a:prstGeom>
                    <a:noFill/>
                  </pic:spPr>
                </pic:pic>
              </a:graphicData>
            </a:graphic>
          </wp:inline>
        </w:drawing>
      </w:r>
    </w:p>
    <w:p w14:paraId="29385844" w14:textId="77777777" w:rsidR="00DC1340" w:rsidRDefault="00B37247" w:rsidP="00B37247">
      <w:r>
        <w:rPr>
          <w:noProof/>
        </w:rPr>
        <w:drawing>
          <wp:inline distT="0" distB="0" distL="0" distR="0" wp14:anchorId="7DA83153" wp14:editId="406AD1C5">
            <wp:extent cx="6096635" cy="377343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5293" cy="3791176"/>
                    </a:xfrm>
                    <a:prstGeom prst="rect">
                      <a:avLst/>
                    </a:prstGeom>
                    <a:noFill/>
                  </pic:spPr>
                </pic:pic>
              </a:graphicData>
            </a:graphic>
          </wp:inline>
        </w:drawing>
      </w:r>
    </w:p>
    <w:p w14:paraId="610630D1" w14:textId="25FE0310" w:rsidR="001F4231" w:rsidRPr="00DC1340" w:rsidRDefault="00DC1340" w:rsidP="00B37247">
      <w:pPr>
        <w:rPr>
          <w:sz w:val="20"/>
          <w:szCs w:val="20"/>
        </w:rPr>
      </w:pPr>
      <w:r w:rsidRPr="00DC1340">
        <w:rPr>
          <w:sz w:val="20"/>
          <w:szCs w:val="20"/>
        </w:rPr>
        <w:t>Note: Relative lack of variation in costs in the secondary care scenario occurs because all patients receive imaging regardless of liquid biopsy test result. Fast-track and standard referral imaging have the same unit cost.</w:t>
      </w:r>
      <w:r w:rsidR="001F4231" w:rsidRPr="00DC1340">
        <w:rPr>
          <w:sz w:val="20"/>
          <w:szCs w:val="20"/>
        </w:rPr>
        <w:br w:type="page"/>
      </w:r>
    </w:p>
    <w:p w14:paraId="458BA6A1" w14:textId="2284919D" w:rsidR="001F4231" w:rsidRDefault="001F4231" w:rsidP="001F4231">
      <w:pPr>
        <w:pStyle w:val="Caption"/>
      </w:pPr>
      <w:bookmarkStart w:id="5" w:name="_Ref42165640"/>
      <w:r>
        <w:lastRenderedPageBreak/>
        <w:t xml:space="preserve">Figure SA </w:t>
      </w:r>
      <w:fldSimple w:instr=" SEQ Figure_SA \* ARABIC ">
        <w:r w:rsidR="00B37247">
          <w:rPr>
            <w:noProof/>
          </w:rPr>
          <w:t>4</w:t>
        </w:r>
      </w:fldSimple>
      <w:bookmarkEnd w:id="5"/>
      <w:r>
        <w:t xml:space="preserve"> - OWSA tumour type prevalence among cases, cost-consequences analysis</w:t>
      </w:r>
    </w:p>
    <w:p w14:paraId="19844D20" w14:textId="4F60FB94" w:rsidR="001F4231" w:rsidRDefault="00A50555" w:rsidP="001F4231">
      <w:r>
        <w:rPr>
          <w:noProof/>
        </w:rPr>
        <w:drawing>
          <wp:inline distT="0" distB="0" distL="0" distR="0" wp14:anchorId="13C6C34A" wp14:editId="681E6850">
            <wp:extent cx="5731510" cy="27432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731510" cy="2743200"/>
                    </a:xfrm>
                    <a:prstGeom prst="rect">
                      <a:avLst/>
                    </a:prstGeom>
                    <a:noFill/>
                    <a:ln>
                      <a:noFill/>
                    </a:ln>
                  </pic:spPr>
                </pic:pic>
              </a:graphicData>
            </a:graphic>
          </wp:inline>
        </w:drawing>
      </w:r>
    </w:p>
    <w:p w14:paraId="038F87EA" w14:textId="5A899189" w:rsidR="001F4231" w:rsidRPr="00830FE6" w:rsidRDefault="001F4231" w:rsidP="001F4231">
      <w:r>
        <w:t>Tumour type probability: Probability of G</w:t>
      </w:r>
      <w:r w:rsidR="00402255">
        <w:t>liobla</w:t>
      </w:r>
      <w:r w:rsidR="00A4332F">
        <w:t>s</w:t>
      </w:r>
      <w:r w:rsidR="00402255">
        <w:t>toma, Primary Central Nervous System Lymphoma and Metastatic Can</w:t>
      </w:r>
      <w:r w:rsidR="0097676A">
        <w:t>c</w:t>
      </w:r>
      <w:r w:rsidR="00402255">
        <w:t>er</w:t>
      </w:r>
      <w:r>
        <w:t xml:space="preserve">, ordered from high to low on probability of </w:t>
      </w:r>
      <w:r w:rsidR="00402255">
        <w:t>Glioblastoma</w:t>
      </w:r>
      <w:r>
        <w:t xml:space="preserve"> vs others</w:t>
      </w:r>
    </w:p>
    <w:p w14:paraId="6B0EA259" w14:textId="506E3CCB" w:rsidR="00682D5C" w:rsidRDefault="00147E31" w:rsidP="00147E31">
      <w:pPr>
        <w:pStyle w:val="Heading1"/>
      </w:pPr>
      <w:r>
        <w:t>References</w:t>
      </w:r>
    </w:p>
    <w:p w14:paraId="5A46D56D" w14:textId="6AC42565" w:rsidR="00E95567" w:rsidRPr="00E95567" w:rsidRDefault="00147E31" w:rsidP="00E95567">
      <w:pPr>
        <w:widowControl w:val="0"/>
        <w:autoSpaceDE w:val="0"/>
        <w:autoSpaceDN w:val="0"/>
        <w:adjustRightInd w:val="0"/>
        <w:spacing w:line="240" w:lineRule="auto"/>
        <w:ind w:left="640" w:hanging="640"/>
        <w:rPr>
          <w:rFonts w:cs="Times New Roman"/>
          <w:noProof/>
          <w:szCs w:val="24"/>
        </w:rPr>
      </w:pPr>
      <w:r>
        <w:fldChar w:fldCharType="begin" w:fldLock="1"/>
      </w:r>
      <w:r>
        <w:instrText xml:space="preserve">ADDIN Mendeley Bibliography CSL_BIBLIOGRAPHY </w:instrText>
      </w:r>
      <w:r>
        <w:fldChar w:fldCharType="separate"/>
      </w:r>
      <w:r w:rsidR="00E95567" w:rsidRPr="00E95567">
        <w:rPr>
          <w:rFonts w:cs="Times New Roman"/>
          <w:noProof/>
          <w:szCs w:val="24"/>
        </w:rPr>
        <w:t xml:space="preserve">1. </w:t>
      </w:r>
      <w:r w:rsidR="00E95567" w:rsidRPr="00E95567">
        <w:rPr>
          <w:rFonts w:cs="Times New Roman"/>
          <w:noProof/>
          <w:szCs w:val="24"/>
        </w:rPr>
        <w:tab/>
        <w:t xml:space="preserve">Gray E, Butler HJ, Board R, Brennan PM, Chalmers AJ, Dawson T, et al. Health economic evaluation of a serum-based blood test for brain tumour diagnosis: Exploration of two clinical scenarios. BMJ Open. 2018 May 1;8(5). </w:t>
      </w:r>
    </w:p>
    <w:p w14:paraId="6A76A8B6" w14:textId="77777777" w:rsidR="00E95567" w:rsidRPr="00E95567" w:rsidRDefault="00E95567" w:rsidP="00E95567">
      <w:pPr>
        <w:widowControl w:val="0"/>
        <w:autoSpaceDE w:val="0"/>
        <w:autoSpaceDN w:val="0"/>
        <w:adjustRightInd w:val="0"/>
        <w:spacing w:line="240" w:lineRule="auto"/>
        <w:ind w:left="640" w:hanging="640"/>
        <w:rPr>
          <w:rFonts w:cs="Times New Roman"/>
          <w:noProof/>
          <w:szCs w:val="24"/>
        </w:rPr>
      </w:pPr>
      <w:r w:rsidRPr="00E95567">
        <w:rPr>
          <w:rFonts w:cs="Times New Roman"/>
          <w:noProof/>
          <w:szCs w:val="24"/>
        </w:rPr>
        <w:t xml:space="preserve">2. </w:t>
      </w:r>
      <w:r w:rsidRPr="00E95567">
        <w:rPr>
          <w:rFonts w:cs="Times New Roman"/>
          <w:noProof/>
          <w:szCs w:val="24"/>
        </w:rPr>
        <w:tab/>
        <w:t xml:space="preserve">Clarke CE, Edwards J, Nicholl DJ, Sivaguru A. Imaging results in a consecutive series of 530 new patients in the Birmingham Headache Service. J Neurol. 2010; </w:t>
      </w:r>
    </w:p>
    <w:p w14:paraId="65334075" w14:textId="77777777" w:rsidR="00E95567" w:rsidRPr="00E95567" w:rsidRDefault="00E95567" w:rsidP="00E95567">
      <w:pPr>
        <w:widowControl w:val="0"/>
        <w:autoSpaceDE w:val="0"/>
        <w:autoSpaceDN w:val="0"/>
        <w:adjustRightInd w:val="0"/>
        <w:spacing w:line="240" w:lineRule="auto"/>
        <w:ind w:left="640" w:hanging="640"/>
        <w:rPr>
          <w:rFonts w:cs="Times New Roman"/>
          <w:noProof/>
          <w:szCs w:val="24"/>
        </w:rPr>
      </w:pPr>
      <w:r w:rsidRPr="00E95567">
        <w:rPr>
          <w:rFonts w:cs="Times New Roman"/>
          <w:noProof/>
          <w:szCs w:val="24"/>
        </w:rPr>
        <w:t xml:space="preserve">3. </w:t>
      </w:r>
      <w:r w:rsidRPr="00E95567">
        <w:rPr>
          <w:rFonts w:cs="Times New Roman"/>
          <w:noProof/>
          <w:szCs w:val="24"/>
        </w:rPr>
        <w:tab/>
        <w:t xml:space="preserve">Sempere AP, Porta-Etessama J, Medrano V, Garcia-Morales I, Concepcións L, Ramos A, et al. Neuroimaging in the evaluation of patients with non-acute headache. Cephalalgia. 2005; </w:t>
      </w:r>
    </w:p>
    <w:p w14:paraId="7A3CA962" w14:textId="77777777" w:rsidR="00E95567" w:rsidRPr="00E95567" w:rsidRDefault="00E95567" w:rsidP="00E95567">
      <w:pPr>
        <w:widowControl w:val="0"/>
        <w:autoSpaceDE w:val="0"/>
        <w:autoSpaceDN w:val="0"/>
        <w:adjustRightInd w:val="0"/>
        <w:spacing w:line="240" w:lineRule="auto"/>
        <w:ind w:left="640" w:hanging="640"/>
        <w:rPr>
          <w:rFonts w:cs="Times New Roman"/>
          <w:noProof/>
          <w:szCs w:val="24"/>
        </w:rPr>
      </w:pPr>
      <w:r w:rsidRPr="00E95567">
        <w:rPr>
          <w:rFonts w:cs="Times New Roman"/>
          <w:noProof/>
          <w:szCs w:val="24"/>
        </w:rPr>
        <w:t xml:space="preserve">4. </w:t>
      </w:r>
      <w:r w:rsidRPr="00E95567">
        <w:rPr>
          <w:rFonts w:cs="Times New Roman"/>
          <w:noProof/>
          <w:szCs w:val="24"/>
        </w:rPr>
        <w:tab/>
        <w:t xml:space="preserve">Do V, Gebski V, Barton MB. The effect of waiting for radiotherapy for grade III/IV gliomas. Radiother Oncol. 2000;57(2):131–6. </w:t>
      </w:r>
    </w:p>
    <w:p w14:paraId="043B0F7D" w14:textId="77777777" w:rsidR="00E95567" w:rsidRPr="00E95567" w:rsidRDefault="00E95567" w:rsidP="00E95567">
      <w:pPr>
        <w:widowControl w:val="0"/>
        <w:autoSpaceDE w:val="0"/>
        <w:autoSpaceDN w:val="0"/>
        <w:adjustRightInd w:val="0"/>
        <w:spacing w:line="240" w:lineRule="auto"/>
        <w:ind w:left="640" w:hanging="640"/>
        <w:rPr>
          <w:rFonts w:cs="Times New Roman"/>
          <w:noProof/>
          <w:szCs w:val="24"/>
        </w:rPr>
      </w:pPr>
      <w:r w:rsidRPr="00E95567">
        <w:rPr>
          <w:rFonts w:cs="Times New Roman"/>
          <w:noProof/>
          <w:szCs w:val="24"/>
        </w:rPr>
        <w:t xml:space="preserve">5. </w:t>
      </w:r>
      <w:r w:rsidRPr="00E95567">
        <w:rPr>
          <w:rFonts w:cs="Times New Roman"/>
          <w:noProof/>
          <w:szCs w:val="24"/>
        </w:rPr>
        <w:tab/>
        <w:t xml:space="preserve">Aggarwal A, Herz N, Campbell P, Arkush L, Short S, Rees J. Diagnostic delay and survival in high-grade gliomas - Evidence of the “waiting time paradox”? Br J Neurosurg. 2015;29(4):520–3. </w:t>
      </w:r>
    </w:p>
    <w:p w14:paraId="68CDDDB0" w14:textId="77777777" w:rsidR="00E95567" w:rsidRPr="00E95567" w:rsidRDefault="00E95567" w:rsidP="00E95567">
      <w:pPr>
        <w:widowControl w:val="0"/>
        <w:autoSpaceDE w:val="0"/>
        <w:autoSpaceDN w:val="0"/>
        <w:adjustRightInd w:val="0"/>
        <w:spacing w:line="240" w:lineRule="auto"/>
        <w:ind w:left="640" w:hanging="640"/>
        <w:rPr>
          <w:rFonts w:cs="Times New Roman"/>
          <w:noProof/>
          <w:szCs w:val="24"/>
        </w:rPr>
      </w:pPr>
      <w:r w:rsidRPr="00E95567">
        <w:rPr>
          <w:rFonts w:cs="Times New Roman"/>
          <w:noProof/>
          <w:szCs w:val="24"/>
        </w:rPr>
        <w:t xml:space="preserve">6. </w:t>
      </w:r>
      <w:r w:rsidRPr="00E95567">
        <w:rPr>
          <w:rFonts w:cs="Times New Roman"/>
          <w:noProof/>
          <w:szCs w:val="24"/>
        </w:rPr>
        <w:tab/>
        <w:t xml:space="preserve">Garside R, Pitt M, Anderson R, Dyer G, Mealing S, Somerville M, et al. The effectiveness and cost-effectiveness of carmustine implants and temozolomide for the treatment of newly diagnosed high-grade glioma: A systematic review and economic evaluation. Health Technology Assessment. 2007. </w:t>
      </w:r>
    </w:p>
    <w:p w14:paraId="3CBE9A61" w14:textId="77777777" w:rsidR="00E95567" w:rsidRPr="00E95567" w:rsidRDefault="00E95567" w:rsidP="00E95567">
      <w:pPr>
        <w:widowControl w:val="0"/>
        <w:autoSpaceDE w:val="0"/>
        <w:autoSpaceDN w:val="0"/>
        <w:adjustRightInd w:val="0"/>
        <w:spacing w:line="240" w:lineRule="auto"/>
        <w:ind w:left="640" w:hanging="640"/>
        <w:rPr>
          <w:rFonts w:cs="Times New Roman"/>
          <w:noProof/>
          <w:szCs w:val="24"/>
        </w:rPr>
      </w:pPr>
      <w:r w:rsidRPr="00E95567">
        <w:rPr>
          <w:rFonts w:cs="Times New Roman"/>
          <w:noProof/>
          <w:szCs w:val="24"/>
        </w:rPr>
        <w:t xml:space="preserve">7. </w:t>
      </w:r>
      <w:r w:rsidRPr="00E95567">
        <w:rPr>
          <w:rFonts w:cs="Times New Roman"/>
          <w:noProof/>
          <w:szCs w:val="24"/>
        </w:rPr>
        <w:tab/>
        <w:t xml:space="preserve">Cameron JM, Butler HJ, Smith BR, Hegarty MG, Jenkinson MD, Syed K, et al. Developing infrared spectroscopic detection for stratifying brain tumour patients: Glioblastoma multiforme: Vs. lymphoma. Analyst. 2019;144(22):6736–50. </w:t>
      </w:r>
    </w:p>
    <w:p w14:paraId="77355539" w14:textId="77777777" w:rsidR="00E95567" w:rsidRPr="00E95567" w:rsidRDefault="00E95567" w:rsidP="00E95567">
      <w:pPr>
        <w:widowControl w:val="0"/>
        <w:autoSpaceDE w:val="0"/>
        <w:autoSpaceDN w:val="0"/>
        <w:adjustRightInd w:val="0"/>
        <w:spacing w:line="240" w:lineRule="auto"/>
        <w:ind w:left="640" w:hanging="640"/>
        <w:rPr>
          <w:rFonts w:cs="Times New Roman"/>
          <w:noProof/>
        </w:rPr>
      </w:pPr>
      <w:r w:rsidRPr="00E95567">
        <w:rPr>
          <w:rFonts w:cs="Times New Roman"/>
          <w:noProof/>
          <w:szCs w:val="24"/>
        </w:rPr>
        <w:t xml:space="preserve">8. </w:t>
      </w:r>
      <w:r w:rsidRPr="00E95567">
        <w:rPr>
          <w:rFonts w:cs="Times New Roman"/>
          <w:noProof/>
          <w:szCs w:val="24"/>
        </w:rPr>
        <w:tab/>
        <w:t xml:space="preserve">Haldorsen IS, Aarseth JH, Hollender A, Larsen JL, Espeland A, Mella O. Incidence, clinical features, treatment and outcome of primary central nervous system lymphoma in Norway: A ten-year national survey. Acta Oncol (Madr). 2004;43(6):520–9. </w:t>
      </w:r>
    </w:p>
    <w:p w14:paraId="301F1901" w14:textId="7B97FBF6" w:rsidR="00147E31" w:rsidRPr="00147E31" w:rsidRDefault="00147E31" w:rsidP="00147E31">
      <w:r>
        <w:lastRenderedPageBreak/>
        <w:fldChar w:fldCharType="end"/>
      </w:r>
    </w:p>
    <w:sectPr w:rsidR="00147E31" w:rsidRPr="00147E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231"/>
    <w:rsid w:val="000331CB"/>
    <w:rsid w:val="00064CC3"/>
    <w:rsid w:val="00147E31"/>
    <w:rsid w:val="001575E8"/>
    <w:rsid w:val="001D0494"/>
    <w:rsid w:val="001F4231"/>
    <w:rsid w:val="0021347E"/>
    <w:rsid w:val="00213C3B"/>
    <w:rsid w:val="002E1E64"/>
    <w:rsid w:val="00323AE9"/>
    <w:rsid w:val="003416D8"/>
    <w:rsid w:val="00402255"/>
    <w:rsid w:val="00475E20"/>
    <w:rsid w:val="004D33A7"/>
    <w:rsid w:val="004E49D8"/>
    <w:rsid w:val="00536F86"/>
    <w:rsid w:val="005535F6"/>
    <w:rsid w:val="005E2AA9"/>
    <w:rsid w:val="00672948"/>
    <w:rsid w:val="00682D5C"/>
    <w:rsid w:val="00690AE8"/>
    <w:rsid w:val="006E1F04"/>
    <w:rsid w:val="00716877"/>
    <w:rsid w:val="00950ADE"/>
    <w:rsid w:val="009614C0"/>
    <w:rsid w:val="0097676A"/>
    <w:rsid w:val="00A04021"/>
    <w:rsid w:val="00A4332F"/>
    <w:rsid w:val="00A50555"/>
    <w:rsid w:val="00AD67CA"/>
    <w:rsid w:val="00B244A9"/>
    <w:rsid w:val="00B37247"/>
    <w:rsid w:val="00BE5236"/>
    <w:rsid w:val="00C35F19"/>
    <w:rsid w:val="00C44D12"/>
    <w:rsid w:val="00D50B2D"/>
    <w:rsid w:val="00D57B47"/>
    <w:rsid w:val="00D67B65"/>
    <w:rsid w:val="00DC1340"/>
    <w:rsid w:val="00E32F1C"/>
    <w:rsid w:val="00E943BD"/>
    <w:rsid w:val="00E95567"/>
    <w:rsid w:val="00EB4994"/>
    <w:rsid w:val="00F50C8F"/>
    <w:rsid w:val="00FE0D0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544DD"/>
  <w15:chartTrackingRefBased/>
  <w15:docId w15:val="{0B49F2E5-10A7-48F7-9EFA-B121E928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231"/>
    <w:rPr>
      <w:rFonts w:ascii="Times New Roman" w:hAnsi="Times New Roman"/>
      <w:sz w:val="24"/>
    </w:rPr>
  </w:style>
  <w:style w:type="paragraph" w:styleId="Heading1">
    <w:name w:val="heading 1"/>
    <w:basedOn w:val="Normal"/>
    <w:next w:val="Normal"/>
    <w:link w:val="Heading1Char"/>
    <w:uiPriority w:val="9"/>
    <w:qFormat/>
    <w:rsid w:val="006E1F04"/>
    <w:pPr>
      <w:keepNext/>
      <w:keepLines/>
      <w:spacing w:before="240" w:after="0"/>
      <w:outlineLvl w:val="0"/>
    </w:pPr>
    <w:rPr>
      <w:rFonts w:eastAsiaTheme="majorEastAsia" w:cstheme="majorBid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6E1F04"/>
  </w:style>
  <w:style w:type="character" w:customStyle="1" w:styleId="Style1Char">
    <w:name w:val="Style1 Char"/>
    <w:basedOn w:val="DefaultParagraphFont"/>
    <w:link w:val="Style1"/>
    <w:rsid w:val="006E1F04"/>
    <w:rPr>
      <w:rFonts w:ascii="Times New Roman" w:hAnsi="Times New Roman"/>
      <w:sz w:val="24"/>
    </w:rPr>
  </w:style>
  <w:style w:type="character" w:customStyle="1" w:styleId="Heading1Char">
    <w:name w:val="Heading 1 Char"/>
    <w:basedOn w:val="DefaultParagraphFont"/>
    <w:link w:val="Heading1"/>
    <w:uiPriority w:val="9"/>
    <w:rsid w:val="006E1F04"/>
    <w:rPr>
      <w:rFonts w:ascii="Times New Roman" w:eastAsiaTheme="majorEastAsia" w:hAnsi="Times New Roman" w:cstheme="majorBidi"/>
      <w:color w:val="000000" w:themeColor="text1"/>
      <w:sz w:val="32"/>
      <w:szCs w:val="32"/>
    </w:rPr>
  </w:style>
  <w:style w:type="table" w:styleId="TableGrid">
    <w:name w:val="Table Grid"/>
    <w:basedOn w:val="TableNormal"/>
    <w:uiPriority w:val="39"/>
    <w:rsid w:val="001F4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F4231"/>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iPriority w:val="35"/>
    <w:unhideWhenUsed/>
    <w:qFormat/>
    <w:rsid w:val="001F4231"/>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D67B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B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image" Target="cid:image002.png@01D6D222.F323D0A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hart" Target="charts/chart2.xml"/><Relationship Id="rId11" Type="http://schemas.openxmlformats.org/officeDocument/2006/relationships/image" Target="media/image3.png"/><Relationship Id="rId5" Type="http://schemas.openxmlformats.org/officeDocument/2006/relationships/chart" Target="charts/chart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graye\Documents\ClinSpec%20New%20Cancers\ClinSpec%20diagnostic%20tree%20v2.6.xlsm"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graye\Documents\ClinSpec%20New%20Cancers\ClinSpec%20diagnostic%20tree%20v2.6.xlsm"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graye\Documents\ClinSpec%20New%20Cancers\ClinSpec%20diagnostic%20tree%20v2.6.xlsm"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graye\Documents\ClinSpec%20New%20Cancers\ClinSpec%20diagnostic%20tree%20v2.6.xlsm"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sz="1100"/>
              <a:t>Primary Care</a:t>
            </a:r>
          </a:p>
          <a:p>
            <a:pPr>
              <a:defRPr sz="1100"/>
            </a:pPr>
            <a:r>
              <a:rPr lang="en-GB" sz="1100"/>
              <a:t>Data Point Labels: </a:t>
            </a:r>
            <a:r>
              <a:rPr lang="en-GB" sz="1100" b="0" i="0" u="none" strike="noStrike" baseline="0">
                <a:effectLst/>
              </a:rPr>
              <a:t>Brain tumour prevalence (proportion)</a:t>
            </a:r>
            <a:endParaRPr lang="en-GB" sz="1100"/>
          </a:p>
        </c:rich>
      </c:tx>
      <c:layout>
        <c:manualLayout>
          <c:xMode val="edge"/>
          <c:yMode val="edge"/>
          <c:x val="0.24623755345449977"/>
          <c:y val="3.0973154265308899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scatterChart>
        <c:scatterStyle val="lineMarker"/>
        <c:varyColors val="0"/>
        <c:ser>
          <c:idx val="0"/>
          <c:order val="0"/>
          <c:tx>
            <c:v>100</c:v>
          </c:tx>
          <c:spPr>
            <a:ln w="28575" cap="rnd">
              <a:noFill/>
              <a:round/>
            </a:ln>
            <a:effectLst/>
          </c:spPr>
          <c:marker>
            <c:symbol val="circle"/>
            <c:size val="5"/>
            <c:spPr>
              <a:solidFill>
                <a:schemeClr val="accent1"/>
              </a:solidFill>
              <a:ln w="9525">
                <a:solidFill>
                  <a:schemeClr val="accent1"/>
                </a:solidFill>
              </a:ln>
              <a:effectLst/>
            </c:spPr>
          </c:marker>
          <c:dLbls>
            <c:dLbl>
              <c:idx val="0"/>
              <c:tx>
                <c:rich>
                  <a:bodyPr/>
                  <a:lstStyle/>
                  <a:p>
                    <a:fld id="{A0F09643-89D4-4836-80E0-9F30A6CE9A0A}" type="CELLRANGE">
                      <a:rPr lang="en-US"/>
                      <a:pPr/>
                      <a:t>[CELLRANGE]</a:t>
                    </a:fld>
                    <a:endParaRPr lang="en-GB"/>
                  </a:p>
                </c:rich>
              </c:tx>
              <c:dLblPos val="t"/>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0-D48D-436D-A783-97D99767538F}"/>
                </c:ext>
              </c:extLst>
            </c:dLbl>
            <c:dLbl>
              <c:idx val="1"/>
              <c:tx>
                <c:rich>
                  <a:bodyPr/>
                  <a:lstStyle/>
                  <a:p>
                    <a:fld id="{1B031B42-B3C6-4B21-90ED-ABCAC12031DD}" type="CELLRANGE">
                      <a:rPr lang="en-GB"/>
                      <a:pPr/>
                      <a:t>[CELLRANGE]</a:t>
                    </a:fld>
                    <a:endParaRPr lang="en-GB"/>
                  </a:p>
                </c:rich>
              </c:tx>
              <c:dLblPos val="t"/>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D48D-436D-A783-97D99767538F}"/>
                </c:ext>
              </c:extLst>
            </c:dLbl>
            <c:dLbl>
              <c:idx val="2"/>
              <c:tx>
                <c:rich>
                  <a:bodyPr/>
                  <a:lstStyle/>
                  <a:p>
                    <a:fld id="{2D36F89D-7D7A-47DE-8AC5-B35203E9A0C7}" type="CELLRANGE">
                      <a:rPr lang="en-GB"/>
                      <a:pPr/>
                      <a:t>[CELLRANGE]</a:t>
                    </a:fld>
                    <a:endParaRPr lang="en-GB"/>
                  </a:p>
                </c:rich>
              </c:tx>
              <c:dLblPos val="t"/>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D48D-436D-A783-97D99767538F}"/>
                </c:ext>
              </c:extLst>
            </c:dLbl>
            <c:dLbl>
              <c:idx val="3"/>
              <c:tx>
                <c:rich>
                  <a:bodyPr/>
                  <a:lstStyle/>
                  <a:p>
                    <a:fld id="{FD013EA3-F338-4A86-872C-144B3006679D}" type="CELLRANGE">
                      <a:rPr lang="en-US" sz="1000" b="1"/>
                      <a:pPr/>
                      <a:t>[CELLRANGE]</a:t>
                    </a:fld>
                    <a:endParaRPr lang="en-GB"/>
                  </a:p>
                </c:rich>
              </c:tx>
              <c:dLblPos val="t"/>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3-D48D-436D-A783-97D99767538F}"/>
                </c:ext>
              </c:extLst>
            </c:dLbl>
            <c:dLbl>
              <c:idx val="4"/>
              <c:tx>
                <c:rich>
                  <a:bodyPr/>
                  <a:lstStyle/>
                  <a:p>
                    <a:fld id="{8BCB1E80-03CE-434F-85B3-28EFF46F9C5D}" type="CELLRANGE">
                      <a:rPr lang="en-GB"/>
                      <a:pPr/>
                      <a:t>[CELLRANGE]</a:t>
                    </a:fld>
                    <a:endParaRPr lang="en-GB"/>
                  </a:p>
                </c:rich>
              </c:tx>
              <c:dLblPos val="t"/>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D48D-436D-A783-97D99767538F}"/>
                </c:ext>
              </c:extLst>
            </c:dLbl>
            <c:dLbl>
              <c:idx val="5"/>
              <c:tx>
                <c:rich>
                  <a:bodyPr/>
                  <a:lstStyle/>
                  <a:p>
                    <a:fld id="{804241A2-041D-4B02-9E87-029F60D605CE}" type="CELLRANGE">
                      <a:rPr lang="en-GB"/>
                      <a:pPr/>
                      <a:t>[CELLRANGE]</a:t>
                    </a:fld>
                    <a:endParaRPr lang="en-GB"/>
                  </a:p>
                </c:rich>
              </c:tx>
              <c:dLblPos val="t"/>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5-D48D-436D-A783-97D99767538F}"/>
                </c:ext>
              </c:extLst>
            </c:dLbl>
            <c:dLbl>
              <c:idx val="6"/>
              <c:tx>
                <c:rich>
                  <a:bodyPr/>
                  <a:lstStyle/>
                  <a:p>
                    <a:fld id="{E5C14586-0F84-43DE-B66D-690A2842C47C}" type="CELLRANGE">
                      <a:rPr lang="en-GB"/>
                      <a:pPr/>
                      <a:t>[CELLRANGE]</a:t>
                    </a:fld>
                    <a:endParaRPr lang="en-GB"/>
                  </a:p>
                </c:rich>
              </c:tx>
              <c:dLblPos val="t"/>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6-D48D-436D-A783-97D99767538F}"/>
                </c:ext>
              </c:extLst>
            </c:dLbl>
            <c:dLbl>
              <c:idx val="7"/>
              <c:tx>
                <c:rich>
                  <a:bodyPr/>
                  <a:lstStyle/>
                  <a:p>
                    <a:fld id="{36E8FA45-DF79-4EAE-8BF8-FF3AD7B0FB55}" type="CELLRANGE">
                      <a:rPr lang="en-GB"/>
                      <a:pPr/>
                      <a:t>[CELLRANGE]</a:t>
                    </a:fld>
                    <a:endParaRPr lang="en-GB"/>
                  </a:p>
                </c:rich>
              </c:tx>
              <c:dLblPos val="t"/>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7-D48D-436D-A783-97D99767538F}"/>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t"/>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trendline>
            <c:spPr>
              <a:ln w="19050" cap="rnd">
                <a:noFill/>
                <a:prstDash val="sysDot"/>
              </a:ln>
              <a:effectLst/>
            </c:spPr>
            <c:trendlineType val="linear"/>
            <c:dispRSqr val="0"/>
            <c:dispEq val="0"/>
          </c:trendline>
          <c:xVal>
            <c:numRef>
              <c:f>Prev!$B$47:$B$54</c:f>
              <c:numCache>
                <c:formatCode>0.00</c:formatCode>
                <c:ptCount val="8"/>
                <c:pt idx="0">
                  <c:v>3.8449116114352364</c:v>
                </c:pt>
                <c:pt idx="1">
                  <c:v>7.6898232228704728</c:v>
                </c:pt>
                <c:pt idx="2">
                  <c:v>11.534734834305709</c:v>
                </c:pt>
                <c:pt idx="3">
                  <c:v>15.379646445744584</c:v>
                </c:pt>
                <c:pt idx="4">
                  <c:v>19.22455805717982</c:v>
                </c:pt>
                <c:pt idx="5">
                  <c:v>23.069469668622332</c:v>
                </c:pt>
                <c:pt idx="6">
                  <c:v>26.914381280057569</c:v>
                </c:pt>
                <c:pt idx="7">
                  <c:v>30.759292891492805</c:v>
                </c:pt>
              </c:numCache>
            </c:numRef>
          </c:xVal>
          <c:yVal>
            <c:numRef>
              <c:f>Prev!$C$47:$C$54</c:f>
              <c:numCache>
                <c:formatCode>0.00</c:formatCode>
                <c:ptCount val="8"/>
                <c:pt idx="0">
                  <c:v>193554.92700372607</c:v>
                </c:pt>
                <c:pt idx="1">
                  <c:v>197109.85400745319</c:v>
                </c:pt>
                <c:pt idx="2">
                  <c:v>200664.78101118031</c:v>
                </c:pt>
                <c:pt idx="3">
                  <c:v>204219.70801490743</c:v>
                </c:pt>
                <c:pt idx="4">
                  <c:v>207774.6350186335</c:v>
                </c:pt>
                <c:pt idx="5">
                  <c:v>211329.56202236062</c:v>
                </c:pt>
                <c:pt idx="6">
                  <c:v>214884.48902608774</c:v>
                </c:pt>
                <c:pt idx="7">
                  <c:v>218439.41602981588</c:v>
                </c:pt>
              </c:numCache>
            </c:numRef>
          </c:yVal>
          <c:smooth val="0"/>
          <c:extLst>
            <c:ext xmlns:c15="http://schemas.microsoft.com/office/drawing/2012/chart" uri="{02D57815-91ED-43cb-92C2-25804820EDAC}">
              <c15:datalabelsRange>
                <c15:f>Prev!$A$47:$A$54</c15:f>
                <c15:dlblRangeCache>
                  <c:ptCount val="8"/>
                  <c:pt idx="0">
                    <c:v>0.0025</c:v>
                  </c:pt>
                  <c:pt idx="1">
                    <c:v>0.005</c:v>
                  </c:pt>
                  <c:pt idx="2">
                    <c:v>0.0075</c:v>
                  </c:pt>
                  <c:pt idx="3">
                    <c:v>0.01</c:v>
                  </c:pt>
                  <c:pt idx="4">
                    <c:v>0.0125</c:v>
                  </c:pt>
                  <c:pt idx="5">
                    <c:v>0.015</c:v>
                  </c:pt>
                  <c:pt idx="6">
                    <c:v>0.0175</c:v>
                  </c:pt>
                  <c:pt idx="7">
                    <c:v>0.02</c:v>
                  </c:pt>
                </c15:dlblRangeCache>
              </c15:datalabelsRange>
            </c:ext>
            <c:ext xmlns:c16="http://schemas.microsoft.com/office/drawing/2014/chart" uri="{C3380CC4-5D6E-409C-BE32-E72D297353CC}">
              <c16:uniqueId val="{00000009-D48D-436D-A783-97D99767538F}"/>
            </c:ext>
          </c:extLst>
        </c:ser>
        <c:ser>
          <c:idx val="1"/>
          <c:order val="1"/>
          <c:tx>
            <c:v>Reference</c:v>
          </c:tx>
          <c:spPr>
            <a:ln w="25400" cap="rnd">
              <a:noFill/>
              <a:round/>
            </a:ln>
            <a:effectLst/>
          </c:spPr>
          <c:marker>
            <c:symbol val="none"/>
          </c:marker>
          <c:trendline>
            <c:spPr>
              <a:ln w="19050" cap="rnd">
                <a:solidFill>
                  <a:schemeClr val="accent2"/>
                </a:solidFill>
                <a:prstDash val="sysDot"/>
              </a:ln>
              <a:effectLst/>
            </c:spPr>
            <c:trendlineType val="linear"/>
            <c:dispRSqr val="0"/>
            <c:dispEq val="0"/>
          </c:trendline>
          <c:trendline>
            <c:spPr>
              <a:ln w="19050" cap="rnd">
                <a:solidFill>
                  <a:schemeClr val="accent2"/>
                </a:solidFill>
                <a:prstDash val="solid"/>
              </a:ln>
              <a:effectLst/>
            </c:spPr>
            <c:trendlineType val="linear"/>
            <c:dispRSqr val="0"/>
            <c:dispEq val="0"/>
          </c:trendline>
          <c:xVal>
            <c:numRef>
              <c:f>'HR SA'!$J$20:$J$21</c:f>
              <c:numCache>
                <c:formatCode>General</c:formatCode>
                <c:ptCount val="2"/>
                <c:pt idx="0">
                  <c:v>0</c:v>
                </c:pt>
                <c:pt idx="1">
                  <c:v>15</c:v>
                </c:pt>
              </c:numCache>
            </c:numRef>
          </c:xVal>
          <c:yVal>
            <c:numRef>
              <c:f>'HR SA'!$K$20:$K$21</c:f>
              <c:numCache>
                <c:formatCode>General</c:formatCode>
                <c:ptCount val="2"/>
                <c:pt idx="0">
                  <c:v>0</c:v>
                </c:pt>
                <c:pt idx="1">
                  <c:v>300000</c:v>
                </c:pt>
              </c:numCache>
            </c:numRef>
          </c:yVal>
          <c:smooth val="0"/>
          <c:extLst>
            <c:ext xmlns:c16="http://schemas.microsoft.com/office/drawing/2014/chart" uri="{C3380CC4-5D6E-409C-BE32-E72D297353CC}">
              <c16:uniqueId val="{0000000C-D48D-436D-A783-97D99767538F}"/>
            </c:ext>
          </c:extLst>
        </c:ser>
        <c:ser>
          <c:idx val="2"/>
          <c:order val="2"/>
          <c:tx>
            <c:v>50</c:v>
          </c:tx>
          <c:spPr>
            <a:ln w="25400" cap="rnd">
              <a:noFill/>
              <a:round/>
            </a:ln>
            <a:effectLst/>
          </c:spPr>
          <c:marker>
            <c:symbol val="circle"/>
            <c:size val="5"/>
            <c:spPr>
              <a:solidFill>
                <a:schemeClr val="accent3"/>
              </a:solidFill>
              <a:ln w="9525">
                <a:solidFill>
                  <a:schemeClr val="accent3"/>
                </a:solidFill>
              </a:ln>
              <a:effectLst/>
            </c:spPr>
          </c:marker>
          <c:dLbls>
            <c:dLbl>
              <c:idx val="0"/>
              <c:tx>
                <c:rich>
                  <a:bodyPr/>
                  <a:lstStyle/>
                  <a:p>
                    <a:fld id="{8AAE7E7A-71A6-4B7B-BE09-2C47DD021DC9}" type="CELLRANGE">
                      <a:rPr lang="en-US"/>
                      <a:pPr/>
                      <a:t>[CELLRANGE]</a:t>
                    </a:fld>
                    <a:endParaRPr lang="en-GB"/>
                  </a:p>
                </c:rich>
              </c:tx>
              <c:dLblPos val="t"/>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D-D48D-436D-A783-97D99767538F}"/>
                </c:ext>
              </c:extLst>
            </c:dLbl>
            <c:dLbl>
              <c:idx val="1"/>
              <c:tx>
                <c:rich>
                  <a:bodyPr/>
                  <a:lstStyle/>
                  <a:p>
                    <a:fld id="{A17998ED-ECB7-4425-A452-9DC92E4AC4A4}" type="CELLRANGE">
                      <a:rPr lang="en-GB"/>
                      <a:pPr/>
                      <a:t>[CELLRANGE]</a:t>
                    </a:fld>
                    <a:endParaRPr lang="en-GB"/>
                  </a:p>
                </c:rich>
              </c:tx>
              <c:dLblPos val="t"/>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E-D48D-436D-A783-97D99767538F}"/>
                </c:ext>
              </c:extLst>
            </c:dLbl>
            <c:dLbl>
              <c:idx val="2"/>
              <c:tx>
                <c:rich>
                  <a:bodyPr/>
                  <a:lstStyle/>
                  <a:p>
                    <a:fld id="{49C3AE51-07A6-4A09-A291-CFC0D176CE21}" type="CELLRANGE">
                      <a:rPr lang="en-GB"/>
                      <a:pPr/>
                      <a:t>[CELLRANGE]</a:t>
                    </a:fld>
                    <a:endParaRPr lang="en-GB"/>
                  </a:p>
                </c:rich>
              </c:tx>
              <c:dLblPos val="t"/>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F-D48D-436D-A783-97D99767538F}"/>
                </c:ext>
              </c:extLst>
            </c:dLbl>
            <c:dLbl>
              <c:idx val="3"/>
              <c:tx>
                <c:rich>
                  <a:bodyPr/>
                  <a:lstStyle/>
                  <a:p>
                    <a:fld id="{9CE707D9-E25A-4506-8810-58569A939790}" type="CELLRANGE">
                      <a:rPr lang="en-US" sz="1000" b="1"/>
                      <a:pPr/>
                      <a:t>[CELLRANGE]</a:t>
                    </a:fld>
                    <a:endParaRPr lang="en-GB"/>
                  </a:p>
                </c:rich>
              </c:tx>
              <c:dLblPos val="t"/>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0-D48D-436D-A783-97D99767538F}"/>
                </c:ext>
              </c:extLst>
            </c:dLbl>
            <c:dLbl>
              <c:idx val="4"/>
              <c:tx>
                <c:rich>
                  <a:bodyPr/>
                  <a:lstStyle/>
                  <a:p>
                    <a:fld id="{17BE2B18-B5E7-47F6-94BB-63511594D185}" type="CELLRANGE">
                      <a:rPr lang="en-GB"/>
                      <a:pPr/>
                      <a:t>[CELLRANGE]</a:t>
                    </a:fld>
                    <a:endParaRPr lang="en-GB"/>
                  </a:p>
                </c:rich>
              </c:tx>
              <c:dLblPos val="t"/>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1-D48D-436D-A783-97D99767538F}"/>
                </c:ext>
              </c:extLst>
            </c:dLbl>
            <c:dLbl>
              <c:idx val="5"/>
              <c:tx>
                <c:rich>
                  <a:bodyPr/>
                  <a:lstStyle/>
                  <a:p>
                    <a:fld id="{AF877BB2-3F11-46B1-B956-4FCF1C28A846}" type="CELLRANGE">
                      <a:rPr lang="en-GB"/>
                      <a:pPr/>
                      <a:t>[CELLRANGE]</a:t>
                    </a:fld>
                    <a:endParaRPr lang="en-GB"/>
                  </a:p>
                </c:rich>
              </c:tx>
              <c:dLblPos val="t"/>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2-D48D-436D-A783-97D99767538F}"/>
                </c:ext>
              </c:extLst>
            </c:dLbl>
            <c:dLbl>
              <c:idx val="6"/>
              <c:tx>
                <c:rich>
                  <a:bodyPr/>
                  <a:lstStyle/>
                  <a:p>
                    <a:fld id="{F0849994-20B9-47EF-A9BE-5F73C1D781F0}" type="CELLRANGE">
                      <a:rPr lang="en-GB"/>
                      <a:pPr/>
                      <a:t>[CELLRANGE]</a:t>
                    </a:fld>
                    <a:endParaRPr lang="en-GB"/>
                  </a:p>
                </c:rich>
              </c:tx>
              <c:dLblPos val="t"/>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3-D48D-436D-A783-97D99767538F}"/>
                </c:ext>
              </c:extLst>
            </c:dLbl>
            <c:dLbl>
              <c:idx val="7"/>
              <c:tx>
                <c:rich>
                  <a:bodyPr/>
                  <a:lstStyle/>
                  <a:p>
                    <a:fld id="{EDB2DFA8-454B-4981-8750-B413ECF8D9AE}" type="CELLRANGE">
                      <a:rPr lang="en-GB"/>
                      <a:pPr/>
                      <a:t>[CELLRANGE]</a:t>
                    </a:fld>
                    <a:endParaRPr lang="en-GB"/>
                  </a:p>
                </c:rich>
              </c:tx>
              <c:dLblPos val="t"/>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4-D48D-436D-A783-97D99767538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t"/>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xVal>
            <c:numRef>
              <c:f>Prev!$B$32:$B$39</c:f>
              <c:numCache>
                <c:formatCode>0</c:formatCode>
                <c:ptCount val="8"/>
                <c:pt idx="0">
                  <c:v>3.8449116114352364</c:v>
                </c:pt>
                <c:pt idx="1">
                  <c:v>7.6898232228704728</c:v>
                </c:pt>
                <c:pt idx="2">
                  <c:v>11.534734834305709</c:v>
                </c:pt>
                <c:pt idx="3">
                  <c:v>15.379646445744584</c:v>
                </c:pt>
                <c:pt idx="4">
                  <c:v>19.22455805717982</c:v>
                </c:pt>
                <c:pt idx="5">
                  <c:v>23.069469668622332</c:v>
                </c:pt>
                <c:pt idx="6">
                  <c:v>26.914381280057569</c:v>
                </c:pt>
                <c:pt idx="7">
                  <c:v>30.759292891492805</c:v>
                </c:pt>
              </c:numCache>
            </c:numRef>
          </c:xVal>
          <c:yVal>
            <c:numRef>
              <c:f>Prev!$C$32:$C$39</c:f>
              <c:numCache>
                <c:formatCode>0</c:formatCode>
                <c:ptCount val="8"/>
                <c:pt idx="0">
                  <c:v>-306445.07299627393</c:v>
                </c:pt>
                <c:pt idx="1">
                  <c:v>-302890.14599254681</c:v>
                </c:pt>
                <c:pt idx="2">
                  <c:v>-299335.21898881969</c:v>
                </c:pt>
                <c:pt idx="3">
                  <c:v>-295780.29198509257</c:v>
                </c:pt>
                <c:pt idx="4">
                  <c:v>-292225.3649813665</c:v>
                </c:pt>
                <c:pt idx="5">
                  <c:v>-288670.43797763938</c:v>
                </c:pt>
                <c:pt idx="6">
                  <c:v>-285115.51097391226</c:v>
                </c:pt>
                <c:pt idx="7">
                  <c:v>-281560.58397018409</c:v>
                </c:pt>
              </c:numCache>
            </c:numRef>
          </c:yVal>
          <c:smooth val="0"/>
          <c:extLst>
            <c:ext xmlns:c15="http://schemas.microsoft.com/office/drawing/2012/chart" uri="{02D57815-91ED-43cb-92C2-25804820EDAC}">
              <c15:datalabelsRange>
                <c15:f>Prev!$A$47:$A$54</c15:f>
                <c15:dlblRangeCache>
                  <c:ptCount val="8"/>
                  <c:pt idx="0">
                    <c:v>0.0025</c:v>
                  </c:pt>
                  <c:pt idx="1">
                    <c:v>0.005</c:v>
                  </c:pt>
                  <c:pt idx="2">
                    <c:v>0.0075</c:v>
                  </c:pt>
                  <c:pt idx="3">
                    <c:v>0.01</c:v>
                  </c:pt>
                  <c:pt idx="4">
                    <c:v>0.0125</c:v>
                  </c:pt>
                  <c:pt idx="5">
                    <c:v>0.015</c:v>
                  </c:pt>
                  <c:pt idx="6">
                    <c:v>0.0175</c:v>
                  </c:pt>
                  <c:pt idx="7">
                    <c:v>0.02</c:v>
                  </c:pt>
                </c15:dlblRangeCache>
              </c15:datalabelsRange>
            </c:ext>
            <c:ext xmlns:c16="http://schemas.microsoft.com/office/drawing/2014/chart" uri="{C3380CC4-5D6E-409C-BE32-E72D297353CC}">
              <c16:uniqueId val="{00000015-D48D-436D-A783-97D99767538F}"/>
            </c:ext>
          </c:extLst>
        </c:ser>
        <c:dLbls>
          <c:showLegendKey val="0"/>
          <c:showVal val="0"/>
          <c:showCatName val="0"/>
          <c:showSerName val="0"/>
          <c:showPercent val="0"/>
          <c:showBubbleSize val="0"/>
        </c:dLbls>
        <c:axId val="729697320"/>
        <c:axId val="729700928"/>
      </c:scatterChart>
      <c:valAx>
        <c:axId val="72969732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a:t>Incremental QALYs </a:t>
                </a:r>
              </a:p>
              <a:p>
                <a:pPr>
                  <a:defRPr/>
                </a:pPr>
                <a:r>
                  <a:rPr lang="en-GB"/>
                  <a:t>(per 10K patients)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729700928"/>
        <c:crosses val="autoZero"/>
        <c:crossBetween val="midCat"/>
      </c:valAx>
      <c:valAx>
        <c:axId val="729700928"/>
        <c:scaling>
          <c:orientation val="minMax"/>
          <c:max val="3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a:t>Incremental cost</a:t>
                </a:r>
              </a:p>
              <a:p>
                <a:pPr>
                  <a:defRPr/>
                </a:pPr>
                <a:r>
                  <a:rPr lang="en-GB"/>
                  <a:t>(per 10K patients)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729697320"/>
        <c:crosses val="autoZero"/>
        <c:crossBetween val="midCat"/>
        <c:dispUnits>
          <c:builtInUnit val="hundredThousands"/>
          <c:dispUnitsLbl>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a:t>£100K</a:t>
                  </a:r>
                </a:p>
              </c:rich>
            </c:tx>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dispUnitsLbl>
        </c:dispUnits>
      </c:valAx>
      <c:spPr>
        <a:noFill/>
        <a:ln>
          <a:noFill/>
        </a:ln>
        <a:effectLst/>
      </c:spPr>
    </c:plotArea>
    <c:plotVisOnly val="1"/>
    <c:dispBlanksAs val="gap"/>
    <c:showDLblsOverMax val="0"/>
  </c:chart>
  <c:spPr>
    <a:solidFill>
      <a:schemeClr val="bg1"/>
    </a:solidFill>
    <a:ln w="9525" cap="flat" cmpd="sng" algn="ctr">
      <a:solidFill>
        <a:schemeClr val="accent1"/>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sz="1100"/>
              <a:t>Secondary Care</a:t>
            </a:r>
          </a:p>
          <a:p>
            <a:pPr>
              <a:defRPr sz="1100"/>
            </a:pPr>
            <a:r>
              <a:rPr lang="en-GB" sz="1100" b="0" i="0" u="none" strike="noStrike" baseline="0">
                <a:effectLst/>
              </a:rPr>
              <a:t>Data Point Labels</a:t>
            </a:r>
            <a:r>
              <a:rPr lang="en-GB" sz="1100"/>
              <a:t>: Brain</a:t>
            </a:r>
            <a:r>
              <a:rPr lang="en-GB" sz="1100" baseline="0"/>
              <a:t> tumour prevalence (proportion)</a:t>
            </a:r>
            <a:r>
              <a:rPr lang="en-GB" sz="1100"/>
              <a:t> </a:t>
            </a:r>
          </a:p>
        </c:rich>
      </c:tx>
      <c:layout>
        <c:manualLayout>
          <c:xMode val="edge"/>
          <c:yMode val="edge"/>
          <c:x val="0.23827839434983103"/>
          <c:y val="3.8035724175754404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scatterChart>
        <c:scatterStyle val="lineMarker"/>
        <c:varyColors val="0"/>
        <c:ser>
          <c:idx val="0"/>
          <c:order val="0"/>
          <c:tx>
            <c:v>100</c:v>
          </c:tx>
          <c:spPr>
            <a:ln w="28575" cap="rnd">
              <a:noFill/>
              <a:round/>
            </a:ln>
            <a:effectLst/>
          </c:spPr>
          <c:marker>
            <c:symbol val="circle"/>
            <c:size val="5"/>
            <c:spPr>
              <a:solidFill>
                <a:schemeClr val="accent1"/>
              </a:solidFill>
              <a:ln w="9525">
                <a:solidFill>
                  <a:schemeClr val="accent1"/>
                </a:solidFill>
              </a:ln>
              <a:effectLst/>
            </c:spPr>
          </c:marker>
          <c:dLbls>
            <c:dLbl>
              <c:idx val="0"/>
              <c:tx>
                <c:rich>
                  <a:bodyPr/>
                  <a:lstStyle/>
                  <a:p>
                    <a:fld id="{2F0ED184-B17B-4C6A-A35B-903F49042BFB}" type="CELLRANGE">
                      <a:rPr lang="en-US"/>
                      <a:pPr/>
                      <a:t>[CELLRANGE]</a:t>
                    </a:fld>
                    <a:endParaRPr lang="en-GB"/>
                  </a:p>
                </c:rich>
              </c:tx>
              <c:dLblPos val="t"/>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0-71A2-4C18-9674-9AF97DC92350}"/>
                </c:ext>
              </c:extLst>
            </c:dLbl>
            <c:dLbl>
              <c:idx val="1"/>
              <c:tx>
                <c:rich>
                  <a:bodyPr/>
                  <a:lstStyle/>
                  <a:p>
                    <a:fld id="{C58236F3-BB62-42DE-B028-CC5F5E8219DA}" type="CELLRANGE">
                      <a:rPr lang="en-GB"/>
                      <a:pPr/>
                      <a:t>[CELLRANGE]</a:t>
                    </a:fld>
                    <a:endParaRPr lang="en-GB"/>
                  </a:p>
                </c:rich>
              </c:tx>
              <c:dLblPos val="t"/>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71A2-4C18-9674-9AF97DC92350}"/>
                </c:ext>
              </c:extLst>
            </c:dLbl>
            <c:dLbl>
              <c:idx val="2"/>
              <c:tx>
                <c:rich>
                  <a:bodyPr rot="0" spcFirstLastPara="1" vertOverflow="ellipsis" vert="horz" wrap="square" anchor="ctr" anchorCtr="1"/>
                  <a:lstStyle/>
                  <a:p>
                    <a:pPr>
                      <a:defRPr sz="10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fld id="{90CF7D54-B364-4588-A00E-035FF58C5616}" type="CELLRANGE">
                      <a:rPr lang="en-GB"/>
                      <a:pPr>
                        <a:defRPr sz="1000" b="1"/>
                      </a:pPr>
                      <a:t>[CELLRANGE]</a:t>
                    </a:fld>
                    <a:endParaRPr lang="en-GB"/>
                  </a:p>
                </c:rich>
              </c:tx>
              <c:spPr>
                <a:noFill/>
                <a:ln>
                  <a:noFill/>
                </a:ln>
                <a:effectLst/>
              </c:spPr>
              <c:txPr>
                <a:bodyPr rot="0" spcFirstLastPara="1" vertOverflow="ellipsis" vert="horz" wrap="square" anchor="ctr" anchorCtr="1"/>
                <a:lstStyle/>
                <a:p>
                  <a:pPr>
                    <a:defRPr sz="10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t"/>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71A2-4C18-9674-9AF97DC92350}"/>
                </c:ext>
              </c:extLst>
            </c:dLbl>
            <c:dLbl>
              <c:idx val="3"/>
              <c:tx>
                <c:rich>
                  <a:bodyPr/>
                  <a:lstStyle/>
                  <a:p>
                    <a:fld id="{E4FF9003-849C-4DEA-A46B-DE31B57A0FBD}" type="CELLRANGE">
                      <a:rPr lang="en-GB"/>
                      <a:pPr/>
                      <a:t>[CELLRANGE]</a:t>
                    </a:fld>
                    <a:endParaRPr lang="en-GB"/>
                  </a:p>
                </c:rich>
              </c:tx>
              <c:dLblPos val="t"/>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71A2-4C18-9674-9AF97DC92350}"/>
                </c:ext>
              </c:extLst>
            </c:dLbl>
            <c:dLbl>
              <c:idx val="4"/>
              <c:tx>
                <c:rich>
                  <a:bodyPr/>
                  <a:lstStyle/>
                  <a:p>
                    <a:fld id="{346890CE-E6EF-46B6-8666-FDC51B1140C3}" type="CELLRANGE">
                      <a:rPr lang="en-GB"/>
                      <a:pPr/>
                      <a:t>[CELLRANGE]</a:t>
                    </a:fld>
                    <a:endParaRPr lang="en-GB"/>
                  </a:p>
                </c:rich>
              </c:tx>
              <c:dLblPos val="t"/>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71A2-4C18-9674-9AF97DC92350}"/>
                </c:ext>
              </c:extLst>
            </c:dLbl>
            <c:dLbl>
              <c:idx val="5"/>
              <c:tx>
                <c:rich>
                  <a:bodyPr/>
                  <a:lstStyle/>
                  <a:p>
                    <a:fld id="{70110C8D-7C73-4EDC-B5A4-B0A695BA6D9A}" type="CELLRANGE">
                      <a:rPr lang="en-GB"/>
                      <a:pPr/>
                      <a:t>[CELLRANGE]</a:t>
                    </a:fld>
                    <a:endParaRPr lang="en-GB"/>
                  </a:p>
                </c:rich>
              </c:tx>
              <c:dLblPos val="t"/>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5-71A2-4C18-9674-9AF97DC92350}"/>
                </c:ext>
              </c:extLst>
            </c:dLbl>
            <c:dLbl>
              <c:idx val="6"/>
              <c:tx>
                <c:rich>
                  <a:bodyPr/>
                  <a:lstStyle/>
                  <a:p>
                    <a:fld id="{6A49CDD2-59A2-4397-B8F9-2C2B125C65CA}" type="CELLRANGE">
                      <a:rPr lang="en-GB"/>
                      <a:pPr/>
                      <a:t>[CELLRANGE]</a:t>
                    </a:fld>
                    <a:endParaRPr lang="en-GB"/>
                  </a:p>
                </c:rich>
              </c:tx>
              <c:dLblPos val="t"/>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6-71A2-4C18-9674-9AF97DC92350}"/>
                </c:ext>
              </c:extLst>
            </c:dLbl>
            <c:dLbl>
              <c:idx val="7"/>
              <c:tx>
                <c:rich>
                  <a:bodyPr/>
                  <a:lstStyle/>
                  <a:p>
                    <a:fld id="{D738ADD3-2AAD-4FAC-B4FF-3868D4580D32}" type="CELLRANGE">
                      <a:rPr lang="en-GB"/>
                      <a:pPr/>
                      <a:t>[CELLRANGE]</a:t>
                    </a:fld>
                    <a:endParaRPr lang="en-GB"/>
                  </a:p>
                </c:rich>
              </c:tx>
              <c:dLblPos val="t"/>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7-71A2-4C18-9674-9AF97DC92350}"/>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t"/>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trendline>
            <c:spPr>
              <a:ln w="19050" cap="rnd">
                <a:noFill/>
                <a:prstDash val="sysDot"/>
              </a:ln>
              <a:effectLst/>
            </c:spPr>
            <c:trendlineType val="linear"/>
            <c:dispRSqr val="0"/>
            <c:dispEq val="0"/>
          </c:trendline>
          <c:xVal>
            <c:numRef>
              <c:f>Prev!$G$47:$G$54</c:f>
              <c:numCache>
                <c:formatCode>0.00</c:formatCode>
                <c:ptCount val="8"/>
                <c:pt idx="0">
                  <c:v>38.449116114366916</c:v>
                </c:pt>
                <c:pt idx="1">
                  <c:v>42.294027725802152</c:v>
                </c:pt>
                <c:pt idx="2">
                  <c:v>46.138939337237389</c:v>
                </c:pt>
                <c:pt idx="3">
                  <c:v>49.983850948672625</c:v>
                </c:pt>
                <c:pt idx="4">
                  <c:v>53.828762560107862</c:v>
                </c:pt>
                <c:pt idx="5">
                  <c:v>57.673674171543098</c:v>
                </c:pt>
                <c:pt idx="6">
                  <c:v>61.51858578298561</c:v>
                </c:pt>
                <c:pt idx="7">
                  <c:v>65.363497394420847</c:v>
                </c:pt>
              </c:numCache>
            </c:numRef>
          </c:xVal>
          <c:yVal>
            <c:numRef>
              <c:f>Prev!$H$47:$H$54</c:f>
              <c:numCache>
                <c:formatCode>0.00</c:formatCode>
                <c:ptCount val="8"/>
                <c:pt idx="0">
                  <c:v>1020108.6450372691</c:v>
                </c:pt>
                <c:pt idx="1">
                  <c:v>1022119.5095409962</c:v>
                </c:pt>
                <c:pt idx="2">
                  <c:v>1024130.3740447223</c:v>
                </c:pt>
                <c:pt idx="3">
                  <c:v>1026141.2385484494</c:v>
                </c:pt>
                <c:pt idx="4">
                  <c:v>1028152.1030521776</c:v>
                </c:pt>
                <c:pt idx="5">
                  <c:v>1030162.9675559036</c:v>
                </c:pt>
                <c:pt idx="6">
                  <c:v>1032173.8320596297</c:v>
                </c:pt>
                <c:pt idx="7">
                  <c:v>1034184.6965633568</c:v>
                </c:pt>
              </c:numCache>
            </c:numRef>
          </c:yVal>
          <c:smooth val="0"/>
          <c:extLst>
            <c:ext xmlns:c15="http://schemas.microsoft.com/office/drawing/2012/chart" uri="{02D57815-91ED-43cb-92C2-25804820EDAC}">
              <c15:datalabelsRange>
                <c15:f>Prev!$F$47:$F$54</c15:f>
                <c15:dlblRangeCache>
                  <c:ptCount val="8"/>
                  <c:pt idx="0">
                    <c:v>0.025</c:v>
                  </c:pt>
                  <c:pt idx="1">
                    <c:v>0.0275</c:v>
                  </c:pt>
                  <c:pt idx="2">
                    <c:v>0.03</c:v>
                  </c:pt>
                  <c:pt idx="3">
                    <c:v>0.0325</c:v>
                  </c:pt>
                  <c:pt idx="4">
                    <c:v>0.035</c:v>
                  </c:pt>
                  <c:pt idx="5">
                    <c:v>0.0375</c:v>
                  </c:pt>
                  <c:pt idx="6">
                    <c:v>0.04</c:v>
                  </c:pt>
                  <c:pt idx="7">
                    <c:v>0.0425</c:v>
                  </c:pt>
                </c15:dlblRangeCache>
              </c15:datalabelsRange>
            </c:ext>
            <c:ext xmlns:c16="http://schemas.microsoft.com/office/drawing/2014/chart" uri="{C3380CC4-5D6E-409C-BE32-E72D297353CC}">
              <c16:uniqueId val="{00000009-71A2-4C18-9674-9AF97DC92350}"/>
            </c:ext>
          </c:extLst>
        </c:ser>
        <c:ser>
          <c:idx val="1"/>
          <c:order val="1"/>
          <c:tx>
            <c:v>Reference</c:v>
          </c:tx>
          <c:spPr>
            <a:ln w="25400" cap="rnd">
              <a:noFill/>
              <a:round/>
            </a:ln>
            <a:effectLst/>
          </c:spPr>
          <c:marker>
            <c:symbol val="none"/>
          </c:marker>
          <c:trendline>
            <c:spPr>
              <a:ln w="19050" cap="rnd">
                <a:solidFill>
                  <a:schemeClr val="accent2"/>
                </a:solidFill>
                <a:prstDash val="sysDot"/>
              </a:ln>
              <a:effectLst/>
            </c:spPr>
            <c:trendlineType val="linear"/>
            <c:dispRSqr val="0"/>
            <c:dispEq val="0"/>
          </c:trendline>
          <c:trendline>
            <c:spPr>
              <a:ln w="19050" cap="rnd">
                <a:solidFill>
                  <a:schemeClr val="accent2"/>
                </a:solidFill>
                <a:prstDash val="solid"/>
              </a:ln>
              <a:effectLst/>
            </c:spPr>
            <c:trendlineType val="linear"/>
            <c:dispRSqr val="0"/>
            <c:dispEq val="0"/>
          </c:trendline>
          <c:xVal>
            <c:numRef>
              <c:f>'HR SA'!$J$2:$J$3</c:f>
              <c:numCache>
                <c:formatCode>General</c:formatCode>
                <c:ptCount val="2"/>
                <c:pt idx="0">
                  <c:v>0</c:v>
                </c:pt>
                <c:pt idx="1">
                  <c:v>60</c:v>
                </c:pt>
              </c:numCache>
            </c:numRef>
          </c:xVal>
          <c:yVal>
            <c:numRef>
              <c:f>'HR SA'!$K$2:$K$3</c:f>
              <c:numCache>
                <c:formatCode>General</c:formatCode>
                <c:ptCount val="2"/>
                <c:pt idx="0">
                  <c:v>0</c:v>
                </c:pt>
                <c:pt idx="1">
                  <c:v>1200000</c:v>
                </c:pt>
              </c:numCache>
            </c:numRef>
          </c:yVal>
          <c:smooth val="0"/>
          <c:extLst>
            <c:ext xmlns:c16="http://schemas.microsoft.com/office/drawing/2014/chart" uri="{C3380CC4-5D6E-409C-BE32-E72D297353CC}">
              <c16:uniqueId val="{0000000C-71A2-4C18-9674-9AF97DC92350}"/>
            </c:ext>
          </c:extLst>
        </c:ser>
        <c:ser>
          <c:idx val="2"/>
          <c:order val="2"/>
          <c:tx>
            <c:v>50</c:v>
          </c:tx>
          <c:spPr>
            <a:ln w="25400" cap="rnd">
              <a:noFill/>
              <a:round/>
            </a:ln>
            <a:effectLst/>
          </c:spPr>
          <c:marker>
            <c:symbol val="circle"/>
            <c:size val="5"/>
            <c:spPr>
              <a:solidFill>
                <a:schemeClr val="accent3"/>
              </a:solidFill>
              <a:ln w="9525">
                <a:solidFill>
                  <a:schemeClr val="accent3"/>
                </a:solidFill>
              </a:ln>
              <a:effectLst/>
            </c:spPr>
          </c:marker>
          <c:dLbls>
            <c:dLbl>
              <c:idx val="0"/>
              <c:tx>
                <c:rich>
                  <a:bodyPr/>
                  <a:lstStyle/>
                  <a:p>
                    <a:fld id="{16A49D59-9063-46D3-B38F-590F3A5BB53B}" type="CELLRANGE">
                      <a:rPr lang="en-US"/>
                      <a:pPr/>
                      <a:t>[CELLRANGE]</a:t>
                    </a:fld>
                    <a:endParaRPr lang="en-GB"/>
                  </a:p>
                </c:rich>
              </c:tx>
              <c:dLblPos val="t"/>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D-71A2-4C18-9674-9AF97DC92350}"/>
                </c:ext>
              </c:extLst>
            </c:dLbl>
            <c:dLbl>
              <c:idx val="1"/>
              <c:tx>
                <c:rich>
                  <a:bodyPr/>
                  <a:lstStyle/>
                  <a:p>
                    <a:fld id="{EE965D14-2D71-43BF-8661-34A70D110FBA}" type="CELLRANGE">
                      <a:rPr lang="en-GB"/>
                      <a:pPr/>
                      <a:t>[CELLRANGE]</a:t>
                    </a:fld>
                    <a:endParaRPr lang="en-GB"/>
                  </a:p>
                </c:rich>
              </c:tx>
              <c:dLblPos val="t"/>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E-71A2-4C18-9674-9AF97DC92350}"/>
                </c:ext>
              </c:extLst>
            </c:dLbl>
            <c:dLbl>
              <c:idx val="2"/>
              <c:tx>
                <c:rich>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fld id="{20FA55D6-0F32-44C5-A445-6297EEF791C0}" type="CELLRANGE">
                      <a:rPr lang="en-GB"/>
                      <a:pPr>
                        <a:defRPr sz="1000" b="1"/>
                      </a:pPr>
                      <a:t>[CELLRANGE]</a:t>
                    </a:fld>
                    <a:endParaRPr lang="en-GB"/>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t"/>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F-71A2-4C18-9674-9AF97DC92350}"/>
                </c:ext>
              </c:extLst>
            </c:dLbl>
            <c:dLbl>
              <c:idx val="3"/>
              <c:tx>
                <c:rich>
                  <a:bodyPr/>
                  <a:lstStyle/>
                  <a:p>
                    <a:fld id="{76D29322-8F69-4F15-B901-9D90D6F7CAB5}" type="CELLRANGE">
                      <a:rPr lang="en-GB"/>
                      <a:pPr/>
                      <a:t>[CELLRANGE]</a:t>
                    </a:fld>
                    <a:endParaRPr lang="en-GB"/>
                  </a:p>
                </c:rich>
              </c:tx>
              <c:dLblPos val="t"/>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0-71A2-4C18-9674-9AF97DC92350}"/>
                </c:ext>
              </c:extLst>
            </c:dLbl>
            <c:dLbl>
              <c:idx val="4"/>
              <c:tx>
                <c:rich>
                  <a:bodyPr/>
                  <a:lstStyle/>
                  <a:p>
                    <a:fld id="{875189C4-3920-46B4-A2A5-3DA53996014B}" type="CELLRANGE">
                      <a:rPr lang="en-GB"/>
                      <a:pPr/>
                      <a:t>[CELLRANGE]</a:t>
                    </a:fld>
                    <a:endParaRPr lang="en-GB"/>
                  </a:p>
                </c:rich>
              </c:tx>
              <c:dLblPos val="t"/>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1-71A2-4C18-9674-9AF97DC92350}"/>
                </c:ext>
              </c:extLst>
            </c:dLbl>
            <c:dLbl>
              <c:idx val="5"/>
              <c:tx>
                <c:rich>
                  <a:bodyPr/>
                  <a:lstStyle/>
                  <a:p>
                    <a:fld id="{B6F459BC-E0B8-4C5E-967C-B1BC6AA4187D}" type="CELLRANGE">
                      <a:rPr lang="en-GB"/>
                      <a:pPr/>
                      <a:t>[CELLRANGE]</a:t>
                    </a:fld>
                    <a:endParaRPr lang="en-GB"/>
                  </a:p>
                </c:rich>
              </c:tx>
              <c:dLblPos val="t"/>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2-71A2-4C18-9674-9AF97DC92350}"/>
                </c:ext>
              </c:extLst>
            </c:dLbl>
            <c:dLbl>
              <c:idx val="6"/>
              <c:tx>
                <c:rich>
                  <a:bodyPr/>
                  <a:lstStyle/>
                  <a:p>
                    <a:fld id="{CA33610D-B47E-4847-B3D0-DF71EB175C52}" type="CELLRANGE">
                      <a:rPr lang="en-GB"/>
                      <a:pPr/>
                      <a:t>[CELLRANGE]</a:t>
                    </a:fld>
                    <a:endParaRPr lang="en-GB"/>
                  </a:p>
                </c:rich>
              </c:tx>
              <c:dLblPos val="t"/>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3-71A2-4C18-9674-9AF97DC92350}"/>
                </c:ext>
              </c:extLst>
            </c:dLbl>
            <c:dLbl>
              <c:idx val="7"/>
              <c:tx>
                <c:rich>
                  <a:bodyPr/>
                  <a:lstStyle/>
                  <a:p>
                    <a:fld id="{39FF5D69-D6C5-483D-B378-5285A2F6DEA6}" type="CELLRANGE">
                      <a:rPr lang="en-GB"/>
                      <a:pPr/>
                      <a:t>[CELLRANGE]</a:t>
                    </a:fld>
                    <a:endParaRPr lang="en-GB"/>
                  </a:p>
                </c:rich>
              </c:tx>
              <c:dLblPos val="t"/>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4-71A2-4C18-9674-9AF97DC9235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t"/>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xVal>
            <c:numRef>
              <c:f>Prev!$G$32:$G$39</c:f>
              <c:numCache>
                <c:formatCode>0</c:formatCode>
                <c:ptCount val="8"/>
                <c:pt idx="0">
                  <c:v>38.449116114366916</c:v>
                </c:pt>
                <c:pt idx="1">
                  <c:v>42.294027725802152</c:v>
                </c:pt>
                <c:pt idx="2">
                  <c:v>46.138939337237389</c:v>
                </c:pt>
                <c:pt idx="3">
                  <c:v>49.983850948672625</c:v>
                </c:pt>
                <c:pt idx="4">
                  <c:v>53.828762560107862</c:v>
                </c:pt>
                <c:pt idx="5">
                  <c:v>57.673674171543098</c:v>
                </c:pt>
                <c:pt idx="6">
                  <c:v>61.51858578298561</c:v>
                </c:pt>
                <c:pt idx="7">
                  <c:v>65.363497394420847</c:v>
                </c:pt>
              </c:numCache>
            </c:numRef>
          </c:xVal>
          <c:yVal>
            <c:numRef>
              <c:f>Prev!$H$32:$H$39</c:f>
              <c:numCache>
                <c:formatCode>0</c:formatCode>
                <c:ptCount val="8"/>
                <c:pt idx="0">
                  <c:v>520108.6450372691</c:v>
                </c:pt>
                <c:pt idx="1">
                  <c:v>522119.50954099617</c:v>
                </c:pt>
                <c:pt idx="2">
                  <c:v>524130.3740447223</c:v>
                </c:pt>
                <c:pt idx="3">
                  <c:v>526141.23854844936</c:v>
                </c:pt>
                <c:pt idx="4">
                  <c:v>528152.10305217758</c:v>
                </c:pt>
                <c:pt idx="5">
                  <c:v>530162.9675559036</c:v>
                </c:pt>
                <c:pt idx="6">
                  <c:v>532173.83205962973</c:v>
                </c:pt>
                <c:pt idx="7">
                  <c:v>534184.69656335679</c:v>
                </c:pt>
              </c:numCache>
            </c:numRef>
          </c:yVal>
          <c:smooth val="0"/>
          <c:extLst>
            <c:ext xmlns:c15="http://schemas.microsoft.com/office/drawing/2012/chart" uri="{02D57815-91ED-43cb-92C2-25804820EDAC}">
              <c15:datalabelsRange>
                <c15:f>Prev!$F$47:$F$54</c15:f>
                <c15:dlblRangeCache>
                  <c:ptCount val="8"/>
                  <c:pt idx="0">
                    <c:v>0.025</c:v>
                  </c:pt>
                  <c:pt idx="1">
                    <c:v>0.0275</c:v>
                  </c:pt>
                  <c:pt idx="2">
                    <c:v>0.03</c:v>
                  </c:pt>
                  <c:pt idx="3">
                    <c:v>0.0325</c:v>
                  </c:pt>
                  <c:pt idx="4">
                    <c:v>0.035</c:v>
                  </c:pt>
                  <c:pt idx="5">
                    <c:v>0.0375</c:v>
                  </c:pt>
                  <c:pt idx="6">
                    <c:v>0.04</c:v>
                  </c:pt>
                  <c:pt idx="7">
                    <c:v>0.0425</c:v>
                  </c:pt>
                </c15:dlblRangeCache>
              </c15:datalabelsRange>
            </c:ext>
            <c:ext xmlns:c16="http://schemas.microsoft.com/office/drawing/2014/chart" uri="{C3380CC4-5D6E-409C-BE32-E72D297353CC}">
              <c16:uniqueId val="{00000015-71A2-4C18-9674-9AF97DC92350}"/>
            </c:ext>
          </c:extLst>
        </c:ser>
        <c:dLbls>
          <c:showLegendKey val="0"/>
          <c:showVal val="0"/>
          <c:showCatName val="0"/>
          <c:showSerName val="0"/>
          <c:showPercent val="0"/>
          <c:showBubbleSize val="0"/>
        </c:dLbls>
        <c:axId val="729697320"/>
        <c:axId val="729700928"/>
      </c:scatterChart>
      <c:valAx>
        <c:axId val="729697320"/>
        <c:scaling>
          <c:orientation val="minMax"/>
          <c:min val="3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a:t>Incremental QALYs </a:t>
                </a:r>
              </a:p>
              <a:p>
                <a:pPr>
                  <a:defRPr/>
                </a:pPr>
                <a:r>
                  <a:rPr lang="en-GB"/>
                  <a:t>(per 10K patients)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729700928"/>
        <c:crosses val="autoZero"/>
        <c:crossBetween val="midCat"/>
      </c:valAx>
      <c:valAx>
        <c:axId val="729700928"/>
        <c:scaling>
          <c:orientation val="minMax"/>
          <c:max val="1200000"/>
          <c:min val="2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a:t>Incremental cost</a:t>
                </a:r>
              </a:p>
              <a:p>
                <a:pPr>
                  <a:defRPr/>
                </a:pPr>
                <a:r>
                  <a:rPr lang="en-GB"/>
                  <a:t>(per 10K patients)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729697320"/>
        <c:crosses val="autoZero"/>
        <c:crossBetween val="midCat"/>
        <c:dispUnits>
          <c:builtInUnit val="hundredThousands"/>
          <c:dispUnitsLbl>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a:t>£100K</a:t>
                  </a:r>
                </a:p>
              </c:rich>
            </c:tx>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dispUnitsLbl>
        </c:dispUnits>
      </c:valAx>
      <c:spPr>
        <a:noFill/>
        <a:ln>
          <a:noFill/>
        </a:ln>
        <a:effectLst/>
      </c:spPr>
    </c:plotArea>
    <c:plotVisOnly val="1"/>
    <c:dispBlanksAs val="gap"/>
    <c:showDLblsOverMax val="0"/>
  </c:chart>
  <c:spPr>
    <a:solidFill>
      <a:schemeClr val="bg1"/>
    </a:solidFill>
    <a:ln w="9525" cap="flat" cmpd="sng" algn="ctr">
      <a:solidFill>
        <a:schemeClr val="accent1"/>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sz="1100"/>
              <a:t>Primary Care</a:t>
            </a:r>
          </a:p>
          <a:p>
            <a:pPr>
              <a:defRPr sz="1100"/>
            </a:pPr>
            <a:r>
              <a:rPr lang="en-GB" sz="1100" b="0" i="0" u="none" strike="noStrike" baseline="0">
                <a:effectLst/>
              </a:rPr>
              <a:t>Data Point Labels</a:t>
            </a:r>
            <a:r>
              <a:rPr lang="en-GB" sz="1100"/>
              <a:t>: Hazard ratio (per week delay to diagnosis) </a:t>
            </a:r>
          </a:p>
        </c:rich>
      </c:tx>
      <c:layout>
        <c:manualLayout>
          <c:xMode val="edge"/>
          <c:yMode val="edge"/>
          <c:x val="0.21520594049386638"/>
          <c:y val="2.119018188239449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scatterChart>
        <c:scatterStyle val="lineMarker"/>
        <c:varyColors val="0"/>
        <c:ser>
          <c:idx val="0"/>
          <c:order val="0"/>
          <c:tx>
            <c:v>100</c:v>
          </c:tx>
          <c:spPr>
            <a:ln w="28575" cap="rnd">
              <a:noFill/>
              <a:round/>
            </a:ln>
            <a:effectLst/>
          </c:spPr>
          <c:marker>
            <c:symbol val="circle"/>
            <c:size val="5"/>
            <c:spPr>
              <a:solidFill>
                <a:schemeClr val="accent1"/>
              </a:solidFill>
              <a:ln w="9525">
                <a:solidFill>
                  <a:schemeClr val="accent1"/>
                </a:solidFill>
              </a:ln>
              <a:effectLst/>
            </c:spPr>
          </c:marker>
          <c:dLbls>
            <c:dLbl>
              <c:idx val="0"/>
              <c:tx>
                <c:rich>
                  <a:bodyPr/>
                  <a:lstStyle/>
                  <a:p>
                    <a:fld id="{79F776E6-E488-4C86-B67E-88F295B42ED5}" type="CELLRANGE">
                      <a:rPr lang="en-US"/>
                      <a:pPr/>
                      <a:t>[CELLRANGE]</a:t>
                    </a:fld>
                    <a:endParaRPr lang="en-GB"/>
                  </a:p>
                </c:rich>
              </c:tx>
              <c:dLblPos val="t"/>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0-57EE-4EEC-A5BA-A0B8A1336640}"/>
                </c:ext>
              </c:extLst>
            </c:dLbl>
            <c:dLbl>
              <c:idx val="1"/>
              <c:tx>
                <c:rich>
                  <a:bodyPr/>
                  <a:lstStyle/>
                  <a:p>
                    <a:fld id="{234BBBED-01E1-4CFF-A5A4-CD12ED718140}" type="CELLRANGE">
                      <a:rPr lang="en-GB"/>
                      <a:pPr/>
                      <a:t>[CELLRANGE]</a:t>
                    </a:fld>
                    <a:endParaRPr lang="en-GB"/>
                  </a:p>
                </c:rich>
              </c:tx>
              <c:dLblPos val="t"/>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57EE-4EEC-A5BA-A0B8A1336640}"/>
                </c:ext>
              </c:extLst>
            </c:dLbl>
            <c:dLbl>
              <c:idx val="2"/>
              <c:tx>
                <c:rich>
                  <a:bodyPr/>
                  <a:lstStyle/>
                  <a:p>
                    <a:fld id="{D00FA4D1-8A62-40DD-831F-E5B31A36C71C}" type="CELLRANGE">
                      <a:rPr lang="en-GB"/>
                      <a:pPr/>
                      <a:t>[CELLRANGE]</a:t>
                    </a:fld>
                    <a:endParaRPr lang="en-GB"/>
                  </a:p>
                </c:rich>
              </c:tx>
              <c:dLblPos val="t"/>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57EE-4EEC-A5BA-A0B8A1336640}"/>
                </c:ext>
              </c:extLst>
            </c:dLbl>
            <c:dLbl>
              <c:idx val="3"/>
              <c:tx>
                <c:rich>
                  <a:bodyPr/>
                  <a:lstStyle/>
                  <a:p>
                    <a:fld id="{FD013EA3-F338-4A86-872C-144B3006679D}" type="CELLRANGE">
                      <a:rPr lang="en-US" sz="1000" b="1"/>
                      <a:pPr/>
                      <a:t>[CELLRANGE]</a:t>
                    </a:fld>
                    <a:endParaRPr lang="en-GB"/>
                  </a:p>
                </c:rich>
              </c:tx>
              <c:dLblPos val="t"/>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3-57EE-4EEC-A5BA-A0B8A1336640}"/>
                </c:ext>
              </c:extLst>
            </c:dLbl>
            <c:dLbl>
              <c:idx val="4"/>
              <c:tx>
                <c:rich>
                  <a:bodyPr/>
                  <a:lstStyle/>
                  <a:p>
                    <a:fld id="{EC62F9CF-AA6D-4C92-BFB3-339FC6AD1813}" type="CELLRANGE">
                      <a:rPr lang="en-GB"/>
                      <a:pPr/>
                      <a:t>[CELLRANGE]</a:t>
                    </a:fld>
                    <a:endParaRPr lang="en-GB"/>
                  </a:p>
                </c:rich>
              </c:tx>
              <c:dLblPos val="t"/>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57EE-4EEC-A5BA-A0B8A1336640}"/>
                </c:ext>
              </c:extLst>
            </c:dLbl>
            <c:dLbl>
              <c:idx val="5"/>
              <c:tx>
                <c:rich>
                  <a:bodyPr/>
                  <a:lstStyle/>
                  <a:p>
                    <a:fld id="{91D55C68-75E6-4D54-81F7-E9F6BBD6F12C}" type="CELLRANGE">
                      <a:rPr lang="en-GB"/>
                      <a:pPr/>
                      <a:t>[CELLRANGE]</a:t>
                    </a:fld>
                    <a:endParaRPr lang="en-GB"/>
                  </a:p>
                </c:rich>
              </c:tx>
              <c:dLblPos val="t"/>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5-57EE-4EEC-A5BA-A0B8A1336640}"/>
                </c:ext>
              </c:extLst>
            </c:dLbl>
            <c:dLbl>
              <c:idx val="6"/>
              <c:tx>
                <c:rich>
                  <a:bodyPr/>
                  <a:lstStyle/>
                  <a:p>
                    <a:fld id="{2E6F49E2-4EE1-4D02-9EF4-36FEB9BCD7FA}" type="CELLRANGE">
                      <a:rPr lang="en-GB"/>
                      <a:pPr/>
                      <a:t>[CELLRANGE]</a:t>
                    </a:fld>
                    <a:endParaRPr lang="en-GB"/>
                  </a:p>
                </c:rich>
              </c:tx>
              <c:dLblPos val="t"/>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6-57EE-4EEC-A5BA-A0B8A1336640}"/>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t"/>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trendline>
            <c:spPr>
              <a:ln w="19050" cap="rnd">
                <a:noFill/>
                <a:prstDash val="sysDot"/>
              </a:ln>
              <a:effectLst/>
            </c:spPr>
            <c:trendlineType val="linear"/>
            <c:dispRSqr val="0"/>
            <c:dispEq val="0"/>
          </c:trendline>
          <c:xVal>
            <c:numRef>
              <c:f>'HR SA'!$G$24:$G$30</c:f>
              <c:numCache>
                <c:formatCode>General</c:formatCode>
                <c:ptCount val="7"/>
                <c:pt idx="0">
                  <c:v>0</c:v>
                </c:pt>
                <c:pt idx="1">
                  <c:v>6.1046289273533425</c:v>
                </c:pt>
                <c:pt idx="2">
                  <c:v>11.181076946631476</c:v>
                </c:pt>
                <c:pt idx="3">
                  <c:v>15.379646445745399</c:v>
                </c:pt>
                <c:pt idx="4">
                  <c:v>18.828902989931994</c:v>
                </c:pt>
                <c:pt idx="5">
                  <c:v>21.638870174962488</c:v>
                </c:pt>
                <c:pt idx="6">
                  <c:v>23.903744103818259</c:v>
                </c:pt>
              </c:numCache>
            </c:numRef>
          </c:xVal>
          <c:yVal>
            <c:numRef>
              <c:f>'HR SA'!$H$24:$H$30</c:f>
              <c:numCache>
                <c:formatCode>General</c:formatCode>
                <c:ptCount val="7"/>
                <c:pt idx="0">
                  <c:v>196176.25</c:v>
                </c:pt>
                <c:pt idx="1">
                  <c:v>199368.93239663204</c:v>
                </c:pt>
                <c:pt idx="2">
                  <c:v>202023.88266821124</c:v>
                </c:pt>
                <c:pt idx="3">
                  <c:v>204219.70801490743</c:v>
                </c:pt>
                <c:pt idx="4">
                  <c:v>206023.6474158346</c:v>
                </c:pt>
                <c:pt idx="5">
                  <c:v>207493.24251711293</c:v>
                </c:pt>
                <c:pt idx="6">
                  <c:v>208677.75728603659</c:v>
                </c:pt>
              </c:numCache>
            </c:numRef>
          </c:yVal>
          <c:smooth val="0"/>
          <c:extLst>
            <c:ext xmlns:c15="http://schemas.microsoft.com/office/drawing/2012/chart" uri="{02D57815-91ED-43cb-92C2-25804820EDAC}">
              <c15:datalabelsRange>
                <c15:f>'HR SA'!$B$5:$B$11</c15:f>
                <c15:dlblRangeCache>
                  <c:ptCount val="7"/>
                  <c:pt idx="0">
                    <c:v>1</c:v>
                  </c:pt>
                  <c:pt idx="1">
                    <c:v>1.005</c:v>
                  </c:pt>
                  <c:pt idx="2">
                    <c:v>1.01</c:v>
                  </c:pt>
                  <c:pt idx="3">
                    <c:v>1.015</c:v>
                  </c:pt>
                  <c:pt idx="4">
                    <c:v>1.02</c:v>
                  </c:pt>
                  <c:pt idx="5">
                    <c:v>1.025</c:v>
                  </c:pt>
                  <c:pt idx="6">
                    <c:v>1.03</c:v>
                  </c:pt>
                </c15:dlblRangeCache>
              </c15:datalabelsRange>
            </c:ext>
            <c:ext xmlns:c16="http://schemas.microsoft.com/office/drawing/2014/chart" uri="{C3380CC4-5D6E-409C-BE32-E72D297353CC}">
              <c16:uniqueId val="{00000008-57EE-4EEC-A5BA-A0B8A1336640}"/>
            </c:ext>
          </c:extLst>
        </c:ser>
        <c:ser>
          <c:idx val="1"/>
          <c:order val="1"/>
          <c:tx>
            <c:v>Reference</c:v>
          </c:tx>
          <c:spPr>
            <a:ln w="25400" cap="rnd">
              <a:noFill/>
              <a:round/>
            </a:ln>
            <a:effectLst/>
          </c:spPr>
          <c:marker>
            <c:symbol val="none"/>
          </c:marker>
          <c:trendline>
            <c:spPr>
              <a:ln w="19050" cap="rnd">
                <a:solidFill>
                  <a:schemeClr val="accent2"/>
                </a:solidFill>
                <a:prstDash val="sysDot"/>
              </a:ln>
              <a:effectLst/>
            </c:spPr>
            <c:trendlineType val="linear"/>
            <c:dispRSqr val="0"/>
            <c:dispEq val="0"/>
          </c:trendline>
          <c:trendline>
            <c:spPr>
              <a:ln w="19050" cap="rnd">
                <a:solidFill>
                  <a:schemeClr val="accent2"/>
                </a:solidFill>
                <a:prstDash val="solid"/>
              </a:ln>
              <a:effectLst/>
            </c:spPr>
            <c:trendlineType val="linear"/>
            <c:dispRSqr val="0"/>
            <c:dispEq val="0"/>
          </c:trendline>
          <c:xVal>
            <c:numRef>
              <c:f>'HR SA'!$J$20:$J$21</c:f>
              <c:numCache>
                <c:formatCode>General</c:formatCode>
                <c:ptCount val="2"/>
                <c:pt idx="0">
                  <c:v>0</c:v>
                </c:pt>
                <c:pt idx="1">
                  <c:v>15</c:v>
                </c:pt>
              </c:numCache>
            </c:numRef>
          </c:xVal>
          <c:yVal>
            <c:numRef>
              <c:f>'HR SA'!$K$20:$K$21</c:f>
              <c:numCache>
                <c:formatCode>General</c:formatCode>
                <c:ptCount val="2"/>
                <c:pt idx="0">
                  <c:v>0</c:v>
                </c:pt>
                <c:pt idx="1">
                  <c:v>300000</c:v>
                </c:pt>
              </c:numCache>
            </c:numRef>
          </c:yVal>
          <c:smooth val="0"/>
          <c:extLst>
            <c:ext xmlns:c16="http://schemas.microsoft.com/office/drawing/2014/chart" uri="{C3380CC4-5D6E-409C-BE32-E72D297353CC}">
              <c16:uniqueId val="{0000000B-57EE-4EEC-A5BA-A0B8A1336640}"/>
            </c:ext>
          </c:extLst>
        </c:ser>
        <c:ser>
          <c:idx val="2"/>
          <c:order val="2"/>
          <c:tx>
            <c:v>50</c:v>
          </c:tx>
          <c:spPr>
            <a:ln w="25400" cap="rnd">
              <a:noFill/>
              <a:round/>
            </a:ln>
            <a:effectLst/>
          </c:spPr>
          <c:marker>
            <c:symbol val="circle"/>
            <c:size val="5"/>
            <c:spPr>
              <a:solidFill>
                <a:schemeClr val="accent3"/>
              </a:solidFill>
              <a:ln w="9525">
                <a:solidFill>
                  <a:schemeClr val="accent3"/>
                </a:solidFill>
              </a:ln>
              <a:effectLst/>
            </c:spPr>
          </c:marker>
          <c:dLbls>
            <c:dLbl>
              <c:idx val="0"/>
              <c:tx>
                <c:rich>
                  <a:bodyPr/>
                  <a:lstStyle/>
                  <a:p>
                    <a:fld id="{4CDFC7BF-FB47-4E60-8EA4-49D8EB072ACA}" type="CELLRANGE">
                      <a:rPr lang="en-US"/>
                      <a:pPr/>
                      <a:t>[CELLRANGE]</a:t>
                    </a:fld>
                    <a:endParaRPr lang="en-GB"/>
                  </a:p>
                </c:rich>
              </c:tx>
              <c:dLblPos val="t"/>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C-57EE-4EEC-A5BA-A0B8A1336640}"/>
                </c:ext>
              </c:extLst>
            </c:dLbl>
            <c:dLbl>
              <c:idx val="1"/>
              <c:tx>
                <c:rich>
                  <a:bodyPr/>
                  <a:lstStyle/>
                  <a:p>
                    <a:fld id="{EF836D6D-0254-47B7-B86F-4D9109DF1411}" type="CELLRANGE">
                      <a:rPr lang="en-GB"/>
                      <a:pPr/>
                      <a:t>[CELLRANGE]</a:t>
                    </a:fld>
                    <a:endParaRPr lang="en-GB"/>
                  </a:p>
                </c:rich>
              </c:tx>
              <c:dLblPos val="t"/>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D-57EE-4EEC-A5BA-A0B8A1336640}"/>
                </c:ext>
              </c:extLst>
            </c:dLbl>
            <c:dLbl>
              <c:idx val="2"/>
              <c:tx>
                <c:rich>
                  <a:bodyPr/>
                  <a:lstStyle/>
                  <a:p>
                    <a:fld id="{C5F8C878-D22B-417E-9B17-ACFCF66B1F7D}" type="CELLRANGE">
                      <a:rPr lang="en-GB"/>
                      <a:pPr/>
                      <a:t>[CELLRANGE]</a:t>
                    </a:fld>
                    <a:endParaRPr lang="en-GB"/>
                  </a:p>
                </c:rich>
              </c:tx>
              <c:dLblPos val="t"/>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E-57EE-4EEC-A5BA-A0B8A1336640}"/>
                </c:ext>
              </c:extLst>
            </c:dLbl>
            <c:dLbl>
              <c:idx val="3"/>
              <c:tx>
                <c:rich>
                  <a:bodyPr/>
                  <a:lstStyle/>
                  <a:p>
                    <a:fld id="{9CE707D9-E25A-4506-8810-58569A939790}" type="CELLRANGE">
                      <a:rPr lang="en-US" sz="1000" b="1"/>
                      <a:pPr/>
                      <a:t>[CELLRANGE]</a:t>
                    </a:fld>
                    <a:endParaRPr lang="en-GB"/>
                  </a:p>
                </c:rich>
              </c:tx>
              <c:dLblPos val="t"/>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F-57EE-4EEC-A5BA-A0B8A1336640}"/>
                </c:ext>
              </c:extLst>
            </c:dLbl>
            <c:dLbl>
              <c:idx val="4"/>
              <c:tx>
                <c:rich>
                  <a:bodyPr/>
                  <a:lstStyle/>
                  <a:p>
                    <a:fld id="{E40B7E3D-88BD-4B97-A48C-C2A9C8A402A5}" type="CELLRANGE">
                      <a:rPr lang="en-GB"/>
                      <a:pPr/>
                      <a:t>[CELLRANGE]</a:t>
                    </a:fld>
                    <a:endParaRPr lang="en-GB"/>
                  </a:p>
                </c:rich>
              </c:tx>
              <c:dLblPos val="t"/>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0-57EE-4EEC-A5BA-A0B8A1336640}"/>
                </c:ext>
              </c:extLst>
            </c:dLbl>
            <c:dLbl>
              <c:idx val="5"/>
              <c:tx>
                <c:rich>
                  <a:bodyPr/>
                  <a:lstStyle/>
                  <a:p>
                    <a:fld id="{23D3DF5E-FAA8-4103-8715-93989F352FC9}" type="CELLRANGE">
                      <a:rPr lang="en-GB"/>
                      <a:pPr/>
                      <a:t>[CELLRANGE]</a:t>
                    </a:fld>
                    <a:endParaRPr lang="en-GB"/>
                  </a:p>
                </c:rich>
              </c:tx>
              <c:dLblPos val="t"/>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1-57EE-4EEC-A5BA-A0B8A1336640}"/>
                </c:ext>
              </c:extLst>
            </c:dLbl>
            <c:dLbl>
              <c:idx val="6"/>
              <c:tx>
                <c:rich>
                  <a:bodyPr/>
                  <a:lstStyle/>
                  <a:p>
                    <a:fld id="{CB6F0C83-5E96-4D4C-860C-C3C05DB4AE38}" type="CELLRANGE">
                      <a:rPr lang="en-GB"/>
                      <a:pPr/>
                      <a:t>[CELLRANGE]</a:t>
                    </a:fld>
                    <a:endParaRPr lang="en-GB"/>
                  </a:p>
                </c:rich>
              </c:tx>
              <c:dLblPos val="t"/>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2-57EE-4EEC-A5BA-A0B8A133664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t"/>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xVal>
            <c:numRef>
              <c:f>'HR SA'!$G$15:$G$21</c:f>
              <c:numCache>
                <c:formatCode>General</c:formatCode>
                <c:ptCount val="7"/>
                <c:pt idx="0">
                  <c:v>0</c:v>
                </c:pt>
                <c:pt idx="1">
                  <c:v>6.2779702425735211</c:v>
                </c:pt>
                <c:pt idx="2">
                  <c:v>11.498564316720902</c:v>
                </c:pt>
                <c:pt idx="3">
                  <c:v>15.816352455934437</c:v>
                </c:pt>
                <c:pt idx="4">
                  <c:v>19.363550852607965</c:v>
                </c:pt>
                <c:pt idx="5">
                  <c:v>22.253307229313929</c:v>
                </c:pt>
                <c:pt idx="6">
                  <c:v>24.582492393186829</c:v>
                </c:pt>
              </c:numCache>
            </c:numRef>
          </c:xVal>
          <c:yVal>
            <c:numRef>
              <c:f>'HR SA'!$H$15:$H$21</c:f>
              <c:numCache>
                <c:formatCode>General</c:formatCode>
                <c:ptCount val="7"/>
                <c:pt idx="0">
                  <c:v>-373757.125</c:v>
                </c:pt>
                <c:pt idx="1">
                  <c:v>-370473.78618963691</c:v>
                </c:pt>
                <c:pt idx="2">
                  <c:v>-367743.44844120997</c:v>
                </c:pt>
                <c:pt idx="3">
                  <c:v>-365485.2724982489</c:v>
                </c:pt>
                <c:pt idx="4">
                  <c:v>-363630.11012667936</c:v>
                </c:pt>
                <c:pt idx="5">
                  <c:v>-362118.78578178352</c:v>
                </c:pt>
                <c:pt idx="6">
                  <c:v>-360900.63664287794</c:v>
                </c:pt>
              </c:numCache>
            </c:numRef>
          </c:yVal>
          <c:smooth val="0"/>
          <c:extLst>
            <c:ext xmlns:c15="http://schemas.microsoft.com/office/drawing/2012/chart" uri="{02D57815-91ED-43cb-92C2-25804820EDAC}">
              <c15:datalabelsRange>
                <c15:f>'HR SA'!$B$5:$B$11</c15:f>
                <c15:dlblRangeCache>
                  <c:ptCount val="7"/>
                  <c:pt idx="0">
                    <c:v>1</c:v>
                  </c:pt>
                  <c:pt idx="1">
                    <c:v>1.005</c:v>
                  </c:pt>
                  <c:pt idx="2">
                    <c:v>1.01</c:v>
                  </c:pt>
                  <c:pt idx="3">
                    <c:v>1.015</c:v>
                  </c:pt>
                  <c:pt idx="4">
                    <c:v>1.02</c:v>
                  </c:pt>
                  <c:pt idx="5">
                    <c:v>1.025</c:v>
                  </c:pt>
                  <c:pt idx="6">
                    <c:v>1.03</c:v>
                  </c:pt>
                </c15:dlblRangeCache>
              </c15:datalabelsRange>
            </c:ext>
            <c:ext xmlns:c16="http://schemas.microsoft.com/office/drawing/2014/chart" uri="{C3380CC4-5D6E-409C-BE32-E72D297353CC}">
              <c16:uniqueId val="{00000013-57EE-4EEC-A5BA-A0B8A1336640}"/>
            </c:ext>
          </c:extLst>
        </c:ser>
        <c:dLbls>
          <c:showLegendKey val="0"/>
          <c:showVal val="0"/>
          <c:showCatName val="0"/>
          <c:showSerName val="0"/>
          <c:showPercent val="0"/>
          <c:showBubbleSize val="0"/>
        </c:dLbls>
        <c:axId val="729697320"/>
        <c:axId val="729700928"/>
      </c:scatterChart>
      <c:valAx>
        <c:axId val="72969732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a:t>Incremental QALYs </a:t>
                </a:r>
              </a:p>
              <a:p>
                <a:pPr>
                  <a:defRPr/>
                </a:pPr>
                <a:r>
                  <a:rPr lang="en-GB"/>
                  <a:t>(per 10K patients)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729700928"/>
        <c:crosses val="autoZero"/>
        <c:crossBetween val="midCat"/>
      </c:valAx>
      <c:valAx>
        <c:axId val="729700928"/>
        <c:scaling>
          <c:orientation val="minMax"/>
          <c:max val="3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a:t>Incremental cost</a:t>
                </a:r>
              </a:p>
              <a:p>
                <a:pPr>
                  <a:defRPr/>
                </a:pPr>
                <a:r>
                  <a:rPr lang="en-GB"/>
                  <a:t>(per 10K patients)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729697320"/>
        <c:crosses val="autoZero"/>
        <c:crossBetween val="midCat"/>
        <c:dispUnits>
          <c:builtInUnit val="hundredThousands"/>
          <c:dispUnitsLbl>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a:t>£100K</a:t>
                  </a:r>
                </a:p>
              </c:rich>
            </c:tx>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dispUnitsLbl>
        </c:dispUnits>
      </c:valAx>
      <c:spPr>
        <a:noFill/>
        <a:ln>
          <a:noFill/>
        </a:ln>
        <a:effectLst/>
      </c:spPr>
    </c:plotArea>
    <c:plotVisOnly val="1"/>
    <c:dispBlanksAs val="gap"/>
    <c:showDLblsOverMax val="0"/>
  </c:chart>
  <c:spPr>
    <a:solidFill>
      <a:schemeClr val="bg1"/>
    </a:solidFill>
    <a:ln w="9525" cap="flat" cmpd="sng" algn="ctr">
      <a:solidFill>
        <a:schemeClr val="accent1"/>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sz="1100"/>
              <a:t>Secondary Care</a:t>
            </a:r>
          </a:p>
          <a:p>
            <a:pPr>
              <a:defRPr sz="1100"/>
            </a:pPr>
            <a:r>
              <a:rPr lang="en-GB" sz="1100" b="0" i="0" u="none" strike="noStrike" baseline="0">
                <a:effectLst/>
              </a:rPr>
              <a:t>Data Point Labels</a:t>
            </a:r>
            <a:r>
              <a:rPr lang="en-GB" sz="1100"/>
              <a:t>: Hazard ratio (per week delay to diagnosis) </a:t>
            </a:r>
          </a:p>
        </c:rich>
      </c:tx>
      <c:layout>
        <c:manualLayout>
          <c:xMode val="edge"/>
          <c:yMode val="edge"/>
          <c:x val="0.20191101472386858"/>
          <c:y val="3.3802816901408447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scatterChart>
        <c:scatterStyle val="lineMarker"/>
        <c:varyColors val="0"/>
        <c:ser>
          <c:idx val="0"/>
          <c:order val="0"/>
          <c:tx>
            <c:v>100</c:v>
          </c:tx>
          <c:spPr>
            <a:ln w="28575" cap="rnd">
              <a:noFill/>
              <a:round/>
            </a:ln>
            <a:effectLst/>
          </c:spPr>
          <c:marker>
            <c:symbol val="circle"/>
            <c:size val="5"/>
            <c:spPr>
              <a:solidFill>
                <a:schemeClr val="accent1"/>
              </a:solidFill>
              <a:ln w="9525">
                <a:solidFill>
                  <a:schemeClr val="accent1"/>
                </a:solidFill>
              </a:ln>
              <a:effectLst/>
            </c:spPr>
          </c:marker>
          <c:dLbls>
            <c:dLbl>
              <c:idx val="0"/>
              <c:tx>
                <c:rich>
                  <a:bodyPr/>
                  <a:lstStyle/>
                  <a:p>
                    <a:fld id="{0FD79F96-44F8-4DBF-A1D2-074A623700CF}" type="CELLRANGE">
                      <a:rPr lang="en-GB"/>
                      <a:pPr/>
                      <a:t>[CELLRANGE]</a:t>
                    </a:fld>
                    <a:endParaRPr lang="en-GB"/>
                  </a:p>
                </c:rich>
              </c:tx>
              <c:dLblPos val="t"/>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0-650A-4496-9C3D-FC9ADBA9672F}"/>
                </c:ext>
              </c:extLst>
            </c:dLbl>
            <c:dLbl>
              <c:idx val="1"/>
              <c:tx>
                <c:rich>
                  <a:bodyPr/>
                  <a:lstStyle/>
                  <a:p>
                    <a:fld id="{A013B740-B742-431F-94C3-921D2D374F36}" type="CELLRANGE">
                      <a:rPr lang="en-GB"/>
                      <a:pPr/>
                      <a:t>[CELLRANGE]</a:t>
                    </a:fld>
                    <a:endParaRPr lang="en-GB"/>
                  </a:p>
                </c:rich>
              </c:tx>
              <c:dLblPos val="t"/>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650A-4496-9C3D-FC9ADBA9672F}"/>
                </c:ext>
              </c:extLst>
            </c:dLbl>
            <c:dLbl>
              <c:idx val="2"/>
              <c:tx>
                <c:rich>
                  <a:bodyPr/>
                  <a:lstStyle/>
                  <a:p>
                    <a:fld id="{49FD59FD-6E33-438C-9F66-AFDB4EEE30F3}" type="CELLRANGE">
                      <a:rPr lang="en-GB"/>
                      <a:pPr/>
                      <a:t>[CELLRANGE]</a:t>
                    </a:fld>
                    <a:endParaRPr lang="en-GB"/>
                  </a:p>
                </c:rich>
              </c:tx>
              <c:dLblPos val="t"/>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650A-4496-9C3D-FC9ADBA9672F}"/>
                </c:ext>
              </c:extLst>
            </c:dLbl>
            <c:dLbl>
              <c:idx val="3"/>
              <c:tx>
                <c:rich>
                  <a:bodyPr/>
                  <a:lstStyle/>
                  <a:p>
                    <a:fld id="{B2C4701C-B4A2-46E2-8751-D86B1BEA2CC4}" type="CELLRANGE">
                      <a:rPr lang="en-US" sz="1000" b="1"/>
                      <a:pPr/>
                      <a:t>[CELLRANGE]</a:t>
                    </a:fld>
                    <a:endParaRPr lang="en-GB"/>
                  </a:p>
                </c:rich>
              </c:tx>
              <c:dLblPos val="t"/>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3-650A-4496-9C3D-FC9ADBA9672F}"/>
                </c:ext>
              </c:extLst>
            </c:dLbl>
            <c:dLbl>
              <c:idx val="4"/>
              <c:tx>
                <c:rich>
                  <a:bodyPr/>
                  <a:lstStyle/>
                  <a:p>
                    <a:fld id="{B1A4648D-8676-484F-A2AB-8FA26116C4B8}" type="CELLRANGE">
                      <a:rPr lang="en-GB"/>
                      <a:pPr/>
                      <a:t>[CELLRANGE]</a:t>
                    </a:fld>
                    <a:endParaRPr lang="en-GB"/>
                  </a:p>
                </c:rich>
              </c:tx>
              <c:dLblPos val="t"/>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650A-4496-9C3D-FC9ADBA9672F}"/>
                </c:ext>
              </c:extLst>
            </c:dLbl>
            <c:dLbl>
              <c:idx val="5"/>
              <c:tx>
                <c:rich>
                  <a:bodyPr/>
                  <a:lstStyle/>
                  <a:p>
                    <a:fld id="{6E8ACFA7-AA93-46BE-9E08-DD5747925A33}" type="CELLRANGE">
                      <a:rPr lang="en-GB"/>
                      <a:pPr/>
                      <a:t>[CELLRANGE]</a:t>
                    </a:fld>
                    <a:endParaRPr lang="en-GB"/>
                  </a:p>
                </c:rich>
              </c:tx>
              <c:dLblPos val="t"/>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5-650A-4496-9C3D-FC9ADBA9672F}"/>
                </c:ext>
              </c:extLst>
            </c:dLbl>
            <c:dLbl>
              <c:idx val="6"/>
              <c:tx>
                <c:rich>
                  <a:bodyPr/>
                  <a:lstStyle/>
                  <a:p>
                    <a:fld id="{BCC4980A-3D44-47D9-8544-92F116CBD731}" type="CELLRANGE">
                      <a:rPr lang="en-GB"/>
                      <a:pPr/>
                      <a:t>[CELLRANGE]</a:t>
                    </a:fld>
                    <a:endParaRPr lang="en-GB"/>
                  </a:p>
                </c:rich>
              </c:tx>
              <c:dLblPos val="t"/>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6-650A-4496-9C3D-FC9ADBA9672F}"/>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t"/>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trendline>
            <c:spPr>
              <a:ln w="19050" cap="rnd">
                <a:noFill/>
                <a:prstDash val="sysDot"/>
              </a:ln>
              <a:effectLst/>
            </c:spPr>
            <c:trendlineType val="linear"/>
            <c:dispRSqr val="0"/>
            <c:dispEq val="0"/>
          </c:trendline>
          <c:xVal>
            <c:numRef>
              <c:f>'HR SA'!$C$24:$C$30</c:f>
              <c:numCache>
                <c:formatCode>General</c:formatCode>
                <c:ptCount val="7"/>
                <c:pt idx="0">
                  <c:v>0</c:v>
                </c:pt>
                <c:pt idx="1">
                  <c:v>25.94467294124674</c:v>
                </c:pt>
                <c:pt idx="2">
                  <c:v>47.519577023187246</c:v>
                </c:pt>
                <c:pt idx="3">
                  <c:v>65.363497394418445</c:v>
                </c:pt>
                <c:pt idx="4">
                  <c:v>80.02283770721246</c:v>
                </c:pt>
                <c:pt idx="5">
                  <c:v>91.965198243589086</c:v>
                </c:pt>
                <c:pt idx="6">
                  <c:v>101.59091244122264</c:v>
                </c:pt>
              </c:numCache>
            </c:numRef>
          </c:xVal>
          <c:yVal>
            <c:numRef>
              <c:f>'HR SA'!$D$24:$D$30</c:f>
              <c:numCache>
                <c:formatCode>General</c:formatCode>
                <c:ptCount val="7"/>
                <c:pt idx="0">
                  <c:v>1000000</c:v>
                </c:pt>
                <c:pt idx="1">
                  <c:v>1013568.9001856836</c:v>
                </c:pt>
                <c:pt idx="2">
                  <c:v>1024852.4388398996</c:v>
                </c:pt>
                <c:pt idx="3">
                  <c:v>1034184.6965633568</c:v>
                </c:pt>
                <c:pt idx="4">
                  <c:v>1041851.4390172978</c:v>
                </c:pt>
                <c:pt idx="5">
                  <c:v>1048097.2181977292</c:v>
                </c:pt>
                <c:pt idx="6">
                  <c:v>1053131.405965653</c:v>
                </c:pt>
              </c:numCache>
            </c:numRef>
          </c:yVal>
          <c:smooth val="0"/>
          <c:extLst>
            <c:ext xmlns:c15="http://schemas.microsoft.com/office/drawing/2012/chart" uri="{02D57815-91ED-43cb-92C2-25804820EDAC}">
              <c15:datalabelsRange>
                <c15:f>'HR SA'!$B$5:$B$11</c15:f>
                <c15:dlblRangeCache>
                  <c:ptCount val="7"/>
                  <c:pt idx="0">
                    <c:v>1</c:v>
                  </c:pt>
                  <c:pt idx="1">
                    <c:v>1.005</c:v>
                  </c:pt>
                  <c:pt idx="2">
                    <c:v>1.01</c:v>
                  </c:pt>
                  <c:pt idx="3">
                    <c:v>1.015</c:v>
                  </c:pt>
                  <c:pt idx="4">
                    <c:v>1.02</c:v>
                  </c:pt>
                  <c:pt idx="5">
                    <c:v>1.025</c:v>
                  </c:pt>
                  <c:pt idx="6">
                    <c:v>1.03</c:v>
                  </c:pt>
                </c15:dlblRangeCache>
              </c15:datalabelsRange>
            </c:ext>
            <c:ext xmlns:c16="http://schemas.microsoft.com/office/drawing/2014/chart" uri="{C3380CC4-5D6E-409C-BE32-E72D297353CC}">
              <c16:uniqueId val="{00000008-650A-4496-9C3D-FC9ADBA9672F}"/>
            </c:ext>
          </c:extLst>
        </c:ser>
        <c:ser>
          <c:idx val="1"/>
          <c:order val="1"/>
          <c:tx>
            <c:v>Reference</c:v>
          </c:tx>
          <c:spPr>
            <a:ln w="25400" cap="rnd">
              <a:noFill/>
              <a:round/>
            </a:ln>
            <a:effectLst/>
          </c:spPr>
          <c:marker>
            <c:symbol val="none"/>
          </c:marker>
          <c:trendline>
            <c:spPr>
              <a:ln w="19050" cap="rnd">
                <a:solidFill>
                  <a:schemeClr val="accent2"/>
                </a:solidFill>
                <a:prstDash val="sysDot"/>
              </a:ln>
              <a:effectLst/>
            </c:spPr>
            <c:trendlineType val="linear"/>
            <c:dispRSqr val="0"/>
            <c:dispEq val="0"/>
          </c:trendline>
          <c:trendline>
            <c:spPr>
              <a:ln w="19050" cap="rnd">
                <a:solidFill>
                  <a:schemeClr val="accent2"/>
                </a:solidFill>
                <a:prstDash val="solid"/>
              </a:ln>
              <a:effectLst/>
            </c:spPr>
            <c:trendlineType val="linear"/>
            <c:dispRSqr val="0"/>
            <c:dispEq val="0"/>
          </c:trendline>
          <c:xVal>
            <c:numRef>
              <c:f>'HR SA'!$J$2:$J$3</c:f>
              <c:numCache>
                <c:formatCode>General</c:formatCode>
                <c:ptCount val="2"/>
                <c:pt idx="0">
                  <c:v>0</c:v>
                </c:pt>
                <c:pt idx="1">
                  <c:v>60</c:v>
                </c:pt>
              </c:numCache>
            </c:numRef>
          </c:xVal>
          <c:yVal>
            <c:numRef>
              <c:f>'HR SA'!$K$2:$K$3</c:f>
              <c:numCache>
                <c:formatCode>General</c:formatCode>
                <c:ptCount val="2"/>
                <c:pt idx="0">
                  <c:v>0</c:v>
                </c:pt>
                <c:pt idx="1">
                  <c:v>1200000</c:v>
                </c:pt>
              </c:numCache>
            </c:numRef>
          </c:yVal>
          <c:smooth val="0"/>
          <c:extLst>
            <c:ext xmlns:c16="http://schemas.microsoft.com/office/drawing/2014/chart" uri="{C3380CC4-5D6E-409C-BE32-E72D297353CC}">
              <c16:uniqueId val="{0000000B-650A-4496-9C3D-FC9ADBA9672F}"/>
            </c:ext>
          </c:extLst>
        </c:ser>
        <c:ser>
          <c:idx val="2"/>
          <c:order val="2"/>
          <c:tx>
            <c:v>50</c:v>
          </c:tx>
          <c:spPr>
            <a:ln w="25400" cap="rnd">
              <a:noFill/>
              <a:round/>
            </a:ln>
            <a:effectLst/>
          </c:spPr>
          <c:marker>
            <c:symbol val="circle"/>
            <c:size val="5"/>
            <c:spPr>
              <a:solidFill>
                <a:schemeClr val="accent3"/>
              </a:solidFill>
              <a:ln w="9525">
                <a:solidFill>
                  <a:schemeClr val="accent3"/>
                </a:solidFill>
              </a:ln>
              <a:effectLst/>
            </c:spPr>
          </c:marker>
          <c:dLbls>
            <c:dLbl>
              <c:idx val="0"/>
              <c:tx>
                <c:rich>
                  <a:bodyPr/>
                  <a:lstStyle/>
                  <a:p>
                    <a:fld id="{493B91D1-5C54-45D9-9B02-37256A986568}" type="CELLRANGE">
                      <a:rPr lang="en-US"/>
                      <a:pPr/>
                      <a:t>[CELLRANGE]</a:t>
                    </a:fld>
                    <a:endParaRPr lang="en-GB"/>
                  </a:p>
                </c:rich>
              </c:tx>
              <c:dLblPos val="t"/>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C-650A-4496-9C3D-FC9ADBA9672F}"/>
                </c:ext>
              </c:extLst>
            </c:dLbl>
            <c:dLbl>
              <c:idx val="1"/>
              <c:tx>
                <c:rich>
                  <a:bodyPr/>
                  <a:lstStyle/>
                  <a:p>
                    <a:fld id="{64649C5D-1D2C-4DDD-9C9A-CFAB3A96C3CE}" type="CELLRANGE">
                      <a:rPr lang="en-GB"/>
                      <a:pPr/>
                      <a:t>[CELLRANGE]</a:t>
                    </a:fld>
                    <a:endParaRPr lang="en-GB"/>
                  </a:p>
                </c:rich>
              </c:tx>
              <c:dLblPos val="t"/>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D-650A-4496-9C3D-FC9ADBA9672F}"/>
                </c:ext>
              </c:extLst>
            </c:dLbl>
            <c:dLbl>
              <c:idx val="2"/>
              <c:tx>
                <c:rich>
                  <a:bodyPr/>
                  <a:lstStyle/>
                  <a:p>
                    <a:fld id="{EF403F2B-EA50-4C8F-B20B-138DF39A5422}" type="CELLRANGE">
                      <a:rPr lang="en-GB"/>
                      <a:pPr/>
                      <a:t>[CELLRANGE]</a:t>
                    </a:fld>
                    <a:endParaRPr lang="en-GB"/>
                  </a:p>
                </c:rich>
              </c:tx>
              <c:dLblPos val="t"/>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E-650A-4496-9C3D-FC9ADBA9672F}"/>
                </c:ext>
              </c:extLst>
            </c:dLbl>
            <c:dLbl>
              <c:idx val="3"/>
              <c:tx>
                <c:rich>
                  <a:bodyPr/>
                  <a:lstStyle/>
                  <a:p>
                    <a:fld id="{85134782-9B82-484D-9E81-F8ADB234C735}" type="CELLRANGE">
                      <a:rPr lang="en-US" sz="1000" b="1"/>
                      <a:pPr/>
                      <a:t>[CELLRANGE]</a:t>
                    </a:fld>
                    <a:endParaRPr lang="en-GB"/>
                  </a:p>
                </c:rich>
              </c:tx>
              <c:dLblPos val="t"/>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F-650A-4496-9C3D-FC9ADBA9672F}"/>
                </c:ext>
              </c:extLst>
            </c:dLbl>
            <c:dLbl>
              <c:idx val="4"/>
              <c:tx>
                <c:rich>
                  <a:bodyPr/>
                  <a:lstStyle/>
                  <a:p>
                    <a:fld id="{4E36F7A6-3FA6-46DA-8AA8-AA8981464919}" type="CELLRANGE">
                      <a:rPr lang="en-GB"/>
                      <a:pPr/>
                      <a:t>[CELLRANGE]</a:t>
                    </a:fld>
                    <a:endParaRPr lang="en-GB"/>
                  </a:p>
                </c:rich>
              </c:tx>
              <c:dLblPos val="t"/>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0-650A-4496-9C3D-FC9ADBA9672F}"/>
                </c:ext>
              </c:extLst>
            </c:dLbl>
            <c:dLbl>
              <c:idx val="5"/>
              <c:tx>
                <c:rich>
                  <a:bodyPr/>
                  <a:lstStyle/>
                  <a:p>
                    <a:fld id="{4B412F8A-8DA9-4B24-BEF8-D4B964DA4760}" type="CELLRANGE">
                      <a:rPr lang="en-GB"/>
                      <a:pPr/>
                      <a:t>[CELLRANGE]</a:t>
                    </a:fld>
                    <a:endParaRPr lang="en-GB"/>
                  </a:p>
                </c:rich>
              </c:tx>
              <c:dLblPos val="t"/>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1-650A-4496-9C3D-FC9ADBA9672F}"/>
                </c:ext>
              </c:extLst>
            </c:dLbl>
            <c:dLbl>
              <c:idx val="6"/>
              <c:tx>
                <c:rich>
                  <a:bodyPr/>
                  <a:lstStyle/>
                  <a:p>
                    <a:fld id="{47D5F96D-A2F8-4E74-80A2-AE41CFE23715}" type="CELLRANGE">
                      <a:rPr lang="en-GB"/>
                      <a:pPr/>
                      <a:t>[CELLRANGE]</a:t>
                    </a:fld>
                    <a:endParaRPr lang="en-GB"/>
                  </a:p>
                </c:rich>
              </c:tx>
              <c:dLblPos val="t"/>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2-650A-4496-9C3D-FC9ADBA9672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t"/>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xVal>
            <c:numRef>
              <c:f>'HR SA'!$C$15:$C$21</c:f>
              <c:numCache>
                <c:formatCode>General</c:formatCode>
                <c:ptCount val="7"/>
                <c:pt idx="0">
                  <c:v>0</c:v>
                </c:pt>
                <c:pt idx="1">
                  <c:v>26.681373530937464</c:v>
                </c:pt>
                <c:pt idx="2">
                  <c:v>48.868898346067802</c:v>
                </c:pt>
                <c:pt idx="3">
                  <c:v>67.21949793771789</c:v>
                </c:pt>
                <c:pt idx="4">
                  <c:v>82.295091123591789</c:v>
                </c:pt>
                <c:pt idx="5">
                  <c:v>94.576555724581709</c:v>
                </c:pt>
                <c:pt idx="6">
                  <c:v>104.47559267103708</c:v>
                </c:pt>
              </c:numCache>
            </c:numRef>
          </c:xVal>
          <c:yVal>
            <c:numRef>
              <c:f>'HR SA'!$D$15:$D$21</c:f>
              <c:numCache>
                <c:formatCode>General</c:formatCode>
                <c:ptCount val="7"/>
                <c:pt idx="0">
                  <c:v>500000</c:v>
                </c:pt>
                <c:pt idx="1">
                  <c:v>513954.18994404306</c:v>
                </c:pt>
                <c:pt idx="2">
                  <c:v>525558.12537485966</c:v>
                </c:pt>
                <c:pt idx="3">
                  <c:v>535155.37313244038</c:v>
                </c:pt>
                <c:pt idx="4">
                  <c:v>543039.81321161694</c:v>
                </c:pt>
                <c:pt idx="5">
                  <c:v>549462.94167741877</c:v>
                </c:pt>
                <c:pt idx="6">
                  <c:v>554640.07551776513</c:v>
                </c:pt>
              </c:numCache>
            </c:numRef>
          </c:yVal>
          <c:smooth val="0"/>
          <c:extLst>
            <c:ext xmlns:c15="http://schemas.microsoft.com/office/drawing/2012/chart" uri="{02D57815-91ED-43cb-92C2-25804820EDAC}">
              <c15:datalabelsRange>
                <c15:f>'HR SA'!$B$5:$B$11</c15:f>
                <c15:dlblRangeCache>
                  <c:ptCount val="7"/>
                  <c:pt idx="0">
                    <c:v>1</c:v>
                  </c:pt>
                  <c:pt idx="1">
                    <c:v>1.005</c:v>
                  </c:pt>
                  <c:pt idx="2">
                    <c:v>1.01</c:v>
                  </c:pt>
                  <c:pt idx="3">
                    <c:v>1.015</c:v>
                  </c:pt>
                  <c:pt idx="4">
                    <c:v>1.02</c:v>
                  </c:pt>
                  <c:pt idx="5">
                    <c:v>1.025</c:v>
                  </c:pt>
                  <c:pt idx="6">
                    <c:v>1.03</c:v>
                  </c:pt>
                </c15:dlblRangeCache>
              </c15:datalabelsRange>
            </c:ext>
            <c:ext xmlns:c16="http://schemas.microsoft.com/office/drawing/2014/chart" uri="{C3380CC4-5D6E-409C-BE32-E72D297353CC}">
              <c16:uniqueId val="{00000013-650A-4496-9C3D-FC9ADBA9672F}"/>
            </c:ext>
          </c:extLst>
        </c:ser>
        <c:dLbls>
          <c:showLegendKey val="0"/>
          <c:showVal val="0"/>
          <c:showCatName val="0"/>
          <c:showSerName val="0"/>
          <c:showPercent val="0"/>
          <c:showBubbleSize val="0"/>
        </c:dLbls>
        <c:axId val="729697320"/>
        <c:axId val="729700928"/>
      </c:scatterChart>
      <c:valAx>
        <c:axId val="72969732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a:t>Incremental QALYs </a:t>
                </a:r>
              </a:p>
              <a:p>
                <a:pPr>
                  <a:defRPr/>
                </a:pPr>
                <a:r>
                  <a:rPr lang="en-GB"/>
                  <a:t>(per 10K patients)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729700928"/>
        <c:crosses val="autoZero"/>
        <c:crossBetween val="midCat"/>
      </c:valAx>
      <c:valAx>
        <c:axId val="729700928"/>
        <c:scaling>
          <c:orientation val="minMax"/>
          <c:max val="12000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a:t>Incremental cost</a:t>
                </a:r>
              </a:p>
              <a:p>
                <a:pPr>
                  <a:defRPr/>
                </a:pPr>
                <a:r>
                  <a:rPr lang="en-GB"/>
                  <a:t>(per 10K patients)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729697320"/>
        <c:crosses val="autoZero"/>
        <c:crossBetween val="midCat"/>
        <c:dispUnits>
          <c:builtInUnit val="hundredThousands"/>
          <c:dispUnitsLbl>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a:t>£100K</a:t>
                  </a:r>
                </a:p>
              </c:rich>
            </c:tx>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dispUnitsLbl>
        </c:dispUnits>
      </c:valAx>
      <c:spPr>
        <a:noFill/>
        <a:ln>
          <a:noFill/>
        </a:ln>
        <a:effectLst/>
      </c:spPr>
    </c:plotArea>
    <c:plotVisOnly val="1"/>
    <c:dispBlanksAs val="gap"/>
    <c:showDLblsOverMax val="0"/>
  </c:chart>
  <c:spPr>
    <a:solidFill>
      <a:schemeClr val="bg1"/>
    </a:solidFill>
    <a:ln w="9525" cap="flat" cmpd="sng" algn="ctr">
      <a:solidFill>
        <a:schemeClr val="accent1"/>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0.26222</cdr:x>
      <cdr:y>0.37427</cdr:y>
    </cdr:from>
    <cdr:to>
      <cdr:x>0.66786</cdr:x>
      <cdr:y>0.46211</cdr:y>
    </cdr:to>
    <cdr:sp macro="" textlink="">
      <cdr:nvSpPr>
        <cdr:cNvPr id="3" name="TextBox 2">
          <a:extLst xmlns:a="http://schemas.openxmlformats.org/drawingml/2006/main">
            <a:ext uri="{FF2B5EF4-FFF2-40B4-BE49-F238E27FC236}">
              <a16:creationId xmlns:a16="http://schemas.microsoft.com/office/drawing/2014/main" id="{77CA83BD-56A5-4C69-A6DD-A67BCD752BDE}"/>
            </a:ext>
          </a:extLst>
        </cdr:cNvPr>
        <cdr:cNvSpPr txBox="1"/>
      </cdr:nvSpPr>
      <cdr:spPr>
        <a:xfrm xmlns:a="http://schemas.openxmlformats.org/drawingml/2006/main">
          <a:off x="1883039" y="1620397"/>
          <a:ext cx="2912949" cy="38030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050">
              <a:latin typeface="Arial" panose="020B0604020202020204" pitchFamily="34" charset="0"/>
              <a:cs typeface="Arial" panose="020B0604020202020204" pitchFamily="34" charset="0"/>
            </a:rPr>
            <a:t>Reference ICER = 20,000</a:t>
          </a:r>
        </a:p>
      </cdr:txBody>
    </cdr:sp>
  </cdr:relSizeAnchor>
  <cdr:relSizeAnchor xmlns:cdr="http://schemas.openxmlformats.org/drawingml/2006/chartDrawing">
    <cdr:from>
      <cdr:x>0.81552</cdr:x>
      <cdr:y>0.24852</cdr:y>
    </cdr:from>
    <cdr:to>
      <cdr:x>0.96101</cdr:x>
      <cdr:y>0.35486</cdr:y>
    </cdr:to>
    <cdr:sp macro="" textlink="">
      <cdr:nvSpPr>
        <cdr:cNvPr id="4" name="TextBox 1">
          <a:extLst xmlns:a="http://schemas.openxmlformats.org/drawingml/2006/main">
            <a:ext uri="{FF2B5EF4-FFF2-40B4-BE49-F238E27FC236}">
              <a16:creationId xmlns:a16="http://schemas.microsoft.com/office/drawing/2014/main" id="{8DD3F3FD-393F-4FAA-A357-976FE28FABD4}"/>
            </a:ext>
          </a:extLst>
        </cdr:cNvPr>
        <cdr:cNvSpPr txBox="1"/>
      </cdr:nvSpPr>
      <cdr:spPr>
        <a:xfrm xmlns:a="http://schemas.openxmlformats.org/drawingml/2006/main">
          <a:off x="5856349" y="1075969"/>
          <a:ext cx="1044781" cy="46039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050">
              <a:latin typeface="Arial" panose="020B0604020202020204" pitchFamily="34" charset="0"/>
              <a:cs typeface="Arial" panose="020B0604020202020204" pitchFamily="34" charset="0"/>
            </a:rPr>
            <a:t>Test</a:t>
          </a:r>
          <a:r>
            <a:rPr lang="en-GB" sz="1050" baseline="0">
              <a:latin typeface="Arial" panose="020B0604020202020204" pitchFamily="34" charset="0"/>
              <a:cs typeface="Arial" panose="020B0604020202020204" pitchFamily="34" charset="0"/>
            </a:rPr>
            <a:t> cost:</a:t>
          </a:r>
        </a:p>
        <a:p xmlns:a="http://schemas.openxmlformats.org/drawingml/2006/main">
          <a:r>
            <a:rPr lang="en-GB" sz="1050" baseline="0">
              <a:latin typeface="Arial" panose="020B0604020202020204" pitchFamily="34" charset="0"/>
              <a:cs typeface="Arial" panose="020B0604020202020204" pitchFamily="34" charset="0"/>
            </a:rPr>
            <a:t>100</a:t>
          </a:r>
          <a:endParaRPr lang="en-GB" sz="105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0.81246</cdr:x>
      <cdr:y>0.79351</cdr:y>
    </cdr:from>
    <cdr:to>
      <cdr:x>0.95795</cdr:x>
      <cdr:y>0.89985</cdr:y>
    </cdr:to>
    <cdr:sp macro="" textlink="">
      <cdr:nvSpPr>
        <cdr:cNvPr id="8" name="TextBox 1">
          <a:extLst xmlns:a="http://schemas.openxmlformats.org/drawingml/2006/main">
            <a:ext uri="{FF2B5EF4-FFF2-40B4-BE49-F238E27FC236}">
              <a16:creationId xmlns:a16="http://schemas.microsoft.com/office/drawing/2014/main" id="{8904E693-F70C-4DAE-B78F-945DDF36269A}"/>
            </a:ext>
          </a:extLst>
        </cdr:cNvPr>
        <cdr:cNvSpPr txBox="1"/>
      </cdr:nvSpPr>
      <cdr:spPr>
        <a:xfrm xmlns:a="http://schemas.openxmlformats.org/drawingml/2006/main">
          <a:off x="5834398" y="3435492"/>
          <a:ext cx="1044781" cy="46039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050">
              <a:latin typeface="Arial" panose="020B0604020202020204" pitchFamily="34" charset="0"/>
              <a:cs typeface="Arial" panose="020B0604020202020204" pitchFamily="34" charset="0"/>
            </a:rPr>
            <a:t>Test</a:t>
          </a:r>
          <a:r>
            <a:rPr lang="en-GB" sz="1050" baseline="0">
              <a:latin typeface="Arial" panose="020B0604020202020204" pitchFamily="34" charset="0"/>
              <a:cs typeface="Arial" panose="020B0604020202020204" pitchFamily="34" charset="0"/>
            </a:rPr>
            <a:t> cost:</a:t>
          </a:r>
        </a:p>
        <a:p xmlns:a="http://schemas.openxmlformats.org/drawingml/2006/main">
          <a:r>
            <a:rPr lang="en-GB" sz="1050" baseline="0">
              <a:latin typeface="Arial" panose="020B0604020202020204" pitchFamily="34" charset="0"/>
              <a:cs typeface="Arial" panose="020B0604020202020204" pitchFamily="34" charset="0"/>
            </a:rPr>
            <a:t>50</a:t>
          </a:r>
          <a:endParaRPr lang="en-GB" sz="1050">
            <a:latin typeface="Arial" panose="020B0604020202020204" pitchFamily="34" charset="0"/>
            <a:cs typeface="Arial" panose="020B0604020202020204" pitchFamily="34"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0.33283</cdr:x>
      <cdr:y>0.46634</cdr:y>
    </cdr:from>
    <cdr:to>
      <cdr:x>0.73847</cdr:x>
      <cdr:y>0.55418</cdr:y>
    </cdr:to>
    <cdr:sp macro="" textlink="">
      <cdr:nvSpPr>
        <cdr:cNvPr id="3" name="TextBox 2">
          <a:extLst xmlns:a="http://schemas.openxmlformats.org/drawingml/2006/main">
            <a:ext uri="{FF2B5EF4-FFF2-40B4-BE49-F238E27FC236}">
              <a16:creationId xmlns:a16="http://schemas.microsoft.com/office/drawing/2014/main" id="{77CA83BD-56A5-4C69-A6DD-A67BCD752BDE}"/>
            </a:ext>
          </a:extLst>
        </cdr:cNvPr>
        <cdr:cNvSpPr txBox="1"/>
      </cdr:nvSpPr>
      <cdr:spPr>
        <a:xfrm xmlns:a="http://schemas.openxmlformats.org/drawingml/2006/main">
          <a:off x="2273056" y="2056590"/>
          <a:ext cx="2770288" cy="38738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050">
              <a:latin typeface="Arial" panose="020B0604020202020204" pitchFamily="34" charset="0"/>
              <a:cs typeface="Arial" panose="020B0604020202020204" pitchFamily="34" charset="0"/>
            </a:rPr>
            <a:t>Reference ICER = 20,000</a:t>
          </a:r>
        </a:p>
      </cdr:txBody>
    </cdr:sp>
  </cdr:relSizeAnchor>
  <cdr:relSizeAnchor xmlns:cdr="http://schemas.openxmlformats.org/drawingml/2006/chartDrawing">
    <cdr:from>
      <cdr:x>0.79922</cdr:x>
      <cdr:y>0.26827</cdr:y>
    </cdr:from>
    <cdr:to>
      <cdr:x>0.94471</cdr:x>
      <cdr:y>0.37461</cdr:y>
    </cdr:to>
    <cdr:sp macro="" textlink="">
      <cdr:nvSpPr>
        <cdr:cNvPr id="4" name="TextBox 1">
          <a:extLst xmlns:a="http://schemas.openxmlformats.org/drawingml/2006/main">
            <a:ext uri="{FF2B5EF4-FFF2-40B4-BE49-F238E27FC236}">
              <a16:creationId xmlns:a16="http://schemas.microsoft.com/office/drawing/2014/main" id="{8DD3F3FD-393F-4FAA-A357-976FE28FABD4}"/>
            </a:ext>
          </a:extLst>
        </cdr:cNvPr>
        <cdr:cNvSpPr txBox="1"/>
      </cdr:nvSpPr>
      <cdr:spPr>
        <a:xfrm xmlns:a="http://schemas.openxmlformats.org/drawingml/2006/main">
          <a:off x="5458229" y="1183092"/>
          <a:ext cx="993613" cy="46896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050">
              <a:latin typeface="Arial" panose="020B0604020202020204" pitchFamily="34" charset="0"/>
              <a:cs typeface="Arial" panose="020B0604020202020204" pitchFamily="34" charset="0"/>
            </a:rPr>
            <a:t>Test</a:t>
          </a:r>
          <a:r>
            <a:rPr lang="en-GB" sz="1050" baseline="0">
              <a:latin typeface="Arial" panose="020B0604020202020204" pitchFamily="34" charset="0"/>
              <a:cs typeface="Arial" panose="020B0604020202020204" pitchFamily="34" charset="0"/>
            </a:rPr>
            <a:t> cost:</a:t>
          </a:r>
        </a:p>
        <a:p xmlns:a="http://schemas.openxmlformats.org/drawingml/2006/main">
          <a:r>
            <a:rPr lang="en-GB" sz="1050" baseline="0">
              <a:latin typeface="Arial" panose="020B0604020202020204" pitchFamily="34" charset="0"/>
              <a:cs typeface="Arial" panose="020B0604020202020204" pitchFamily="34" charset="0"/>
            </a:rPr>
            <a:t>100</a:t>
          </a:r>
          <a:endParaRPr lang="en-GB" sz="105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0.80232</cdr:x>
      <cdr:y>0.65555</cdr:y>
    </cdr:from>
    <cdr:to>
      <cdr:x>0.94781</cdr:x>
      <cdr:y>0.76189</cdr:y>
    </cdr:to>
    <cdr:sp macro="" textlink="">
      <cdr:nvSpPr>
        <cdr:cNvPr id="8" name="TextBox 1">
          <a:extLst xmlns:a="http://schemas.openxmlformats.org/drawingml/2006/main">
            <a:ext uri="{FF2B5EF4-FFF2-40B4-BE49-F238E27FC236}">
              <a16:creationId xmlns:a16="http://schemas.microsoft.com/office/drawing/2014/main" id="{8904E693-F70C-4DAE-B78F-945DDF36269A}"/>
            </a:ext>
          </a:extLst>
        </cdr:cNvPr>
        <cdr:cNvSpPr txBox="1"/>
      </cdr:nvSpPr>
      <cdr:spPr>
        <a:xfrm xmlns:a="http://schemas.openxmlformats.org/drawingml/2006/main">
          <a:off x="5479381" y="2891037"/>
          <a:ext cx="993613" cy="46896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050">
              <a:latin typeface="Arial" panose="020B0604020202020204" pitchFamily="34" charset="0"/>
              <a:cs typeface="Arial" panose="020B0604020202020204" pitchFamily="34" charset="0"/>
            </a:rPr>
            <a:t>Test</a:t>
          </a:r>
          <a:r>
            <a:rPr lang="en-GB" sz="1050" baseline="0">
              <a:latin typeface="Arial" panose="020B0604020202020204" pitchFamily="34" charset="0"/>
              <a:cs typeface="Arial" panose="020B0604020202020204" pitchFamily="34" charset="0"/>
            </a:rPr>
            <a:t> cost:</a:t>
          </a:r>
        </a:p>
        <a:p xmlns:a="http://schemas.openxmlformats.org/drawingml/2006/main">
          <a:r>
            <a:rPr lang="en-GB" sz="1050" baseline="0">
              <a:latin typeface="Arial" panose="020B0604020202020204" pitchFamily="34" charset="0"/>
              <a:cs typeface="Arial" panose="020B0604020202020204" pitchFamily="34" charset="0"/>
            </a:rPr>
            <a:t>50</a:t>
          </a:r>
          <a:endParaRPr lang="en-GB" sz="1050">
            <a:latin typeface="Arial" panose="020B0604020202020204" pitchFamily="34" charset="0"/>
            <a:cs typeface="Arial" panose="020B0604020202020204" pitchFamily="34"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0.29936</cdr:x>
      <cdr:y>0.33027</cdr:y>
    </cdr:from>
    <cdr:to>
      <cdr:x>0.705</cdr:x>
      <cdr:y>0.41811</cdr:y>
    </cdr:to>
    <cdr:sp macro="" textlink="">
      <cdr:nvSpPr>
        <cdr:cNvPr id="3" name="TextBox 2">
          <a:extLst xmlns:a="http://schemas.openxmlformats.org/drawingml/2006/main">
            <a:ext uri="{FF2B5EF4-FFF2-40B4-BE49-F238E27FC236}">
              <a16:creationId xmlns:a16="http://schemas.microsoft.com/office/drawing/2014/main" id="{77CA83BD-56A5-4C69-A6DD-A67BCD752BDE}"/>
            </a:ext>
          </a:extLst>
        </cdr:cNvPr>
        <cdr:cNvSpPr txBox="1"/>
      </cdr:nvSpPr>
      <cdr:spPr>
        <a:xfrm xmlns:a="http://schemas.openxmlformats.org/drawingml/2006/main">
          <a:off x="1705134" y="1330673"/>
          <a:ext cx="2310506" cy="35391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050">
              <a:latin typeface="Arial" panose="020B0604020202020204" pitchFamily="34" charset="0"/>
              <a:cs typeface="Arial" panose="020B0604020202020204" pitchFamily="34" charset="0"/>
            </a:rPr>
            <a:t>Reference ICER = 20,000</a:t>
          </a:r>
        </a:p>
      </cdr:txBody>
    </cdr:sp>
  </cdr:relSizeAnchor>
  <cdr:relSizeAnchor xmlns:cdr="http://schemas.openxmlformats.org/drawingml/2006/chartDrawing">
    <cdr:from>
      <cdr:x>0.83409</cdr:x>
      <cdr:y>0.14732</cdr:y>
    </cdr:from>
    <cdr:to>
      <cdr:x>0.97958</cdr:x>
      <cdr:y>0.25366</cdr:y>
    </cdr:to>
    <cdr:sp macro="" textlink="">
      <cdr:nvSpPr>
        <cdr:cNvPr id="4" name="TextBox 1">
          <a:extLst xmlns:a="http://schemas.openxmlformats.org/drawingml/2006/main">
            <a:ext uri="{FF2B5EF4-FFF2-40B4-BE49-F238E27FC236}">
              <a16:creationId xmlns:a16="http://schemas.microsoft.com/office/drawing/2014/main" id="{8DD3F3FD-393F-4FAA-A357-976FE28FABD4}"/>
            </a:ext>
          </a:extLst>
        </cdr:cNvPr>
        <cdr:cNvSpPr txBox="1"/>
      </cdr:nvSpPr>
      <cdr:spPr>
        <a:xfrm xmlns:a="http://schemas.openxmlformats.org/drawingml/2006/main">
          <a:off x="5251450" y="598488"/>
          <a:ext cx="916042" cy="43198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050">
              <a:latin typeface="Arial" panose="020B0604020202020204" pitchFamily="34" charset="0"/>
              <a:cs typeface="Arial" panose="020B0604020202020204" pitchFamily="34" charset="0"/>
            </a:rPr>
            <a:t>Test</a:t>
          </a:r>
          <a:r>
            <a:rPr lang="en-GB" sz="1050" baseline="0">
              <a:latin typeface="Arial" panose="020B0604020202020204" pitchFamily="34" charset="0"/>
              <a:cs typeface="Arial" panose="020B0604020202020204" pitchFamily="34" charset="0"/>
            </a:rPr>
            <a:t> cost:</a:t>
          </a:r>
        </a:p>
        <a:p xmlns:a="http://schemas.openxmlformats.org/drawingml/2006/main">
          <a:r>
            <a:rPr lang="en-GB" sz="1050" baseline="0">
              <a:latin typeface="Arial" panose="020B0604020202020204" pitchFamily="34" charset="0"/>
              <a:cs typeface="Arial" panose="020B0604020202020204" pitchFamily="34" charset="0"/>
            </a:rPr>
            <a:t>100</a:t>
          </a:r>
          <a:endParaRPr lang="en-GB" sz="105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0.84695</cdr:x>
      <cdr:y>0.69011</cdr:y>
    </cdr:from>
    <cdr:to>
      <cdr:x>0.99244</cdr:x>
      <cdr:y>0.79645</cdr:y>
    </cdr:to>
    <cdr:sp macro="" textlink="">
      <cdr:nvSpPr>
        <cdr:cNvPr id="8" name="TextBox 1">
          <a:extLst xmlns:a="http://schemas.openxmlformats.org/drawingml/2006/main">
            <a:ext uri="{FF2B5EF4-FFF2-40B4-BE49-F238E27FC236}">
              <a16:creationId xmlns:a16="http://schemas.microsoft.com/office/drawing/2014/main" id="{8904E693-F70C-4DAE-B78F-945DDF36269A}"/>
            </a:ext>
          </a:extLst>
        </cdr:cNvPr>
        <cdr:cNvSpPr txBox="1"/>
      </cdr:nvSpPr>
      <cdr:spPr>
        <a:xfrm xmlns:a="http://schemas.openxmlformats.org/drawingml/2006/main">
          <a:off x="5332413" y="2803525"/>
          <a:ext cx="916042" cy="43198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050">
              <a:latin typeface="Arial" panose="020B0604020202020204" pitchFamily="34" charset="0"/>
              <a:cs typeface="Arial" panose="020B0604020202020204" pitchFamily="34" charset="0"/>
            </a:rPr>
            <a:t>Test</a:t>
          </a:r>
          <a:r>
            <a:rPr lang="en-GB" sz="1050" baseline="0">
              <a:latin typeface="Arial" panose="020B0604020202020204" pitchFamily="34" charset="0"/>
              <a:cs typeface="Arial" panose="020B0604020202020204" pitchFamily="34" charset="0"/>
            </a:rPr>
            <a:t> cost:</a:t>
          </a:r>
        </a:p>
        <a:p xmlns:a="http://schemas.openxmlformats.org/drawingml/2006/main">
          <a:r>
            <a:rPr lang="en-GB" sz="1050" baseline="0">
              <a:latin typeface="Arial" panose="020B0604020202020204" pitchFamily="34" charset="0"/>
              <a:cs typeface="Arial" panose="020B0604020202020204" pitchFamily="34" charset="0"/>
            </a:rPr>
            <a:t>50</a:t>
          </a:r>
          <a:endParaRPr lang="en-GB" sz="105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0.2908</cdr:x>
      <cdr:y>0.61664</cdr:y>
    </cdr:from>
    <cdr:to>
      <cdr:x>0.69644</cdr:x>
      <cdr:y>0.70449</cdr:y>
    </cdr:to>
    <cdr:sp macro="" textlink="">
      <cdr:nvSpPr>
        <cdr:cNvPr id="3" name="TextBox 2">
          <a:extLst xmlns:a="http://schemas.openxmlformats.org/drawingml/2006/main">
            <a:ext uri="{FF2B5EF4-FFF2-40B4-BE49-F238E27FC236}">
              <a16:creationId xmlns:a16="http://schemas.microsoft.com/office/drawing/2014/main" id="{77CA83BD-56A5-4C69-A6DD-A67BCD752BDE}"/>
            </a:ext>
          </a:extLst>
        </cdr:cNvPr>
        <cdr:cNvSpPr txBox="1"/>
      </cdr:nvSpPr>
      <cdr:spPr>
        <a:xfrm xmlns:a="http://schemas.openxmlformats.org/drawingml/2006/main">
          <a:off x="1713837" y="2391991"/>
          <a:ext cx="2390670" cy="34074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050">
              <a:latin typeface="Arial" panose="020B0604020202020204" pitchFamily="34" charset="0"/>
              <a:cs typeface="Arial" panose="020B0604020202020204" pitchFamily="34" charset="0"/>
            </a:rPr>
            <a:t>Reference ICER = 20,000</a:t>
          </a:r>
        </a:p>
      </cdr:txBody>
    </cdr:sp>
  </cdr:relSizeAnchor>
  <cdr:relSizeAnchor xmlns:cdr="http://schemas.openxmlformats.org/drawingml/2006/chartDrawing">
    <cdr:from>
      <cdr:x>0.82088</cdr:x>
      <cdr:y>0.25859</cdr:y>
    </cdr:from>
    <cdr:to>
      <cdr:x>0.95177</cdr:x>
      <cdr:y>0.37134</cdr:y>
    </cdr:to>
    <cdr:sp macro="" textlink="">
      <cdr:nvSpPr>
        <cdr:cNvPr id="4" name="TextBox 1">
          <a:extLst xmlns:a="http://schemas.openxmlformats.org/drawingml/2006/main">
            <a:ext uri="{FF2B5EF4-FFF2-40B4-BE49-F238E27FC236}">
              <a16:creationId xmlns:a16="http://schemas.microsoft.com/office/drawing/2014/main" id="{6A95B37F-241F-469F-95CD-64978224FEC3}"/>
            </a:ext>
          </a:extLst>
        </cdr:cNvPr>
        <cdr:cNvSpPr txBox="1"/>
      </cdr:nvSpPr>
      <cdr:spPr>
        <a:xfrm xmlns:a="http://schemas.openxmlformats.org/drawingml/2006/main">
          <a:off x="5744913" y="990781"/>
          <a:ext cx="916042" cy="43198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050">
              <a:latin typeface="Arial" panose="020B0604020202020204" pitchFamily="34" charset="0"/>
              <a:cs typeface="Arial" panose="020B0604020202020204" pitchFamily="34" charset="0"/>
            </a:rPr>
            <a:t>Test</a:t>
          </a:r>
          <a:r>
            <a:rPr lang="en-GB" sz="1050" baseline="0">
              <a:latin typeface="Arial" panose="020B0604020202020204" pitchFamily="34" charset="0"/>
              <a:cs typeface="Arial" panose="020B0604020202020204" pitchFamily="34" charset="0"/>
            </a:rPr>
            <a:t> cost:</a:t>
          </a:r>
        </a:p>
        <a:p xmlns:a="http://schemas.openxmlformats.org/drawingml/2006/main">
          <a:r>
            <a:rPr lang="en-GB" sz="1050" baseline="0">
              <a:latin typeface="Arial" panose="020B0604020202020204" pitchFamily="34" charset="0"/>
              <a:cs typeface="Arial" panose="020B0604020202020204" pitchFamily="34" charset="0"/>
            </a:rPr>
            <a:t>100</a:t>
          </a:r>
          <a:endParaRPr lang="en-GB" sz="105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0.81739</cdr:x>
      <cdr:y>0.54775</cdr:y>
    </cdr:from>
    <cdr:to>
      <cdr:x>0.94828</cdr:x>
      <cdr:y>0.6605</cdr:y>
    </cdr:to>
    <cdr:sp macro="" textlink="">
      <cdr:nvSpPr>
        <cdr:cNvPr id="5" name="TextBox 1">
          <a:extLst xmlns:a="http://schemas.openxmlformats.org/drawingml/2006/main">
            <a:ext uri="{FF2B5EF4-FFF2-40B4-BE49-F238E27FC236}">
              <a16:creationId xmlns:a16="http://schemas.microsoft.com/office/drawing/2014/main" id="{8DD3F3FD-393F-4FAA-A357-976FE28FABD4}"/>
            </a:ext>
          </a:extLst>
        </cdr:cNvPr>
        <cdr:cNvSpPr txBox="1"/>
      </cdr:nvSpPr>
      <cdr:spPr>
        <a:xfrm xmlns:a="http://schemas.openxmlformats.org/drawingml/2006/main">
          <a:off x="5720503" y="2098675"/>
          <a:ext cx="916042" cy="43198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050">
              <a:latin typeface="Arial" panose="020B0604020202020204" pitchFamily="34" charset="0"/>
              <a:cs typeface="Arial" panose="020B0604020202020204" pitchFamily="34" charset="0"/>
            </a:rPr>
            <a:t>Test</a:t>
          </a:r>
          <a:r>
            <a:rPr lang="en-GB" sz="1050" baseline="0">
              <a:latin typeface="Arial" panose="020B0604020202020204" pitchFamily="34" charset="0"/>
              <a:cs typeface="Arial" panose="020B0604020202020204" pitchFamily="34" charset="0"/>
            </a:rPr>
            <a:t> cost:</a:t>
          </a:r>
        </a:p>
        <a:p xmlns:a="http://schemas.openxmlformats.org/drawingml/2006/main">
          <a:r>
            <a:rPr lang="en-GB" sz="1050" baseline="0">
              <a:latin typeface="Arial" panose="020B0604020202020204" pitchFamily="34" charset="0"/>
              <a:cs typeface="Arial" panose="020B0604020202020204" pitchFamily="34" charset="0"/>
            </a:rPr>
            <a:t>50</a:t>
          </a:r>
          <a:endParaRPr lang="en-GB" sz="105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46521-6175-4491-A1D7-D7B27C8EF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8</Pages>
  <Words>8017</Words>
  <Characters>45698</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Ewan Gray</dc:creator>
  <cp:keywords/>
  <dc:description/>
  <cp:lastModifiedBy>Ewan Gray</cp:lastModifiedBy>
  <cp:revision>17</cp:revision>
  <dcterms:created xsi:type="dcterms:W3CDTF">2020-12-14T14:19:00Z</dcterms:created>
  <dcterms:modified xsi:type="dcterms:W3CDTF">2020-12-18T10:53:00Z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http://www.zotero.org/styles/harvard-cite-them-right</vt:lpwstr>
  </property>
  <property fmtid="{D5CDD505-2E9C-101B-9397-08002B2CF9AE}" pid="5" name="Mendeley Recent Style Name 1_1">
    <vt:lpwstr>Cite Them Right 10th edition - Harvard</vt:lpwstr>
  </property>
  <property fmtid="{D5CDD505-2E9C-101B-9397-08002B2CF9AE}" pid="6" name="Mendeley Recent Style Id 2_1">
    <vt:lpwstr>http://www.zotero.org/styles/ieee</vt:lpwstr>
  </property>
  <property fmtid="{D5CDD505-2E9C-101B-9397-08002B2CF9AE}" pid="7" name="Mendeley Recent Style Name 2_1">
    <vt:lpwstr>IEEE</vt:lpwstr>
  </property>
  <property fmtid="{D5CDD505-2E9C-101B-9397-08002B2CF9AE}" pid="8" name="Mendeley Recent Style Id 3_1">
    <vt:lpwstr>http://www.zotero.org/styles/journal-of-clinical-oncology</vt:lpwstr>
  </property>
  <property fmtid="{D5CDD505-2E9C-101B-9397-08002B2CF9AE}" pid="9" name="Mendeley Recent Style Name 3_1">
    <vt:lpwstr>Journal of Clinical Oncology</vt:lpwstr>
  </property>
  <property fmtid="{D5CDD505-2E9C-101B-9397-08002B2CF9AE}" pid="10" name="Mendeley Recent Style Id 4_1">
    <vt:lpwstr>http://www.zotero.org/styles/modern-humanities-research-association</vt:lpwstr>
  </property>
  <property fmtid="{D5CDD505-2E9C-101B-9397-08002B2CF9AE}" pid="11" name="Mendeley Recent Style Name 4_1">
    <vt:lpwstr>Modern Humanities Research Association 3rd edition (note with bibliography)</vt:lpwstr>
  </property>
  <property fmtid="{D5CDD505-2E9C-101B-9397-08002B2CF9AE}" pid="12" name="Mendeley Recent Style Id 5_1">
    <vt:lpwstr>http://www.zotero.org/styles/modern-language-association</vt:lpwstr>
  </property>
  <property fmtid="{D5CDD505-2E9C-101B-9397-08002B2CF9AE}" pid="13" name="Mendeley Recent Style Name 5_1">
    <vt:lpwstr>Modern Language Association 8th edition</vt:lpwstr>
  </property>
  <property fmtid="{D5CDD505-2E9C-101B-9397-08002B2CF9AE}" pid="14" name="Mendeley Recent Style Id 6_1">
    <vt:lpwstr>http://www.zotero.org/styles/nature</vt:lpwstr>
  </property>
  <property fmtid="{D5CDD505-2E9C-101B-9397-08002B2CF9AE}" pid="15" name="Mendeley Recent Style Name 6_1">
    <vt:lpwstr>Nature</vt:lpwstr>
  </property>
  <property fmtid="{D5CDD505-2E9C-101B-9397-08002B2CF9AE}" pid="16" name="Mendeley Recent Style Id 7_1">
    <vt:lpwstr>http://www.zotero.org/styles/springer-vancouver</vt:lpwstr>
  </property>
  <property fmtid="{D5CDD505-2E9C-101B-9397-08002B2CF9AE}" pid="17" name="Mendeley Recent Style Name 7_1">
    <vt:lpwstr>Springer - Vancouver</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http://www.zotero.org/styles/vancouver-brackets</vt:lpwstr>
  </property>
  <property fmtid="{D5CDD505-2E9C-101B-9397-08002B2CF9AE}" pid="21" name="Mendeley Recent Style Name 9_1">
    <vt:lpwstr>Vancouver (brackets)</vt:lpwstr>
  </property>
  <property fmtid="{D5CDD505-2E9C-101B-9397-08002B2CF9AE}" pid="22" name="Mendeley Document_1">
    <vt:lpwstr>True</vt:lpwstr>
  </property>
  <property fmtid="{D5CDD505-2E9C-101B-9397-08002B2CF9AE}" pid="23" name="Mendeley Unique User Id_1">
    <vt:lpwstr>a4aeb715-bf4d-3428-b45a-fe3cadfaeb0b</vt:lpwstr>
  </property>
  <property fmtid="{D5CDD505-2E9C-101B-9397-08002B2CF9AE}" pid="24" name="Mendeley Citation Style_1">
    <vt:lpwstr>http://www.zotero.org/styles/vancouver</vt:lpwstr>
  </property>
</Properties>
</file>