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9C84A" w14:textId="16B453EB" w:rsidR="00D1748B" w:rsidRPr="00900280" w:rsidRDefault="00D1748B" w:rsidP="00A66E87">
      <w:pPr>
        <w:spacing w:line="360" w:lineRule="auto"/>
        <w:textAlignment w:val="baseline"/>
        <w:rPr>
          <w:rFonts w:ascii="Calibri Light" w:eastAsia="Times New Roman" w:hAnsi="Calibri Light" w:cs="Calibri Light"/>
          <w:color w:val="2F5496"/>
          <w:sz w:val="32"/>
          <w:szCs w:val="32"/>
          <w:lang w:val="en-CA"/>
        </w:rPr>
      </w:pPr>
      <w:r w:rsidRPr="00C560C4">
        <w:rPr>
          <w:rFonts w:ascii="Calibri Light" w:eastAsia="Times New Roman" w:hAnsi="Calibri Light" w:cs="Calibri Light"/>
          <w:color w:val="2F5496"/>
          <w:sz w:val="32"/>
          <w:szCs w:val="32"/>
          <w:lang w:val="en-CA"/>
        </w:rPr>
        <w:t>Appendix 2 – Supplemental Tables</w:t>
      </w:r>
    </w:p>
    <w:p w14:paraId="7DB0BCE0" w14:textId="4199616E" w:rsidR="00D1748B" w:rsidRPr="007B3046" w:rsidRDefault="00D1748B" w:rsidP="00A66E87">
      <w:pPr>
        <w:spacing w:line="276" w:lineRule="auto"/>
        <w:textAlignment w:val="baseline"/>
        <w:rPr>
          <w:rFonts w:ascii="Arial" w:eastAsia="Times New Roman" w:hAnsi="Arial" w:cs="Arial"/>
          <w:b/>
          <w:bCs/>
          <w:sz w:val="20"/>
          <w:szCs w:val="20"/>
          <w:lang w:val="en-CA"/>
        </w:rPr>
      </w:pPr>
      <w:r w:rsidRPr="007B3046">
        <w:rPr>
          <w:rFonts w:ascii="Arial" w:eastAsia="Times New Roman" w:hAnsi="Arial" w:cs="Arial"/>
          <w:b/>
          <w:bCs/>
          <w:sz w:val="20"/>
          <w:szCs w:val="20"/>
          <w:lang w:val="en-CA"/>
        </w:rPr>
        <w:t>Supplemental Table S1. Post hoc analysis of the number of relevant records in the top 100</w:t>
      </w:r>
    </w:p>
    <w:tbl>
      <w:tblPr>
        <w:tblW w:w="7684"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48"/>
        <w:gridCol w:w="1134"/>
        <w:gridCol w:w="1701"/>
        <w:gridCol w:w="1701"/>
      </w:tblGrid>
      <w:tr w:rsidR="00D1748B" w:rsidRPr="00900280" w14:paraId="20F1A9F4" w14:textId="77777777" w:rsidTr="0035142D">
        <w:trPr>
          <w:trHeight w:val="510"/>
        </w:trPr>
        <w:tc>
          <w:tcPr>
            <w:tcW w:w="3148" w:type="dxa"/>
            <w:tcBorders>
              <w:top w:val="single" w:sz="6" w:space="0" w:color="auto"/>
              <w:left w:val="single" w:sz="6" w:space="0" w:color="auto"/>
              <w:bottom w:val="single" w:sz="6" w:space="0" w:color="auto"/>
              <w:right w:val="single" w:sz="6" w:space="0" w:color="auto"/>
            </w:tcBorders>
            <w:shd w:val="clear" w:color="auto" w:fill="auto"/>
            <w:hideMark/>
          </w:tcPr>
          <w:p w14:paraId="004AD09E" w14:textId="77777777" w:rsidR="00D1748B" w:rsidRPr="00900280" w:rsidRDefault="00D1748B" w:rsidP="005B2B55">
            <w:pP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Search </w:t>
            </w:r>
          </w:p>
        </w:tc>
        <w:tc>
          <w:tcPr>
            <w:tcW w:w="1134" w:type="dxa"/>
            <w:tcBorders>
              <w:top w:val="single" w:sz="6" w:space="0" w:color="auto"/>
              <w:left w:val="nil"/>
              <w:bottom w:val="single" w:sz="6" w:space="0" w:color="auto"/>
              <w:right w:val="single" w:sz="6" w:space="0" w:color="auto"/>
            </w:tcBorders>
            <w:shd w:val="clear" w:color="auto" w:fill="auto"/>
            <w:hideMark/>
          </w:tcPr>
          <w:p w14:paraId="5131FEF6" w14:textId="531CE7C1" w:rsidR="00D1748B" w:rsidRPr="00900280" w:rsidRDefault="00D1748B" w:rsidP="0035142D">
            <w:pPr>
              <w:jc w:val="cente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Total Retrieval</w:t>
            </w:r>
          </w:p>
          <w:p w14:paraId="060EFABD" w14:textId="4E9C417F" w:rsidR="00D1748B" w:rsidRPr="00900280" w:rsidRDefault="00D1748B" w:rsidP="005B2B55">
            <w:pPr>
              <w:tabs>
                <w:tab w:val="decimal" w:pos="696"/>
              </w:tabs>
              <w:jc w:val="cente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(trimmed </w:t>
            </w:r>
          </w:p>
        </w:tc>
        <w:tc>
          <w:tcPr>
            <w:tcW w:w="1701" w:type="dxa"/>
            <w:tcBorders>
              <w:top w:val="single" w:sz="6" w:space="0" w:color="auto"/>
              <w:left w:val="nil"/>
              <w:bottom w:val="single" w:sz="6" w:space="0" w:color="auto"/>
              <w:right w:val="single" w:sz="6" w:space="0" w:color="auto"/>
            </w:tcBorders>
            <w:shd w:val="clear" w:color="auto" w:fill="auto"/>
            <w:hideMark/>
          </w:tcPr>
          <w:p w14:paraId="55BA1154" w14:textId="77777777" w:rsidR="0035142D" w:rsidRDefault="00D1748B" w:rsidP="0035142D">
            <w:pPr>
              <w:ind w:left="140"/>
              <w:jc w:val="cente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Best Match</w:t>
            </w:r>
          </w:p>
          <w:p w14:paraId="07B5DE95" w14:textId="35F0109C" w:rsidR="00D1748B" w:rsidRPr="00900280" w:rsidRDefault="00D1748B" w:rsidP="0035142D">
            <w:pPr>
              <w:ind w:left="140"/>
              <w:jc w:val="cente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Sort</w:t>
            </w:r>
          </w:p>
        </w:tc>
        <w:tc>
          <w:tcPr>
            <w:tcW w:w="1701" w:type="dxa"/>
            <w:tcBorders>
              <w:top w:val="single" w:sz="6" w:space="0" w:color="auto"/>
              <w:left w:val="nil"/>
              <w:bottom w:val="single" w:sz="6" w:space="0" w:color="auto"/>
              <w:right w:val="single" w:sz="6" w:space="0" w:color="auto"/>
            </w:tcBorders>
            <w:shd w:val="clear" w:color="auto" w:fill="auto"/>
            <w:hideMark/>
          </w:tcPr>
          <w:p w14:paraId="3F34837A" w14:textId="77777777" w:rsidR="0035142D" w:rsidRDefault="00D1748B" w:rsidP="0035142D">
            <w:pPr>
              <w:jc w:val="cente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Most Recent</w:t>
            </w:r>
          </w:p>
          <w:p w14:paraId="6728BD43" w14:textId="6621F157" w:rsidR="00D1748B" w:rsidRPr="00900280" w:rsidRDefault="00D1748B" w:rsidP="0035142D">
            <w:pPr>
              <w:jc w:val="cente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Sort</w:t>
            </w:r>
          </w:p>
        </w:tc>
      </w:tr>
      <w:tr w:rsidR="00D1748B" w:rsidRPr="00900280" w14:paraId="6B98368D" w14:textId="77777777" w:rsidTr="004117F4">
        <w:trPr>
          <w:trHeight w:val="378"/>
        </w:trPr>
        <w:tc>
          <w:tcPr>
            <w:tcW w:w="3148" w:type="dxa"/>
            <w:tcBorders>
              <w:top w:val="nil"/>
              <w:left w:val="single" w:sz="6" w:space="0" w:color="auto"/>
              <w:bottom w:val="single" w:sz="6" w:space="0" w:color="auto"/>
              <w:right w:val="single" w:sz="6" w:space="0" w:color="auto"/>
            </w:tcBorders>
            <w:shd w:val="clear" w:color="auto" w:fill="auto"/>
            <w:hideMark/>
          </w:tcPr>
          <w:p w14:paraId="7211BDB8" w14:textId="77777777" w:rsidR="00D1748B" w:rsidRPr="00900280" w:rsidRDefault="00D1748B" w:rsidP="004117F4">
            <w:pPr>
              <w:spacing w:before="40"/>
              <w:textAlignment w:val="baseline"/>
              <w:rPr>
                <w:rFonts w:ascii="Times New Roman" w:eastAsia="Times New Roman" w:hAnsi="Times New Roman" w:cs="Times New Roman"/>
                <w:lang w:val="en-CA"/>
              </w:rPr>
            </w:pPr>
            <w:r w:rsidRPr="00900280">
              <w:rPr>
                <w:rFonts w:ascii="Times New Roman" w:eastAsia="Times New Roman" w:hAnsi="Times New Roman" w:cs="Times New Roman"/>
                <w:lang w:val="en-CA"/>
              </w:rPr>
              <w:t> </w:t>
            </w:r>
          </w:p>
        </w:tc>
        <w:tc>
          <w:tcPr>
            <w:tcW w:w="1134" w:type="dxa"/>
            <w:tcBorders>
              <w:top w:val="nil"/>
              <w:left w:val="nil"/>
              <w:bottom w:val="single" w:sz="6" w:space="0" w:color="auto"/>
              <w:right w:val="single" w:sz="6" w:space="0" w:color="auto"/>
            </w:tcBorders>
            <w:shd w:val="clear" w:color="auto" w:fill="auto"/>
            <w:hideMark/>
          </w:tcPr>
          <w:p w14:paraId="2DA83202" w14:textId="77777777" w:rsidR="00D1748B" w:rsidRPr="00900280" w:rsidRDefault="00D1748B" w:rsidP="004117F4">
            <w:pPr>
              <w:tabs>
                <w:tab w:val="decimal" w:pos="696"/>
              </w:tabs>
              <w:spacing w:before="40"/>
              <w:textAlignment w:val="baseline"/>
              <w:rPr>
                <w:rFonts w:ascii="Times New Roman" w:eastAsia="Times New Roman" w:hAnsi="Times New Roman" w:cs="Times New Roman"/>
                <w:lang w:val="en-CA"/>
              </w:rPr>
            </w:pPr>
            <w:r w:rsidRPr="00900280">
              <w:rPr>
                <w:rFonts w:ascii="Arial" w:eastAsia="Times New Roman" w:hAnsi="Arial" w:cs="Arial"/>
                <w:sz w:val="20"/>
                <w:szCs w:val="20"/>
                <w:lang w:val="en-CA"/>
              </w:rPr>
              <w:t> </w:t>
            </w:r>
          </w:p>
        </w:tc>
        <w:tc>
          <w:tcPr>
            <w:tcW w:w="1701" w:type="dxa"/>
            <w:tcBorders>
              <w:top w:val="nil"/>
              <w:left w:val="nil"/>
              <w:bottom w:val="single" w:sz="6" w:space="0" w:color="auto"/>
              <w:right w:val="single" w:sz="6" w:space="0" w:color="auto"/>
            </w:tcBorders>
            <w:shd w:val="clear" w:color="auto" w:fill="auto"/>
            <w:hideMark/>
          </w:tcPr>
          <w:p w14:paraId="28933B70" w14:textId="77777777" w:rsidR="00D1748B" w:rsidRPr="00900280" w:rsidRDefault="00D1748B" w:rsidP="004117F4">
            <w:pPr>
              <w:spacing w:before="40"/>
              <w:ind w:left="1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N in Top 100</w:t>
            </w:r>
          </w:p>
        </w:tc>
        <w:tc>
          <w:tcPr>
            <w:tcW w:w="1701" w:type="dxa"/>
            <w:tcBorders>
              <w:top w:val="nil"/>
              <w:left w:val="nil"/>
              <w:bottom w:val="single" w:sz="6" w:space="0" w:color="auto"/>
              <w:right w:val="single" w:sz="6" w:space="0" w:color="auto"/>
            </w:tcBorders>
            <w:shd w:val="clear" w:color="auto" w:fill="auto"/>
            <w:hideMark/>
          </w:tcPr>
          <w:p w14:paraId="335C00D2" w14:textId="77777777" w:rsidR="00D1748B" w:rsidRPr="00900280" w:rsidRDefault="00D1748B" w:rsidP="004117F4">
            <w:pPr>
              <w:tabs>
                <w:tab w:val="decimal" w:pos="976"/>
              </w:tabs>
              <w:spacing w:before="40"/>
              <w:jc w:val="center"/>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N in Top 100</w:t>
            </w:r>
          </w:p>
        </w:tc>
      </w:tr>
      <w:tr w:rsidR="00D1748B" w:rsidRPr="00900280" w14:paraId="0703333E" w14:textId="77777777" w:rsidTr="0035142D">
        <w:trPr>
          <w:trHeight w:val="397"/>
        </w:trPr>
        <w:tc>
          <w:tcPr>
            <w:tcW w:w="3148" w:type="dxa"/>
            <w:tcBorders>
              <w:top w:val="nil"/>
              <w:left w:val="single" w:sz="6" w:space="0" w:color="auto"/>
              <w:bottom w:val="single" w:sz="6" w:space="0" w:color="auto"/>
              <w:right w:val="single" w:sz="6" w:space="0" w:color="auto"/>
            </w:tcBorders>
            <w:shd w:val="clear" w:color="auto" w:fill="auto"/>
            <w:hideMark/>
          </w:tcPr>
          <w:p w14:paraId="4971BD40" w14:textId="77777777" w:rsidR="00D1748B" w:rsidRPr="00900280" w:rsidRDefault="00D1748B" w:rsidP="004117F4">
            <w:pPr>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Vitamin D </w:t>
            </w:r>
            <w:r w:rsidRPr="00900280">
              <w:rPr>
                <w:rFonts w:ascii="Arial" w:eastAsia="Times New Roman" w:hAnsi="Arial" w:cs="Arial"/>
                <w:noProof/>
                <w:sz w:val="20"/>
                <w:szCs w:val="20"/>
                <w:lang w:val="en-CA"/>
              </w:rPr>
              <w:fldChar w:fldCharType="begin" w:fldLock="1"/>
            </w:r>
            <w:r w:rsidRPr="00900280">
              <w:rPr>
                <w:rFonts w:ascii="Arial" w:eastAsia="Times New Roman" w:hAnsi="Arial" w:cs="Arial"/>
                <w:noProof/>
                <w:sz w:val="20"/>
                <w:szCs w:val="20"/>
                <w:lang w:val="en-CA"/>
              </w:rPr>
              <w:instrText>ADDIN CSL_CITATION {"citationItems":[{"id":"ITEM-1","itemData":{"DOI":"10.7717/peerj.1701","ISSN":"21678359","abstract":"? 2016 Nama et al.Background. Due to inadequate UV exposure, intake of small quantities of vitamin D is recommended to prevent musculoskeletal disease. Both basic science and observational literature strongly suggest that higher doses may benefit specific populations and have non-musculoskeletal roles. Evaluating the evidence surrounding high dose supplementation can be challenging given a relatively large and growing body of clinical trial evidence spanning time, geography, populations and dosing regimens. Study objectives were to identify and summarize the clinical trial literature, recognize areas with high quality evidence, and develop a resource database that makes the literature more immediately accessible to end users. Methods. Medline (1946 to January 2015), Embase (1974 to January 2015), and Cochrane databases (January 2015), were searched for trials. All pediatric (0-18 years) trials administering doses higher than 400 IU (&lt; 1 year) or 600 IU (?1 year) were included. Data was extracted independently by two of the authors. An online searchable database of trials was developed containing relevant extracted information (http://www. cheori.org/en/pedvitaminddatabaseOverview). Sensitivity and utility were assessed by comparing the trials in the database with those from systematic reviews of vitamin D supplementation including children. Results. A total of 2,579 candidate papers were identified, yielding 169 trials having one or more arms meeting eligibility criteria. The publication rate has increased significantly from 1 per year (1970-1979) to 14 per year (2010-2015). Although 84% of the total trials focused on healthy children or known high risk populations (e.g., renal, prematurity), this proportion has declined in recent years due to the rise in trials evaluating populations and outcomes not directly related to the musculoskeletal actions of vitamin D (27% in 2010s). Beyond healthy children, the only pediatric populations with more than 50 participants from low risk of bias trials evaluating a clinically relevant outcome were prematurity and respiratory illness. Finally, we created and validated the online searchable database using 13 recent systematic reviews. Of the 38 high dose trials identified by the systematic review, 36 (94.7%) could be found within the database. When compared with the search strategy reported in each systematic review, use of the database reduced the number of full papers to assess for eligibility by 85.2% (?13.4%). Co…","author":[{"dropping-particle":"","family":"Nama","given":"N.","non-dropping-particle":"","parse-names":false,"suffix":""},{"dropping-particle":"","family":"Menon","given":"K.","non-dropping-particle":"","parse-names":false,"suffix":""},{"dropping-particle":"","family":"Iliriani","given":"K.","non-dropping-particle":"","parse-names":false,"suffix":""},{"dropping-particle":"","family":"Pojsupap","given":"S.","non-dropping-particle":"","parse-names":false,"suffix":""},{"dropping-particle":"","family":"Sampson","given":"M.","non-dropping-particle":"","parse-names":false,"suffix":""},{"dropping-particle":"","family":"O'Hearn","given":"K.","non-dropping-particle":"","parse-names":false,"suffix":""},{"dropping-particle":"","family":"Zhou","given":"L.","non-dropping-particle":"","parse-names":false,"suffix":""},{"dropping-particle":"","family":"McIntyre","given":"L.","non-dropping-particle":"","parse-names":false,"suffix":""},{"dropping-particle":"","family":"Fergusson","given":"D.","non-dropping-particle":"","parse-names":false,"suffix":""},{"dropping-particle":"","family":"McNally","given":"J.D.","non-dropping-particle":"","parse-names":false,"suffix":""}],"container-title":"PeerJ","id":"ITEM-1","issue":"2","issued":{"date-parts":[["2016"]]},"title":"A systematic review of pediatric clinical trials of high dose vitamin D","type":"article-journal","volume":"2016"},"uris":["http://www.mendeley.com/documents/?uuid=da3eef0b-20b7-3068-9745-c48339795d87"]}],"mendeley":{"formattedCitation":"(12)","plainTextFormattedCitation":"(12)","previouslyFormattedCitation":"(12)"},"properties":{"noteIndex":0},"schema":"https://github.com/citation-style-language/schema/raw/master/csl-citation.json"}</w:instrText>
            </w:r>
            <w:r w:rsidRPr="00900280">
              <w:rPr>
                <w:rFonts w:ascii="Arial" w:eastAsia="Times New Roman" w:hAnsi="Arial" w:cs="Arial"/>
                <w:noProof/>
                <w:sz w:val="20"/>
                <w:szCs w:val="20"/>
                <w:lang w:val="en-CA"/>
              </w:rPr>
              <w:fldChar w:fldCharType="separate"/>
            </w:r>
            <w:r w:rsidRPr="00900280">
              <w:rPr>
                <w:rFonts w:ascii="Arial" w:eastAsia="Times New Roman" w:hAnsi="Arial" w:cs="Arial"/>
                <w:noProof/>
                <w:sz w:val="20"/>
                <w:szCs w:val="20"/>
                <w:lang w:val="en-CA"/>
              </w:rPr>
              <w:t>(12)</w:t>
            </w:r>
            <w:r w:rsidRPr="00900280">
              <w:rPr>
                <w:rFonts w:ascii="Arial" w:eastAsia="Times New Roman" w:hAnsi="Arial" w:cs="Arial"/>
                <w:noProof/>
                <w:sz w:val="20"/>
                <w:szCs w:val="20"/>
                <w:lang w:val="en-CA"/>
              </w:rPr>
              <w:fldChar w:fldCharType="end"/>
            </w:r>
          </w:p>
        </w:tc>
        <w:tc>
          <w:tcPr>
            <w:tcW w:w="1134" w:type="dxa"/>
            <w:tcBorders>
              <w:top w:val="nil"/>
              <w:left w:val="nil"/>
              <w:bottom w:val="single" w:sz="6" w:space="0" w:color="auto"/>
              <w:right w:val="single" w:sz="6" w:space="0" w:color="auto"/>
            </w:tcBorders>
            <w:shd w:val="clear" w:color="auto" w:fill="auto"/>
            <w:hideMark/>
          </w:tcPr>
          <w:p w14:paraId="6FD6135E" w14:textId="6A84765E" w:rsidR="00D1748B" w:rsidRPr="00900280" w:rsidRDefault="00D1748B" w:rsidP="004117F4">
            <w:pPr>
              <w:tabs>
                <w:tab w:val="decimal" w:pos="696"/>
              </w:tabs>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1657</w:t>
            </w:r>
          </w:p>
        </w:tc>
        <w:tc>
          <w:tcPr>
            <w:tcW w:w="1701" w:type="dxa"/>
            <w:tcBorders>
              <w:top w:val="nil"/>
              <w:left w:val="nil"/>
              <w:bottom w:val="single" w:sz="6" w:space="0" w:color="auto"/>
              <w:right w:val="single" w:sz="6" w:space="0" w:color="auto"/>
            </w:tcBorders>
            <w:shd w:val="clear" w:color="auto" w:fill="auto"/>
            <w:hideMark/>
          </w:tcPr>
          <w:p w14:paraId="02B1DEA2" w14:textId="77777777" w:rsidR="00D1748B" w:rsidRPr="00900280" w:rsidRDefault="00D1748B" w:rsidP="004117F4">
            <w:pPr>
              <w:tabs>
                <w:tab w:val="decimal" w:pos="848"/>
              </w:tabs>
              <w:spacing w:before="40"/>
              <w:ind w:left="1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12</w:t>
            </w:r>
          </w:p>
        </w:tc>
        <w:tc>
          <w:tcPr>
            <w:tcW w:w="1701" w:type="dxa"/>
            <w:tcBorders>
              <w:top w:val="nil"/>
              <w:left w:val="nil"/>
              <w:bottom w:val="single" w:sz="6" w:space="0" w:color="auto"/>
              <w:right w:val="single" w:sz="6" w:space="0" w:color="auto"/>
            </w:tcBorders>
            <w:shd w:val="clear" w:color="auto" w:fill="auto"/>
            <w:hideMark/>
          </w:tcPr>
          <w:p w14:paraId="7CB6AC76" w14:textId="77777777" w:rsidR="00D1748B" w:rsidRPr="00900280" w:rsidRDefault="00D1748B" w:rsidP="004117F4">
            <w:pPr>
              <w:tabs>
                <w:tab w:val="decimal" w:pos="976"/>
              </w:tabs>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0</w:t>
            </w:r>
          </w:p>
        </w:tc>
      </w:tr>
      <w:tr w:rsidR="00D1748B" w:rsidRPr="00900280" w14:paraId="5435A71F" w14:textId="77777777" w:rsidTr="0035142D">
        <w:trPr>
          <w:trHeight w:val="397"/>
        </w:trPr>
        <w:tc>
          <w:tcPr>
            <w:tcW w:w="3148" w:type="dxa"/>
            <w:tcBorders>
              <w:top w:val="nil"/>
              <w:left w:val="single" w:sz="6" w:space="0" w:color="auto"/>
              <w:bottom w:val="single" w:sz="6" w:space="0" w:color="auto"/>
              <w:right w:val="single" w:sz="6" w:space="0" w:color="auto"/>
            </w:tcBorders>
            <w:shd w:val="clear" w:color="auto" w:fill="auto"/>
            <w:hideMark/>
          </w:tcPr>
          <w:p w14:paraId="20D18C32" w14:textId="77777777" w:rsidR="00D1748B" w:rsidRPr="00900280" w:rsidRDefault="00D1748B" w:rsidP="004117F4">
            <w:pPr>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CPAM symptom development </w:t>
            </w:r>
            <w:r w:rsidRPr="00900280">
              <w:rPr>
                <w:rFonts w:ascii="Arial" w:eastAsia="Times New Roman" w:hAnsi="Arial" w:cs="Arial"/>
                <w:noProof/>
                <w:sz w:val="20"/>
                <w:szCs w:val="20"/>
                <w:lang w:val="en-CA"/>
              </w:rPr>
              <w:fldChar w:fldCharType="begin" w:fldLock="1"/>
            </w:r>
            <w:r w:rsidRPr="00900280">
              <w:rPr>
                <w:rFonts w:ascii="Arial" w:eastAsia="Times New Roman" w:hAnsi="Arial" w:cs="Arial"/>
                <w:noProof/>
                <w:sz w:val="20"/>
                <w:szCs w:val="20"/>
                <w:lang w:val="en-CA"/>
              </w:rPr>
              <w:instrText>ADDIN CSL_CITATION {"citationItems":[{"id":"ITEM-1","itemData":{"DOI":"10.1007/s00383-018-4264-y","ISSN":"1437-9813","PMID":"29632964","abstract":"PURPOSE For the approximately three quarters of patients with a prenatal diagnosis of congenital pulmonary airway malformation (CPAM) who are asymptomatic at birth, the chance of eventually developing symptoms is unknown. We sought to explore the natural history of asymptomatic CPAM. METHODS We searched EMBASE, MEDLINE, and the first 50 results from Google Scholar. Studies describing the natural history of prenatally diagnosed, initially asymptomatic CPAM were included. For asymptomatic patients initially managed non-surgically, we tabulated the proportion who went on to develop symptoms as well as the median age at symptom development. RESULTS We included data from 19 retrospective studies on 353 patients. Of the 128 patients managed expectantly, 31 (24.2%) developed symptoms requiring surgical intervention. The median age at symptom development was 7.5 months (range 15 days-5 years). CONCLUSION The risk for developing respiratory symptoms exists with originally asymptomatic CPAM patients, but the exact risk is difficult to predict. Parents may be given the value of approximately 1 in 4 as an estimate of the proportion of asymptomatic CPAM patients who go on to develop symptoms, which will help them make an informed decision regarding the option of elective surgery.","author":[{"dropping-particle":"","family":"Kantor","given":"Navot","non-dropping-particle":"","parse-names":false,"suffix":""},{"dropping-particle":"","family":"Wayne","given":"Carolyn","non-dropping-particle":"","parse-names":false,"suffix":""},{"dropping-particle":"","family":"Nasr","given":"Ahmed","non-dropping-particle":"","parse-names":false,"suffix":""}],"container-title":"Pediatric surgery international","id":"ITEM-1","issue":"6","issued":{"date-parts":[["2018","6","9"]]},"page":"613-620","title":"Symptom development in originally asymptomatic CPAM diagnosed prenatally: a systematic review.","type":"article-journal","volume":"34"},"uris":["http://www.mendeley.com/documents/?uuid=488d4566-259b-3acb-bb6f-9286c7f81e7f"]}],"mendeley":{"formattedCitation":"(13)","plainTextFormattedCitation":"(13)","previouslyFormattedCitation":"(13)"},"properties":{"noteIndex":0},"schema":"https://github.com/citation-style-language/schema/raw/master/csl-citation.json"}</w:instrText>
            </w:r>
            <w:r w:rsidRPr="00900280">
              <w:rPr>
                <w:rFonts w:ascii="Arial" w:eastAsia="Times New Roman" w:hAnsi="Arial" w:cs="Arial"/>
                <w:noProof/>
                <w:sz w:val="20"/>
                <w:szCs w:val="20"/>
                <w:lang w:val="en-CA"/>
              </w:rPr>
              <w:fldChar w:fldCharType="separate"/>
            </w:r>
            <w:r w:rsidRPr="00900280">
              <w:rPr>
                <w:rFonts w:ascii="Arial" w:eastAsia="Times New Roman" w:hAnsi="Arial" w:cs="Arial"/>
                <w:noProof/>
                <w:sz w:val="20"/>
                <w:szCs w:val="20"/>
                <w:lang w:val="en-CA"/>
              </w:rPr>
              <w:t>(13)</w:t>
            </w:r>
            <w:r w:rsidRPr="00900280">
              <w:rPr>
                <w:rFonts w:ascii="Arial" w:eastAsia="Times New Roman" w:hAnsi="Arial" w:cs="Arial"/>
                <w:noProof/>
                <w:sz w:val="20"/>
                <w:szCs w:val="20"/>
                <w:lang w:val="en-CA"/>
              </w:rPr>
              <w:fldChar w:fldCharType="end"/>
            </w:r>
          </w:p>
        </w:tc>
        <w:tc>
          <w:tcPr>
            <w:tcW w:w="1134" w:type="dxa"/>
            <w:tcBorders>
              <w:top w:val="nil"/>
              <w:left w:val="nil"/>
              <w:bottom w:val="single" w:sz="6" w:space="0" w:color="auto"/>
              <w:right w:val="single" w:sz="6" w:space="0" w:color="auto"/>
            </w:tcBorders>
            <w:shd w:val="clear" w:color="auto" w:fill="auto"/>
            <w:hideMark/>
          </w:tcPr>
          <w:p w14:paraId="21FC1642" w14:textId="77777777" w:rsidR="00D1748B" w:rsidRPr="00900280" w:rsidRDefault="00D1748B" w:rsidP="004117F4">
            <w:pPr>
              <w:tabs>
                <w:tab w:val="decimal" w:pos="696"/>
              </w:tabs>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563</w:t>
            </w:r>
          </w:p>
        </w:tc>
        <w:tc>
          <w:tcPr>
            <w:tcW w:w="1701" w:type="dxa"/>
            <w:tcBorders>
              <w:top w:val="nil"/>
              <w:left w:val="nil"/>
              <w:bottom w:val="single" w:sz="6" w:space="0" w:color="auto"/>
              <w:right w:val="single" w:sz="6" w:space="0" w:color="auto"/>
            </w:tcBorders>
            <w:shd w:val="clear" w:color="auto" w:fill="auto"/>
            <w:hideMark/>
          </w:tcPr>
          <w:p w14:paraId="5EEEAF60" w14:textId="77777777" w:rsidR="00D1748B" w:rsidRPr="00900280" w:rsidRDefault="00D1748B" w:rsidP="004117F4">
            <w:pPr>
              <w:tabs>
                <w:tab w:val="decimal" w:pos="848"/>
              </w:tabs>
              <w:spacing w:before="40"/>
              <w:ind w:left="1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9</w:t>
            </w:r>
          </w:p>
        </w:tc>
        <w:tc>
          <w:tcPr>
            <w:tcW w:w="1701" w:type="dxa"/>
            <w:tcBorders>
              <w:top w:val="nil"/>
              <w:left w:val="nil"/>
              <w:bottom w:val="single" w:sz="6" w:space="0" w:color="auto"/>
              <w:right w:val="single" w:sz="6" w:space="0" w:color="auto"/>
            </w:tcBorders>
            <w:shd w:val="clear" w:color="auto" w:fill="auto"/>
            <w:hideMark/>
          </w:tcPr>
          <w:p w14:paraId="05CAE812" w14:textId="77777777" w:rsidR="00D1748B" w:rsidRPr="00900280" w:rsidRDefault="00D1748B" w:rsidP="004117F4">
            <w:pPr>
              <w:tabs>
                <w:tab w:val="decimal" w:pos="976"/>
              </w:tabs>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1</w:t>
            </w:r>
          </w:p>
        </w:tc>
      </w:tr>
      <w:tr w:rsidR="00D1748B" w:rsidRPr="00900280" w14:paraId="04D0F352" w14:textId="77777777" w:rsidTr="0035142D">
        <w:trPr>
          <w:trHeight w:val="397"/>
        </w:trPr>
        <w:tc>
          <w:tcPr>
            <w:tcW w:w="3148" w:type="dxa"/>
            <w:tcBorders>
              <w:top w:val="nil"/>
              <w:left w:val="single" w:sz="6" w:space="0" w:color="auto"/>
              <w:bottom w:val="single" w:sz="6" w:space="0" w:color="auto"/>
              <w:right w:val="single" w:sz="6" w:space="0" w:color="auto"/>
            </w:tcBorders>
            <w:shd w:val="clear" w:color="auto" w:fill="auto"/>
            <w:hideMark/>
          </w:tcPr>
          <w:p w14:paraId="29592D06" w14:textId="77777777" w:rsidR="00D1748B" w:rsidRPr="00900280" w:rsidRDefault="00D1748B" w:rsidP="004117F4">
            <w:pPr>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Ambulatory Adenotonsillectomy </w:t>
            </w:r>
          </w:p>
        </w:tc>
        <w:tc>
          <w:tcPr>
            <w:tcW w:w="1134" w:type="dxa"/>
            <w:tcBorders>
              <w:top w:val="nil"/>
              <w:left w:val="nil"/>
              <w:bottom w:val="single" w:sz="6" w:space="0" w:color="auto"/>
              <w:right w:val="single" w:sz="6" w:space="0" w:color="auto"/>
            </w:tcBorders>
            <w:shd w:val="clear" w:color="auto" w:fill="auto"/>
            <w:hideMark/>
          </w:tcPr>
          <w:p w14:paraId="5D211412" w14:textId="77777777" w:rsidR="00D1748B" w:rsidRPr="00900280" w:rsidRDefault="00D1748B" w:rsidP="004117F4">
            <w:pPr>
              <w:tabs>
                <w:tab w:val="decimal" w:pos="696"/>
              </w:tabs>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5458</w:t>
            </w:r>
          </w:p>
        </w:tc>
        <w:tc>
          <w:tcPr>
            <w:tcW w:w="1701" w:type="dxa"/>
            <w:tcBorders>
              <w:top w:val="nil"/>
              <w:left w:val="nil"/>
              <w:bottom w:val="single" w:sz="6" w:space="0" w:color="auto"/>
              <w:right w:val="single" w:sz="6" w:space="0" w:color="auto"/>
            </w:tcBorders>
            <w:shd w:val="clear" w:color="auto" w:fill="auto"/>
            <w:hideMark/>
          </w:tcPr>
          <w:p w14:paraId="590BEF06" w14:textId="77777777" w:rsidR="00D1748B" w:rsidRPr="00900280" w:rsidRDefault="00D1748B" w:rsidP="004117F4">
            <w:pPr>
              <w:tabs>
                <w:tab w:val="decimal" w:pos="848"/>
              </w:tabs>
              <w:spacing w:before="40"/>
              <w:ind w:left="1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8</w:t>
            </w:r>
          </w:p>
        </w:tc>
        <w:tc>
          <w:tcPr>
            <w:tcW w:w="1701" w:type="dxa"/>
            <w:tcBorders>
              <w:top w:val="nil"/>
              <w:left w:val="nil"/>
              <w:bottom w:val="single" w:sz="6" w:space="0" w:color="auto"/>
              <w:right w:val="single" w:sz="6" w:space="0" w:color="auto"/>
            </w:tcBorders>
            <w:shd w:val="clear" w:color="auto" w:fill="auto"/>
            <w:hideMark/>
          </w:tcPr>
          <w:p w14:paraId="39DD9604" w14:textId="77777777" w:rsidR="00D1748B" w:rsidRPr="00900280" w:rsidRDefault="00D1748B" w:rsidP="004117F4">
            <w:pPr>
              <w:tabs>
                <w:tab w:val="decimal" w:pos="976"/>
              </w:tabs>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5</w:t>
            </w:r>
          </w:p>
        </w:tc>
      </w:tr>
      <w:tr w:rsidR="00D1748B" w:rsidRPr="00900280" w14:paraId="72C459C8" w14:textId="77777777" w:rsidTr="0035142D">
        <w:trPr>
          <w:trHeight w:val="397"/>
        </w:trPr>
        <w:tc>
          <w:tcPr>
            <w:tcW w:w="3148" w:type="dxa"/>
            <w:tcBorders>
              <w:top w:val="nil"/>
              <w:left w:val="single" w:sz="6" w:space="0" w:color="auto"/>
              <w:bottom w:val="single" w:sz="6" w:space="0" w:color="auto"/>
              <w:right w:val="single" w:sz="6" w:space="0" w:color="auto"/>
            </w:tcBorders>
            <w:shd w:val="clear" w:color="auto" w:fill="auto"/>
            <w:hideMark/>
          </w:tcPr>
          <w:p w14:paraId="5F13386D" w14:textId="76BDE85C" w:rsidR="00D1748B" w:rsidRPr="00900280" w:rsidRDefault="00D1748B" w:rsidP="004117F4">
            <w:pPr>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Concussion Education</w:t>
            </w:r>
          </w:p>
        </w:tc>
        <w:tc>
          <w:tcPr>
            <w:tcW w:w="1134" w:type="dxa"/>
            <w:tcBorders>
              <w:top w:val="nil"/>
              <w:left w:val="nil"/>
              <w:bottom w:val="single" w:sz="6" w:space="0" w:color="auto"/>
              <w:right w:val="single" w:sz="6" w:space="0" w:color="auto"/>
            </w:tcBorders>
            <w:shd w:val="clear" w:color="auto" w:fill="auto"/>
            <w:hideMark/>
          </w:tcPr>
          <w:p w14:paraId="7F688ACE" w14:textId="77777777" w:rsidR="00D1748B" w:rsidRPr="00900280" w:rsidRDefault="00D1748B" w:rsidP="004117F4">
            <w:pPr>
              <w:tabs>
                <w:tab w:val="decimal" w:pos="696"/>
              </w:tabs>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476</w:t>
            </w:r>
          </w:p>
        </w:tc>
        <w:tc>
          <w:tcPr>
            <w:tcW w:w="1701" w:type="dxa"/>
            <w:tcBorders>
              <w:top w:val="nil"/>
              <w:left w:val="nil"/>
              <w:bottom w:val="single" w:sz="6" w:space="0" w:color="auto"/>
              <w:right w:val="single" w:sz="6" w:space="0" w:color="auto"/>
            </w:tcBorders>
            <w:shd w:val="clear" w:color="auto" w:fill="auto"/>
            <w:hideMark/>
          </w:tcPr>
          <w:p w14:paraId="68A1FF8A" w14:textId="77777777" w:rsidR="00D1748B" w:rsidRPr="00900280" w:rsidRDefault="00D1748B" w:rsidP="004117F4">
            <w:pPr>
              <w:tabs>
                <w:tab w:val="decimal" w:pos="848"/>
              </w:tabs>
              <w:spacing w:before="40"/>
              <w:ind w:left="1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1</w:t>
            </w:r>
          </w:p>
        </w:tc>
        <w:tc>
          <w:tcPr>
            <w:tcW w:w="1701" w:type="dxa"/>
            <w:tcBorders>
              <w:top w:val="nil"/>
              <w:left w:val="nil"/>
              <w:bottom w:val="single" w:sz="6" w:space="0" w:color="auto"/>
              <w:right w:val="single" w:sz="6" w:space="0" w:color="auto"/>
            </w:tcBorders>
            <w:shd w:val="clear" w:color="auto" w:fill="auto"/>
            <w:hideMark/>
          </w:tcPr>
          <w:p w14:paraId="29D530F8" w14:textId="77777777" w:rsidR="00D1748B" w:rsidRPr="00900280" w:rsidRDefault="00D1748B" w:rsidP="004117F4">
            <w:pPr>
              <w:tabs>
                <w:tab w:val="decimal" w:pos="976"/>
              </w:tabs>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1</w:t>
            </w:r>
          </w:p>
        </w:tc>
      </w:tr>
      <w:tr w:rsidR="00D1748B" w:rsidRPr="00900280" w14:paraId="1BFA5104" w14:textId="77777777" w:rsidTr="0035142D">
        <w:trPr>
          <w:trHeight w:val="397"/>
        </w:trPr>
        <w:tc>
          <w:tcPr>
            <w:tcW w:w="3148" w:type="dxa"/>
            <w:tcBorders>
              <w:top w:val="nil"/>
              <w:left w:val="single" w:sz="6" w:space="0" w:color="auto"/>
              <w:bottom w:val="single" w:sz="6" w:space="0" w:color="auto"/>
              <w:right w:val="single" w:sz="6" w:space="0" w:color="auto"/>
            </w:tcBorders>
            <w:shd w:val="clear" w:color="auto" w:fill="auto"/>
            <w:hideMark/>
          </w:tcPr>
          <w:p w14:paraId="71B536A1" w14:textId="77777777" w:rsidR="00D1748B" w:rsidRPr="00900280" w:rsidRDefault="00D1748B" w:rsidP="004117F4">
            <w:pPr>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 xml:space="preserve">Pediatric Cardiology </w:t>
            </w:r>
            <w:r w:rsidRPr="00900280">
              <w:rPr>
                <w:rFonts w:ascii="Arial" w:eastAsia="Times New Roman" w:hAnsi="Arial" w:cs="Arial"/>
                <w:sz w:val="20"/>
                <w:szCs w:val="20"/>
                <w:lang w:val="en-CA"/>
              </w:rPr>
              <w:fldChar w:fldCharType="begin" w:fldLock="1"/>
            </w:r>
            <w:r w:rsidRPr="00900280">
              <w:rPr>
                <w:rFonts w:ascii="Arial" w:eastAsia="Times New Roman" w:hAnsi="Arial" w:cs="Arial"/>
                <w:sz w:val="20"/>
                <w:szCs w:val="20"/>
                <w:lang w:val="en-CA"/>
              </w:rPr>
              <w:instrText>ADDIN CSL_CITATION {"citationItems":[{"id":"ITEM-1","itemData":{"author":[{"dropping-particle":"","family":"Ashkanase","given":"J","non-dropping-particle":"","parse-names":false,"suffix":""},{"dropping-particle":"","family":"Nama","given":"Nassr","non-dropping-particle":"","parse-names":false,"suffix":""},{"dropping-particle":"","family":"Sandarage","given":"Ryan","non-dropping-particle":"","parse-names":false,"suffix":""},{"dropping-particle":"","family":"Penslar","given":"J","non-dropping-particle":"","parse-names":false,"suffix":""},{"dropping-particle":"","family":"Gupta","given":"R","non-dropping-particle":"","parse-names":false,"suffix":""},{"dropping-particle":"","family":"Ly","given":"Sophia","non-dropping-particle":"","parse-names":false,"suffix":""}],"container-title":"Canadian Journal of Cardiology","id":"ITEM-1","issued":{"date-parts":[["2020"]]},"title":"All Randomized Controlled Trials in Pediatric Cardiology: A Crowdsourced Scoping Review [in press]","type":"article-journal"},"uris":["http://www.mendeley.com/documents/?uuid=1deb40e0-850c-4aca-a639-d911cfff53de"]}],"mendeley":{"formattedCitation":"(11)","plainTextFormattedCitation":"(11)","previouslyFormattedCitation":"(11)"},"properties":{"noteIndex":0},"schema":"https://github.com/citation-style-language/schema/raw/master/csl-citation.json"}</w:instrText>
            </w:r>
            <w:r w:rsidRPr="00900280">
              <w:rPr>
                <w:rFonts w:ascii="Arial" w:eastAsia="Times New Roman" w:hAnsi="Arial" w:cs="Arial"/>
                <w:sz w:val="20"/>
                <w:szCs w:val="20"/>
                <w:lang w:val="en-CA"/>
              </w:rPr>
              <w:fldChar w:fldCharType="separate"/>
            </w:r>
            <w:r w:rsidRPr="00900280">
              <w:rPr>
                <w:rFonts w:ascii="Arial" w:eastAsia="Times New Roman" w:hAnsi="Arial" w:cs="Arial"/>
                <w:noProof/>
                <w:sz w:val="20"/>
                <w:szCs w:val="20"/>
                <w:lang w:val="en-CA"/>
              </w:rPr>
              <w:t>(11)</w:t>
            </w:r>
            <w:r w:rsidRPr="00900280">
              <w:rPr>
                <w:rFonts w:ascii="Arial" w:eastAsia="Times New Roman" w:hAnsi="Arial" w:cs="Arial"/>
                <w:sz w:val="20"/>
                <w:szCs w:val="20"/>
                <w:lang w:val="en-CA"/>
              </w:rPr>
              <w:fldChar w:fldCharType="end"/>
            </w:r>
          </w:p>
        </w:tc>
        <w:tc>
          <w:tcPr>
            <w:tcW w:w="1134" w:type="dxa"/>
            <w:tcBorders>
              <w:top w:val="nil"/>
              <w:left w:val="nil"/>
              <w:bottom w:val="single" w:sz="6" w:space="0" w:color="auto"/>
              <w:right w:val="single" w:sz="6" w:space="0" w:color="auto"/>
            </w:tcBorders>
            <w:shd w:val="clear" w:color="auto" w:fill="auto"/>
            <w:hideMark/>
          </w:tcPr>
          <w:p w14:paraId="4FFDAAC2" w14:textId="77777777" w:rsidR="00D1748B" w:rsidRPr="00900280" w:rsidRDefault="00D1748B" w:rsidP="004117F4">
            <w:pPr>
              <w:tabs>
                <w:tab w:val="decimal" w:pos="696"/>
              </w:tabs>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6896</w:t>
            </w:r>
          </w:p>
        </w:tc>
        <w:tc>
          <w:tcPr>
            <w:tcW w:w="1701" w:type="dxa"/>
            <w:tcBorders>
              <w:top w:val="nil"/>
              <w:left w:val="nil"/>
              <w:bottom w:val="single" w:sz="6" w:space="0" w:color="auto"/>
              <w:right w:val="single" w:sz="6" w:space="0" w:color="auto"/>
            </w:tcBorders>
            <w:shd w:val="clear" w:color="auto" w:fill="auto"/>
            <w:hideMark/>
          </w:tcPr>
          <w:p w14:paraId="518CC073" w14:textId="77777777" w:rsidR="00D1748B" w:rsidRPr="00900280" w:rsidRDefault="00D1748B" w:rsidP="004117F4">
            <w:pPr>
              <w:tabs>
                <w:tab w:val="decimal" w:pos="848"/>
              </w:tabs>
              <w:spacing w:before="40"/>
              <w:ind w:left="1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38</w:t>
            </w:r>
          </w:p>
        </w:tc>
        <w:tc>
          <w:tcPr>
            <w:tcW w:w="1701" w:type="dxa"/>
            <w:tcBorders>
              <w:top w:val="nil"/>
              <w:left w:val="nil"/>
              <w:bottom w:val="single" w:sz="6" w:space="0" w:color="auto"/>
              <w:right w:val="single" w:sz="6" w:space="0" w:color="auto"/>
            </w:tcBorders>
            <w:shd w:val="clear" w:color="auto" w:fill="auto"/>
            <w:hideMark/>
          </w:tcPr>
          <w:p w14:paraId="1FBFCBCE" w14:textId="77777777" w:rsidR="00D1748B" w:rsidRPr="00900280" w:rsidRDefault="00D1748B" w:rsidP="004117F4">
            <w:pPr>
              <w:tabs>
                <w:tab w:val="decimal" w:pos="976"/>
              </w:tabs>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3</w:t>
            </w:r>
          </w:p>
        </w:tc>
      </w:tr>
      <w:tr w:rsidR="00D1748B" w:rsidRPr="00900280" w14:paraId="78DD5A54" w14:textId="77777777" w:rsidTr="0035142D">
        <w:trPr>
          <w:trHeight w:val="397"/>
        </w:trPr>
        <w:tc>
          <w:tcPr>
            <w:tcW w:w="3148" w:type="dxa"/>
            <w:tcBorders>
              <w:top w:val="nil"/>
              <w:left w:val="single" w:sz="6" w:space="0" w:color="auto"/>
              <w:bottom w:val="single" w:sz="6" w:space="0" w:color="auto"/>
              <w:right w:val="single" w:sz="6" w:space="0" w:color="auto"/>
            </w:tcBorders>
            <w:shd w:val="clear" w:color="auto" w:fill="auto"/>
            <w:hideMark/>
          </w:tcPr>
          <w:p w14:paraId="6D02BC40" w14:textId="77777777" w:rsidR="00D1748B" w:rsidRPr="00900280" w:rsidRDefault="00D1748B" w:rsidP="004117F4">
            <w:pPr>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 xml:space="preserve">PAP Adherence </w:t>
            </w:r>
            <w:r w:rsidRPr="00900280">
              <w:rPr>
                <w:rFonts w:ascii="Arial" w:eastAsia="Times New Roman" w:hAnsi="Arial" w:cs="Arial"/>
                <w:sz w:val="20"/>
                <w:szCs w:val="20"/>
                <w:lang w:val="en-CA"/>
              </w:rPr>
              <w:fldChar w:fldCharType="begin" w:fldLock="1"/>
            </w:r>
            <w:r w:rsidRPr="00900280">
              <w:rPr>
                <w:rFonts w:ascii="Arial" w:eastAsia="Times New Roman" w:hAnsi="Arial" w:cs="Arial"/>
                <w:sz w:val="20"/>
                <w:szCs w:val="20"/>
                <w:lang w:val="en-CA"/>
              </w:rPr>
              <w:instrText>ADDIN CSL_CITATION {"citationItems":[{"id":"ITEM-1","itemData":{"DOI":"10.1016/j.sleep.2019.12.015","ISSN":"1878-5506","PMID":"32045851","abstract":"BACKGROUND While positive airway pressure (PAP) is effective for treating sleep-disordered breathing (SDB) in children, adherence is poor. Studies evaluating predictors of PAP adherence have inconsistent findings, and no rigorous reviews have been conducted. This systematic review aims to summarize the literature on predictors of PAP therapy adherence in children. METHODS Studies evaluating baseline predictors of PAP therapy adherence in children (≤20 years) with SDB were included. We searched MEDLINE, Embase, CENTRAL, CINAHL, Clinicaltrials.gov, and the last four years of conference abstracts. Results were described narratively, with random-effects meta-analyses performed where feasible. Risk of bias and confidence in the evidence were assessed. RESULTS We identified 50 factors evaluated across 28 studies (21 full text articles, seven abstracts). The highest rates of PAP therapy adherence were most consistently found with female sex, younger age, Caucasian race, higher maternal education, greater baseline apnea-hypopnea index (AHI), and presence of developmental delay. Pooled estimates included odds ratios of 1.48 (95%CI: 0.75-2.93) favoring female sex, 1.26 (95%CI: 0.68-2.36) favoring Caucasian race, and a mean difference in AHI of 4.32 (95%CI: -0.61-9.26) events/hour between adherent and non-adherent groups. There was low quality evidence to suggest that psychosocial factors like health cognitions and family environment may predict adherence. CONCLUSION In this novel systematic review, we identified several factors associated with increased odds of PAP therapy adherence in children. These findings may help guide clinicians to identify and support children less likely to adhere to PAP therapy and should be considered when developing interventions to improve adherence.","author":[{"dropping-particle":"","family":"Blinder","given":"Henrietta","non-dropping-particle":"","parse-names":false,"suffix":""},{"dropping-particle":"","family":"Momoli","given":"Franco","non-dropping-particle":"","parse-names":false,"suffix":""},{"dropping-particle":"","family":"Bokhaut","given":"Julia","non-dropping-particle":"","parse-names":false,"suffix":""},{"dropping-particle":"","family":"Bacal","given":"Vanessa","non-dropping-particle":"","parse-names":false,"suffix":""},{"dropping-particle":"","family":"Goldberg","given":"Reuben","non-dropping-particle":"","parse-names":false,"suffix":""},{"dropping-particle":"","family":"Radhakrishnan","given":"Dhenuka","non-dropping-particle":"","parse-names":false,"suffix":""},{"dropping-particle":"","family":"Katz","given":"Sherri L","non-dropping-particle":"","parse-names":false,"suffix":""}],"container-title":"Sleep medicine","id":"ITEM-1","issued":{"date-parts":[["2020","1","11"]]},"page":"19-33","publisher":"Elsevier B.V.","title":"Predictors of adherence to positive airway pressure therapy in children: a systematic review and meta-analysis.","type":"article-journal","volume":"69"},"uris":["http://www.mendeley.com/documents/?uuid=f77523f5-e0c4-31ab-ae82-b0457334ddbd"]}],"mendeley":{"formattedCitation":"(14)","plainTextFormattedCitation":"(14)","previouslyFormattedCitation":"(14)"},"properties":{"noteIndex":0},"schema":"https://github.com/citation-style-language/schema/raw/master/csl-citation.json"}</w:instrText>
            </w:r>
            <w:r w:rsidRPr="00900280">
              <w:rPr>
                <w:rFonts w:ascii="Arial" w:eastAsia="Times New Roman" w:hAnsi="Arial" w:cs="Arial"/>
                <w:sz w:val="20"/>
                <w:szCs w:val="20"/>
                <w:lang w:val="en-CA"/>
              </w:rPr>
              <w:fldChar w:fldCharType="separate"/>
            </w:r>
            <w:r w:rsidRPr="00900280">
              <w:rPr>
                <w:rFonts w:ascii="Arial" w:eastAsia="Times New Roman" w:hAnsi="Arial" w:cs="Arial"/>
                <w:noProof/>
                <w:sz w:val="20"/>
                <w:szCs w:val="20"/>
                <w:lang w:val="en-CA"/>
              </w:rPr>
              <w:t>(14)</w:t>
            </w:r>
            <w:r w:rsidRPr="00900280">
              <w:rPr>
                <w:rFonts w:ascii="Arial" w:eastAsia="Times New Roman" w:hAnsi="Arial" w:cs="Arial"/>
                <w:sz w:val="20"/>
                <w:szCs w:val="20"/>
                <w:lang w:val="en-CA"/>
              </w:rPr>
              <w:fldChar w:fldCharType="end"/>
            </w:r>
          </w:p>
        </w:tc>
        <w:tc>
          <w:tcPr>
            <w:tcW w:w="1134" w:type="dxa"/>
            <w:tcBorders>
              <w:top w:val="nil"/>
              <w:left w:val="nil"/>
              <w:bottom w:val="single" w:sz="6" w:space="0" w:color="auto"/>
              <w:right w:val="single" w:sz="6" w:space="0" w:color="auto"/>
            </w:tcBorders>
            <w:shd w:val="clear" w:color="auto" w:fill="auto"/>
            <w:hideMark/>
          </w:tcPr>
          <w:p w14:paraId="1CFCCD20" w14:textId="77777777" w:rsidR="00D1748B" w:rsidRPr="00900280" w:rsidRDefault="00D1748B" w:rsidP="004117F4">
            <w:pPr>
              <w:tabs>
                <w:tab w:val="decimal" w:pos="696"/>
              </w:tabs>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 xml:space="preserve"> 162</w:t>
            </w:r>
          </w:p>
        </w:tc>
        <w:tc>
          <w:tcPr>
            <w:tcW w:w="1701" w:type="dxa"/>
            <w:tcBorders>
              <w:top w:val="nil"/>
              <w:left w:val="nil"/>
              <w:bottom w:val="single" w:sz="6" w:space="0" w:color="auto"/>
              <w:right w:val="single" w:sz="6" w:space="0" w:color="auto"/>
            </w:tcBorders>
            <w:shd w:val="clear" w:color="auto" w:fill="auto"/>
            <w:hideMark/>
          </w:tcPr>
          <w:p w14:paraId="2956116E" w14:textId="77777777" w:rsidR="00D1748B" w:rsidRPr="00900280" w:rsidRDefault="00D1748B" w:rsidP="004117F4">
            <w:pPr>
              <w:tabs>
                <w:tab w:val="decimal" w:pos="848"/>
              </w:tabs>
              <w:spacing w:before="40"/>
              <w:ind w:left="1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14</w:t>
            </w:r>
          </w:p>
        </w:tc>
        <w:tc>
          <w:tcPr>
            <w:tcW w:w="1701" w:type="dxa"/>
            <w:tcBorders>
              <w:top w:val="nil"/>
              <w:left w:val="nil"/>
              <w:bottom w:val="single" w:sz="6" w:space="0" w:color="auto"/>
              <w:right w:val="single" w:sz="6" w:space="0" w:color="auto"/>
            </w:tcBorders>
            <w:shd w:val="clear" w:color="auto" w:fill="auto"/>
            <w:hideMark/>
          </w:tcPr>
          <w:p w14:paraId="65E76367" w14:textId="77777777" w:rsidR="00D1748B" w:rsidRPr="00900280" w:rsidRDefault="00D1748B" w:rsidP="004117F4">
            <w:pPr>
              <w:tabs>
                <w:tab w:val="decimal" w:pos="976"/>
              </w:tabs>
              <w:spacing w:before="4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14</w:t>
            </w:r>
          </w:p>
        </w:tc>
      </w:tr>
    </w:tbl>
    <w:p w14:paraId="36F2ACCC" w14:textId="77777777" w:rsidR="00D1748B" w:rsidRPr="00900280" w:rsidRDefault="00D1748B" w:rsidP="00D1748B">
      <w:pPr>
        <w:spacing w:line="480" w:lineRule="auto"/>
        <w:textAlignment w:val="baseline"/>
        <w:rPr>
          <w:rFonts w:ascii="Arial" w:eastAsia="Times New Roman" w:hAnsi="Arial" w:cs="Arial"/>
          <w:sz w:val="20"/>
          <w:szCs w:val="20"/>
          <w:lang w:val="en-CA"/>
        </w:rPr>
      </w:pPr>
    </w:p>
    <w:p w14:paraId="16DBD332" w14:textId="6E6FBDA4" w:rsidR="00D1748B" w:rsidRPr="007B3046" w:rsidRDefault="00D1748B" w:rsidP="00A66E87">
      <w:pPr>
        <w:spacing w:line="276" w:lineRule="auto"/>
        <w:textAlignment w:val="baseline"/>
        <w:rPr>
          <w:rFonts w:ascii="Arial" w:eastAsia="Times New Roman" w:hAnsi="Arial" w:cs="Arial"/>
          <w:b/>
          <w:bCs/>
          <w:sz w:val="20"/>
          <w:szCs w:val="20"/>
          <w:lang w:val="en-CA"/>
        </w:rPr>
      </w:pPr>
      <w:r w:rsidRPr="007B3046">
        <w:rPr>
          <w:rFonts w:ascii="Arial" w:eastAsia="Times New Roman" w:hAnsi="Arial" w:cs="Arial"/>
          <w:b/>
          <w:bCs/>
          <w:sz w:val="20"/>
          <w:szCs w:val="20"/>
          <w:lang w:val="en-CA"/>
        </w:rPr>
        <w:t>Supplemental Table S2. Post hoc analysis of the number of relevant records in the top 20</w:t>
      </w:r>
    </w:p>
    <w:tbl>
      <w:tblPr>
        <w:tblW w:w="7684"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1140"/>
        <w:gridCol w:w="1701"/>
        <w:gridCol w:w="1701"/>
      </w:tblGrid>
      <w:tr w:rsidR="00D1748B" w:rsidRPr="00900280" w14:paraId="0B8D3432" w14:textId="77777777" w:rsidTr="0035142D">
        <w:trPr>
          <w:trHeight w:val="510"/>
        </w:trPr>
        <w:tc>
          <w:tcPr>
            <w:tcW w:w="3142" w:type="dxa"/>
            <w:tcBorders>
              <w:top w:val="single" w:sz="6" w:space="0" w:color="auto"/>
              <w:left w:val="single" w:sz="6" w:space="0" w:color="auto"/>
              <w:bottom w:val="single" w:sz="6" w:space="0" w:color="auto"/>
              <w:right w:val="single" w:sz="6" w:space="0" w:color="auto"/>
            </w:tcBorders>
            <w:shd w:val="clear" w:color="auto" w:fill="auto"/>
            <w:hideMark/>
          </w:tcPr>
          <w:p w14:paraId="0A41EAC7" w14:textId="77777777" w:rsidR="00D1748B" w:rsidRPr="00900280" w:rsidRDefault="00D1748B" w:rsidP="005B2B55">
            <w:pP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Search </w:t>
            </w:r>
          </w:p>
        </w:tc>
        <w:tc>
          <w:tcPr>
            <w:tcW w:w="1140" w:type="dxa"/>
            <w:tcBorders>
              <w:top w:val="single" w:sz="6" w:space="0" w:color="auto"/>
              <w:left w:val="nil"/>
              <w:bottom w:val="single" w:sz="6" w:space="0" w:color="auto"/>
              <w:right w:val="single" w:sz="6" w:space="0" w:color="auto"/>
            </w:tcBorders>
            <w:shd w:val="clear" w:color="auto" w:fill="auto"/>
            <w:hideMark/>
          </w:tcPr>
          <w:p w14:paraId="1DD87DF5" w14:textId="77777777" w:rsidR="00D1748B" w:rsidRPr="00900280" w:rsidRDefault="00D1748B" w:rsidP="0035142D">
            <w:pPr>
              <w:jc w:val="cente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Total Retrieval </w:t>
            </w:r>
          </w:p>
          <w:p w14:paraId="1564D32F" w14:textId="77777777" w:rsidR="00D1748B" w:rsidRPr="00900280" w:rsidRDefault="00D1748B" w:rsidP="0035142D">
            <w:pPr>
              <w:jc w:val="cente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(trimmed) </w:t>
            </w:r>
          </w:p>
        </w:tc>
        <w:tc>
          <w:tcPr>
            <w:tcW w:w="1701" w:type="dxa"/>
            <w:tcBorders>
              <w:top w:val="single" w:sz="6" w:space="0" w:color="auto"/>
              <w:left w:val="nil"/>
              <w:bottom w:val="single" w:sz="6" w:space="0" w:color="auto"/>
              <w:right w:val="single" w:sz="6" w:space="0" w:color="auto"/>
            </w:tcBorders>
            <w:shd w:val="clear" w:color="auto" w:fill="auto"/>
            <w:hideMark/>
          </w:tcPr>
          <w:p w14:paraId="0EC09CE6" w14:textId="77777777" w:rsidR="0035142D" w:rsidRDefault="00D1748B" w:rsidP="0035142D">
            <w:pPr>
              <w:jc w:val="cente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Best Match</w:t>
            </w:r>
          </w:p>
          <w:p w14:paraId="580667DF" w14:textId="0954A167" w:rsidR="00D1748B" w:rsidRPr="00900280" w:rsidRDefault="00D1748B" w:rsidP="0035142D">
            <w:pPr>
              <w:jc w:val="cente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Sort</w:t>
            </w:r>
          </w:p>
        </w:tc>
        <w:tc>
          <w:tcPr>
            <w:tcW w:w="1701" w:type="dxa"/>
            <w:tcBorders>
              <w:top w:val="single" w:sz="6" w:space="0" w:color="auto"/>
              <w:left w:val="nil"/>
              <w:bottom w:val="single" w:sz="6" w:space="0" w:color="auto"/>
              <w:right w:val="single" w:sz="6" w:space="0" w:color="auto"/>
            </w:tcBorders>
            <w:shd w:val="clear" w:color="auto" w:fill="auto"/>
            <w:hideMark/>
          </w:tcPr>
          <w:p w14:paraId="1EADBAF7" w14:textId="77777777" w:rsidR="0035142D" w:rsidRDefault="00D1748B" w:rsidP="0035142D">
            <w:pPr>
              <w:ind w:right="-295"/>
              <w:jc w:val="cente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Most Recent</w:t>
            </w:r>
          </w:p>
          <w:p w14:paraId="08CBBFE4" w14:textId="2AF89D0D" w:rsidR="00D1748B" w:rsidRPr="00900280" w:rsidRDefault="00D1748B" w:rsidP="0035142D">
            <w:pPr>
              <w:ind w:right="-295"/>
              <w:jc w:val="cente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Sort</w:t>
            </w:r>
          </w:p>
        </w:tc>
      </w:tr>
      <w:tr w:rsidR="00D1748B" w:rsidRPr="00900280" w14:paraId="7E32F596" w14:textId="77777777" w:rsidTr="004117F4">
        <w:trPr>
          <w:trHeight w:val="400"/>
        </w:trPr>
        <w:tc>
          <w:tcPr>
            <w:tcW w:w="3142" w:type="dxa"/>
            <w:tcBorders>
              <w:top w:val="nil"/>
              <w:left w:val="single" w:sz="6" w:space="0" w:color="auto"/>
              <w:bottom w:val="single" w:sz="6" w:space="0" w:color="auto"/>
              <w:right w:val="single" w:sz="6" w:space="0" w:color="auto"/>
            </w:tcBorders>
            <w:shd w:val="clear" w:color="auto" w:fill="auto"/>
            <w:hideMark/>
          </w:tcPr>
          <w:p w14:paraId="431815A4" w14:textId="77777777" w:rsidR="00D1748B" w:rsidRPr="00900280" w:rsidRDefault="00D1748B" w:rsidP="002725FD">
            <w:pPr>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 </w:t>
            </w:r>
          </w:p>
        </w:tc>
        <w:tc>
          <w:tcPr>
            <w:tcW w:w="1140" w:type="dxa"/>
            <w:tcBorders>
              <w:top w:val="nil"/>
              <w:left w:val="nil"/>
              <w:bottom w:val="single" w:sz="6" w:space="0" w:color="auto"/>
              <w:right w:val="single" w:sz="6" w:space="0" w:color="auto"/>
            </w:tcBorders>
            <w:shd w:val="clear" w:color="auto" w:fill="auto"/>
            <w:hideMark/>
          </w:tcPr>
          <w:p w14:paraId="0E030641" w14:textId="77777777" w:rsidR="00D1748B" w:rsidRPr="00900280" w:rsidRDefault="00D1748B" w:rsidP="002725FD">
            <w:pPr>
              <w:tabs>
                <w:tab w:val="decimal" w:pos="696"/>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 </w:t>
            </w:r>
          </w:p>
        </w:tc>
        <w:tc>
          <w:tcPr>
            <w:tcW w:w="1701" w:type="dxa"/>
            <w:tcBorders>
              <w:top w:val="nil"/>
              <w:left w:val="nil"/>
              <w:bottom w:val="single" w:sz="6" w:space="0" w:color="auto"/>
              <w:right w:val="single" w:sz="6" w:space="0" w:color="auto"/>
            </w:tcBorders>
            <w:shd w:val="clear" w:color="auto" w:fill="auto"/>
            <w:hideMark/>
          </w:tcPr>
          <w:p w14:paraId="25139EA4" w14:textId="77777777" w:rsidR="00D1748B" w:rsidRPr="00900280" w:rsidRDefault="00D1748B" w:rsidP="002725FD">
            <w:pPr>
              <w:spacing w:before="60"/>
              <w:jc w:val="center"/>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N in Top 20</w:t>
            </w:r>
          </w:p>
        </w:tc>
        <w:tc>
          <w:tcPr>
            <w:tcW w:w="1701" w:type="dxa"/>
            <w:tcBorders>
              <w:top w:val="nil"/>
              <w:left w:val="nil"/>
              <w:bottom w:val="single" w:sz="6" w:space="0" w:color="auto"/>
              <w:right w:val="single" w:sz="6" w:space="0" w:color="auto"/>
            </w:tcBorders>
            <w:shd w:val="clear" w:color="auto" w:fill="auto"/>
            <w:hideMark/>
          </w:tcPr>
          <w:p w14:paraId="7CB9C7CD" w14:textId="77777777" w:rsidR="00D1748B" w:rsidRPr="00900280" w:rsidRDefault="00D1748B" w:rsidP="002725FD">
            <w:pPr>
              <w:spacing w:before="60"/>
              <w:jc w:val="center"/>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N in Top 20</w:t>
            </w:r>
          </w:p>
        </w:tc>
      </w:tr>
      <w:tr w:rsidR="00D1748B" w:rsidRPr="00900280" w14:paraId="2275F161" w14:textId="77777777" w:rsidTr="004117F4">
        <w:trPr>
          <w:trHeight w:val="450"/>
        </w:trPr>
        <w:tc>
          <w:tcPr>
            <w:tcW w:w="3142" w:type="dxa"/>
            <w:tcBorders>
              <w:top w:val="nil"/>
              <w:left w:val="single" w:sz="6" w:space="0" w:color="auto"/>
              <w:bottom w:val="single" w:sz="6" w:space="0" w:color="auto"/>
              <w:right w:val="single" w:sz="6" w:space="0" w:color="auto"/>
            </w:tcBorders>
            <w:shd w:val="clear" w:color="auto" w:fill="auto"/>
            <w:hideMark/>
          </w:tcPr>
          <w:p w14:paraId="04046DE9" w14:textId="77777777" w:rsidR="00D1748B" w:rsidRPr="00900280" w:rsidRDefault="00D1748B" w:rsidP="002725FD">
            <w:pPr>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Vitamin D </w:t>
            </w:r>
            <w:r w:rsidRPr="00900280">
              <w:rPr>
                <w:rFonts w:ascii="Arial" w:eastAsia="Times New Roman" w:hAnsi="Arial" w:cs="Arial"/>
                <w:noProof/>
                <w:sz w:val="20"/>
                <w:szCs w:val="20"/>
                <w:lang w:val="en-CA"/>
              </w:rPr>
              <w:fldChar w:fldCharType="begin" w:fldLock="1"/>
            </w:r>
            <w:r w:rsidRPr="00900280">
              <w:rPr>
                <w:rFonts w:ascii="Arial" w:eastAsia="Times New Roman" w:hAnsi="Arial" w:cs="Arial"/>
                <w:noProof/>
                <w:sz w:val="20"/>
                <w:szCs w:val="20"/>
                <w:lang w:val="en-CA"/>
              </w:rPr>
              <w:instrText>ADDIN CSL_CITATION {"citationItems":[{"id":"ITEM-1","itemData":{"DOI":"10.7717/peerj.1701","ISSN":"21678359","abstract":"? 2016 Nama et al.Background. Due to inadequate UV exposure, intake of small quantities of vitamin D is recommended to prevent musculoskeletal disease. Both basic science and observational literature strongly suggest that higher doses may benefit specific populations and have non-musculoskeletal roles. Evaluating the evidence surrounding high dose supplementation can be challenging given a relatively large and growing body of clinical trial evidence spanning time, geography, populations and dosing regimens. Study objectives were to identify and summarize the clinical trial literature, recognize areas with high quality evidence, and develop a resource database that makes the literature more immediately accessible to end users. Methods. Medline (1946 to January 2015), Embase (1974 to January 2015), and Cochrane databases (January 2015), were searched for trials. All pediatric (0-18 years) trials administering doses higher than 400 IU (&lt; 1 year) or 600 IU (?1 year) were included. Data was extracted independently by two of the authors. An online searchable database of trials was developed containing relevant extracted information (http://www. cheori.org/en/pedvitaminddatabaseOverview). Sensitivity and utility were assessed by comparing the trials in the database with those from systematic reviews of vitamin D supplementation including children. Results. A total of 2,579 candidate papers were identified, yielding 169 trials having one or more arms meeting eligibility criteria. The publication rate has increased significantly from 1 per year (1970-1979) to 14 per year (2010-2015). Although 84% of the total trials focused on healthy children or known high risk populations (e.g., renal, prematurity), this proportion has declined in recent years due to the rise in trials evaluating populations and outcomes not directly related to the musculoskeletal actions of vitamin D (27% in 2010s). Beyond healthy children, the only pediatric populations with more than 50 participants from low risk of bias trials evaluating a clinically relevant outcome were prematurity and respiratory illness. Finally, we created and validated the online searchable database using 13 recent systematic reviews. Of the 38 high dose trials identified by the systematic review, 36 (94.7%) could be found within the database. When compared with the search strategy reported in each systematic review, use of the database reduced the number of full papers to assess for eligibility by 85.2% (?13.4%). Co…","author":[{"dropping-particle":"","family":"Nama","given":"N.","non-dropping-particle":"","parse-names":false,"suffix":""},{"dropping-particle":"","family":"Menon","given":"K.","non-dropping-particle":"","parse-names":false,"suffix":""},{"dropping-particle":"","family":"Iliriani","given":"K.","non-dropping-particle":"","parse-names":false,"suffix":""},{"dropping-particle":"","family":"Pojsupap","given":"S.","non-dropping-particle":"","parse-names":false,"suffix":""},{"dropping-particle":"","family":"Sampson","given":"M.","non-dropping-particle":"","parse-names":false,"suffix":""},{"dropping-particle":"","family":"O'Hearn","given":"K.","non-dropping-particle":"","parse-names":false,"suffix":""},{"dropping-particle":"","family":"Zhou","given":"L.","non-dropping-particle":"","parse-names":false,"suffix":""},{"dropping-particle":"","family":"McIntyre","given":"L.","non-dropping-particle":"","parse-names":false,"suffix":""},{"dropping-particle":"","family":"Fergusson","given":"D.","non-dropping-particle":"","parse-names":false,"suffix":""},{"dropping-particle":"","family":"McNally","given":"J.D.","non-dropping-particle":"","parse-names":false,"suffix":""}],"container-title":"PeerJ","id":"ITEM-1","issue":"2","issued":{"date-parts":[["2016"]]},"title":"A systematic review of pediatric clinical trials of high dose vitamin D","type":"article-journal","volume":"2016"},"uris":["http://www.mendeley.com/documents/?uuid=da3eef0b-20b7-3068-9745-c48339795d87"]}],"mendeley":{"formattedCitation":"(12)","plainTextFormattedCitation":"(12)","previouslyFormattedCitation":"(12)"},"properties":{"noteIndex":0},"schema":"https://github.com/citation-style-language/schema/raw/master/csl-citation.json"}</w:instrText>
            </w:r>
            <w:r w:rsidRPr="00900280">
              <w:rPr>
                <w:rFonts w:ascii="Arial" w:eastAsia="Times New Roman" w:hAnsi="Arial" w:cs="Arial"/>
                <w:noProof/>
                <w:sz w:val="20"/>
                <w:szCs w:val="20"/>
                <w:lang w:val="en-CA"/>
              </w:rPr>
              <w:fldChar w:fldCharType="separate"/>
            </w:r>
            <w:r w:rsidRPr="00900280">
              <w:rPr>
                <w:rFonts w:ascii="Arial" w:eastAsia="Times New Roman" w:hAnsi="Arial" w:cs="Arial"/>
                <w:noProof/>
                <w:sz w:val="20"/>
                <w:szCs w:val="20"/>
                <w:lang w:val="en-CA"/>
              </w:rPr>
              <w:t>(12)</w:t>
            </w:r>
            <w:r w:rsidRPr="00900280">
              <w:rPr>
                <w:rFonts w:ascii="Arial" w:eastAsia="Times New Roman" w:hAnsi="Arial" w:cs="Arial"/>
                <w:noProof/>
                <w:sz w:val="20"/>
                <w:szCs w:val="20"/>
                <w:lang w:val="en-CA"/>
              </w:rPr>
              <w:fldChar w:fldCharType="end"/>
            </w:r>
          </w:p>
        </w:tc>
        <w:tc>
          <w:tcPr>
            <w:tcW w:w="1140" w:type="dxa"/>
            <w:tcBorders>
              <w:top w:val="nil"/>
              <w:left w:val="nil"/>
              <w:bottom w:val="single" w:sz="6" w:space="0" w:color="auto"/>
              <w:right w:val="single" w:sz="6" w:space="0" w:color="auto"/>
            </w:tcBorders>
            <w:shd w:val="clear" w:color="auto" w:fill="auto"/>
            <w:hideMark/>
          </w:tcPr>
          <w:p w14:paraId="4DE0D99F" w14:textId="665C3817" w:rsidR="00D1748B" w:rsidRPr="00900280" w:rsidRDefault="00D1748B" w:rsidP="002725FD">
            <w:pPr>
              <w:tabs>
                <w:tab w:val="decimal" w:pos="696"/>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1675</w:t>
            </w:r>
          </w:p>
        </w:tc>
        <w:tc>
          <w:tcPr>
            <w:tcW w:w="1701" w:type="dxa"/>
            <w:tcBorders>
              <w:top w:val="nil"/>
              <w:left w:val="nil"/>
              <w:bottom w:val="single" w:sz="6" w:space="0" w:color="auto"/>
              <w:right w:val="single" w:sz="6" w:space="0" w:color="auto"/>
            </w:tcBorders>
            <w:shd w:val="clear" w:color="auto" w:fill="auto"/>
            <w:hideMark/>
          </w:tcPr>
          <w:p w14:paraId="46097AA9" w14:textId="77777777" w:rsidR="00D1748B" w:rsidRPr="00900280" w:rsidRDefault="00D1748B" w:rsidP="002725FD">
            <w:pPr>
              <w:tabs>
                <w:tab w:val="decimal" w:pos="990"/>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3</w:t>
            </w:r>
          </w:p>
        </w:tc>
        <w:tc>
          <w:tcPr>
            <w:tcW w:w="1701" w:type="dxa"/>
            <w:tcBorders>
              <w:top w:val="nil"/>
              <w:left w:val="nil"/>
              <w:bottom w:val="single" w:sz="6" w:space="0" w:color="auto"/>
              <w:right w:val="single" w:sz="6" w:space="0" w:color="auto"/>
            </w:tcBorders>
            <w:shd w:val="clear" w:color="auto" w:fill="auto"/>
            <w:hideMark/>
          </w:tcPr>
          <w:p w14:paraId="74B36D53" w14:textId="77777777" w:rsidR="00D1748B" w:rsidRPr="00900280" w:rsidRDefault="00D1748B" w:rsidP="002725FD">
            <w:pPr>
              <w:tabs>
                <w:tab w:val="decimal" w:pos="1120"/>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0</w:t>
            </w:r>
          </w:p>
        </w:tc>
      </w:tr>
      <w:tr w:rsidR="00D1748B" w:rsidRPr="00900280" w14:paraId="2DF77482" w14:textId="77777777" w:rsidTr="0035142D">
        <w:trPr>
          <w:trHeight w:val="397"/>
        </w:trPr>
        <w:tc>
          <w:tcPr>
            <w:tcW w:w="3142" w:type="dxa"/>
            <w:tcBorders>
              <w:top w:val="nil"/>
              <w:left w:val="single" w:sz="6" w:space="0" w:color="auto"/>
              <w:bottom w:val="single" w:sz="6" w:space="0" w:color="auto"/>
              <w:right w:val="single" w:sz="6" w:space="0" w:color="auto"/>
            </w:tcBorders>
            <w:shd w:val="clear" w:color="auto" w:fill="auto"/>
            <w:hideMark/>
          </w:tcPr>
          <w:p w14:paraId="21B9E331" w14:textId="77777777" w:rsidR="00D1748B" w:rsidRPr="00900280" w:rsidRDefault="00D1748B" w:rsidP="002725FD">
            <w:pPr>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CPAM symptom development </w:t>
            </w:r>
            <w:r w:rsidRPr="00900280">
              <w:rPr>
                <w:rFonts w:ascii="Arial" w:eastAsia="Times New Roman" w:hAnsi="Arial" w:cs="Arial"/>
                <w:noProof/>
                <w:sz w:val="20"/>
                <w:szCs w:val="20"/>
                <w:lang w:val="en-CA"/>
              </w:rPr>
              <w:fldChar w:fldCharType="begin" w:fldLock="1"/>
            </w:r>
            <w:r w:rsidRPr="00900280">
              <w:rPr>
                <w:rFonts w:ascii="Arial" w:eastAsia="Times New Roman" w:hAnsi="Arial" w:cs="Arial"/>
                <w:noProof/>
                <w:sz w:val="20"/>
                <w:szCs w:val="20"/>
                <w:lang w:val="en-CA"/>
              </w:rPr>
              <w:instrText>ADDIN CSL_CITATION {"citationItems":[{"id":"ITEM-1","itemData":{"DOI":"10.1007/s00383-018-4264-y","ISSN":"1437-9813","PMID":"29632964","abstract":"PURPOSE For the approximately three quarters of patients with a prenatal diagnosis of congenital pulmonary airway malformation (CPAM) who are asymptomatic at birth, the chance of eventually developing symptoms is unknown. We sought to explore the natural history of asymptomatic CPAM. METHODS We searched EMBASE, MEDLINE, and the first 50 results from Google Scholar. Studies describing the natural history of prenatally diagnosed, initially asymptomatic CPAM were included. For asymptomatic patients initially managed non-surgically, we tabulated the proportion who went on to develop symptoms as well as the median age at symptom development. RESULTS We included data from 19 retrospective studies on 353 patients. Of the 128 patients managed expectantly, 31 (24.2%) developed symptoms requiring surgical intervention. The median age at symptom development was 7.5 months (range 15 days-5 years). CONCLUSION The risk for developing respiratory symptoms exists with originally asymptomatic CPAM patients, but the exact risk is difficult to predict. Parents may be given the value of approximately 1 in 4 as an estimate of the proportion of asymptomatic CPAM patients who go on to develop symptoms, which will help them make an informed decision regarding the option of elective surgery.","author":[{"dropping-particle":"","family":"Kantor","given":"Navot","non-dropping-particle":"","parse-names":false,"suffix":""},{"dropping-particle":"","family":"Wayne","given":"Carolyn","non-dropping-particle":"","parse-names":false,"suffix":""},{"dropping-particle":"","family":"Nasr","given":"Ahmed","non-dropping-particle":"","parse-names":false,"suffix":""}],"container-title":"Pediatric surgery international","id":"ITEM-1","issue":"6","issued":{"date-parts":[["2018","6","9"]]},"page":"613-620","title":"Symptom development in originally asymptomatic CPAM diagnosed prenatally: a systematic review.","type":"article-journal","volume":"34"},"uris":["http://www.mendeley.com/documents/?uuid=488d4566-259b-3acb-bb6f-9286c7f81e7f"]}],"mendeley":{"formattedCitation":"(13)","plainTextFormattedCitation":"(13)","previouslyFormattedCitation":"(13)"},"properties":{"noteIndex":0},"schema":"https://github.com/citation-style-language/schema/raw/master/csl-citation.json"}</w:instrText>
            </w:r>
            <w:r w:rsidRPr="00900280">
              <w:rPr>
                <w:rFonts w:ascii="Arial" w:eastAsia="Times New Roman" w:hAnsi="Arial" w:cs="Arial"/>
                <w:noProof/>
                <w:sz w:val="20"/>
                <w:szCs w:val="20"/>
                <w:lang w:val="en-CA"/>
              </w:rPr>
              <w:fldChar w:fldCharType="separate"/>
            </w:r>
            <w:r w:rsidRPr="00900280">
              <w:rPr>
                <w:rFonts w:ascii="Arial" w:eastAsia="Times New Roman" w:hAnsi="Arial" w:cs="Arial"/>
                <w:noProof/>
                <w:sz w:val="20"/>
                <w:szCs w:val="20"/>
                <w:lang w:val="en-CA"/>
              </w:rPr>
              <w:t>(13)</w:t>
            </w:r>
            <w:r w:rsidRPr="00900280">
              <w:rPr>
                <w:rFonts w:ascii="Arial" w:eastAsia="Times New Roman" w:hAnsi="Arial" w:cs="Arial"/>
                <w:noProof/>
                <w:sz w:val="20"/>
                <w:szCs w:val="20"/>
                <w:lang w:val="en-CA"/>
              </w:rPr>
              <w:fldChar w:fldCharType="end"/>
            </w:r>
          </w:p>
        </w:tc>
        <w:tc>
          <w:tcPr>
            <w:tcW w:w="1140" w:type="dxa"/>
            <w:tcBorders>
              <w:top w:val="nil"/>
              <w:left w:val="nil"/>
              <w:bottom w:val="single" w:sz="6" w:space="0" w:color="auto"/>
              <w:right w:val="single" w:sz="6" w:space="0" w:color="auto"/>
            </w:tcBorders>
            <w:shd w:val="clear" w:color="auto" w:fill="auto"/>
            <w:hideMark/>
          </w:tcPr>
          <w:p w14:paraId="02ADAB63" w14:textId="07050BC6" w:rsidR="00D1748B" w:rsidRPr="00900280" w:rsidRDefault="00D1748B" w:rsidP="002725FD">
            <w:pPr>
              <w:tabs>
                <w:tab w:val="decimal" w:pos="696"/>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563 </w:t>
            </w:r>
          </w:p>
        </w:tc>
        <w:tc>
          <w:tcPr>
            <w:tcW w:w="1701" w:type="dxa"/>
            <w:tcBorders>
              <w:top w:val="nil"/>
              <w:left w:val="nil"/>
              <w:bottom w:val="single" w:sz="6" w:space="0" w:color="auto"/>
              <w:right w:val="single" w:sz="6" w:space="0" w:color="auto"/>
            </w:tcBorders>
            <w:shd w:val="clear" w:color="auto" w:fill="auto"/>
            <w:hideMark/>
          </w:tcPr>
          <w:p w14:paraId="5B94A930" w14:textId="77777777" w:rsidR="00D1748B" w:rsidRPr="00900280" w:rsidRDefault="00D1748B" w:rsidP="002725FD">
            <w:pPr>
              <w:tabs>
                <w:tab w:val="decimal" w:pos="990"/>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1</w:t>
            </w:r>
          </w:p>
        </w:tc>
        <w:tc>
          <w:tcPr>
            <w:tcW w:w="1701" w:type="dxa"/>
            <w:tcBorders>
              <w:top w:val="nil"/>
              <w:left w:val="nil"/>
              <w:bottom w:val="single" w:sz="6" w:space="0" w:color="auto"/>
              <w:right w:val="single" w:sz="6" w:space="0" w:color="auto"/>
            </w:tcBorders>
            <w:shd w:val="clear" w:color="auto" w:fill="auto"/>
            <w:hideMark/>
          </w:tcPr>
          <w:p w14:paraId="712B876E" w14:textId="77777777" w:rsidR="00D1748B" w:rsidRPr="00900280" w:rsidRDefault="00D1748B" w:rsidP="002725FD">
            <w:pPr>
              <w:tabs>
                <w:tab w:val="decimal" w:pos="1120"/>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1</w:t>
            </w:r>
          </w:p>
        </w:tc>
      </w:tr>
      <w:tr w:rsidR="00D1748B" w:rsidRPr="00900280" w14:paraId="5140FAB3" w14:textId="77777777" w:rsidTr="0035142D">
        <w:trPr>
          <w:trHeight w:val="397"/>
        </w:trPr>
        <w:tc>
          <w:tcPr>
            <w:tcW w:w="3142" w:type="dxa"/>
            <w:tcBorders>
              <w:top w:val="nil"/>
              <w:left w:val="single" w:sz="6" w:space="0" w:color="auto"/>
              <w:bottom w:val="single" w:sz="6" w:space="0" w:color="auto"/>
              <w:right w:val="single" w:sz="6" w:space="0" w:color="auto"/>
            </w:tcBorders>
            <w:shd w:val="clear" w:color="auto" w:fill="auto"/>
            <w:hideMark/>
          </w:tcPr>
          <w:p w14:paraId="093D6849" w14:textId="77777777" w:rsidR="00D1748B" w:rsidRPr="00900280" w:rsidRDefault="00D1748B" w:rsidP="002725FD">
            <w:pPr>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Ambulatory Adenotonsillectomy </w:t>
            </w:r>
          </w:p>
        </w:tc>
        <w:tc>
          <w:tcPr>
            <w:tcW w:w="1140" w:type="dxa"/>
            <w:tcBorders>
              <w:top w:val="nil"/>
              <w:left w:val="nil"/>
              <w:bottom w:val="single" w:sz="6" w:space="0" w:color="auto"/>
              <w:right w:val="single" w:sz="6" w:space="0" w:color="auto"/>
            </w:tcBorders>
            <w:shd w:val="clear" w:color="auto" w:fill="auto"/>
            <w:hideMark/>
          </w:tcPr>
          <w:p w14:paraId="248C80B7" w14:textId="74749826" w:rsidR="00D1748B" w:rsidRPr="00900280" w:rsidRDefault="00D1748B" w:rsidP="002725FD">
            <w:pPr>
              <w:tabs>
                <w:tab w:val="decimal" w:pos="696"/>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5458 </w:t>
            </w:r>
          </w:p>
        </w:tc>
        <w:tc>
          <w:tcPr>
            <w:tcW w:w="1701" w:type="dxa"/>
            <w:tcBorders>
              <w:top w:val="nil"/>
              <w:left w:val="nil"/>
              <w:bottom w:val="single" w:sz="6" w:space="0" w:color="auto"/>
              <w:right w:val="single" w:sz="6" w:space="0" w:color="auto"/>
            </w:tcBorders>
            <w:shd w:val="clear" w:color="auto" w:fill="auto"/>
            <w:hideMark/>
          </w:tcPr>
          <w:p w14:paraId="3D32B383" w14:textId="77777777" w:rsidR="00D1748B" w:rsidRPr="00900280" w:rsidRDefault="00D1748B" w:rsidP="002725FD">
            <w:pPr>
              <w:tabs>
                <w:tab w:val="decimal" w:pos="990"/>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0</w:t>
            </w:r>
          </w:p>
        </w:tc>
        <w:tc>
          <w:tcPr>
            <w:tcW w:w="1701" w:type="dxa"/>
            <w:tcBorders>
              <w:top w:val="nil"/>
              <w:left w:val="nil"/>
              <w:bottom w:val="single" w:sz="6" w:space="0" w:color="auto"/>
              <w:right w:val="single" w:sz="6" w:space="0" w:color="auto"/>
            </w:tcBorders>
            <w:shd w:val="clear" w:color="auto" w:fill="auto"/>
            <w:hideMark/>
          </w:tcPr>
          <w:p w14:paraId="5D1D89EC" w14:textId="77777777" w:rsidR="00D1748B" w:rsidRPr="00900280" w:rsidRDefault="00D1748B" w:rsidP="002725FD">
            <w:pPr>
              <w:tabs>
                <w:tab w:val="decimal" w:pos="1120"/>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0</w:t>
            </w:r>
          </w:p>
        </w:tc>
      </w:tr>
      <w:tr w:rsidR="00D1748B" w:rsidRPr="00900280" w14:paraId="3CEF3495" w14:textId="77777777" w:rsidTr="0035142D">
        <w:trPr>
          <w:trHeight w:val="397"/>
        </w:trPr>
        <w:tc>
          <w:tcPr>
            <w:tcW w:w="3142" w:type="dxa"/>
            <w:tcBorders>
              <w:top w:val="nil"/>
              <w:left w:val="single" w:sz="6" w:space="0" w:color="auto"/>
              <w:bottom w:val="single" w:sz="6" w:space="0" w:color="auto"/>
              <w:right w:val="single" w:sz="6" w:space="0" w:color="auto"/>
            </w:tcBorders>
            <w:shd w:val="clear" w:color="auto" w:fill="auto"/>
            <w:hideMark/>
          </w:tcPr>
          <w:p w14:paraId="44DE884F" w14:textId="77777777" w:rsidR="00D1748B" w:rsidRPr="00900280" w:rsidRDefault="00D1748B" w:rsidP="002725FD">
            <w:pPr>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Concussion Education </w:t>
            </w:r>
          </w:p>
        </w:tc>
        <w:tc>
          <w:tcPr>
            <w:tcW w:w="1140" w:type="dxa"/>
            <w:tcBorders>
              <w:top w:val="nil"/>
              <w:left w:val="nil"/>
              <w:bottom w:val="single" w:sz="6" w:space="0" w:color="auto"/>
              <w:right w:val="single" w:sz="6" w:space="0" w:color="auto"/>
            </w:tcBorders>
            <w:shd w:val="clear" w:color="auto" w:fill="auto"/>
            <w:hideMark/>
          </w:tcPr>
          <w:p w14:paraId="28200C07" w14:textId="77777777" w:rsidR="00D1748B" w:rsidRPr="00900280" w:rsidRDefault="00D1748B" w:rsidP="002725FD">
            <w:pPr>
              <w:tabs>
                <w:tab w:val="decimal" w:pos="696"/>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476</w:t>
            </w:r>
          </w:p>
        </w:tc>
        <w:tc>
          <w:tcPr>
            <w:tcW w:w="1701" w:type="dxa"/>
            <w:tcBorders>
              <w:top w:val="nil"/>
              <w:left w:val="nil"/>
              <w:bottom w:val="single" w:sz="6" w:space="0" w:color="auto"/>
              <w:right w:val="single" w:sz="6" w:space="0" w:color="auto"/>
            </w:tcBorders>
            <w:shd w:val="clear" w:color="auto" w:fill="auto"/>
            <w:hideMark/>
          </w:tcPr>
          <w:p w14:paraId="707A2D66" w14:textId="77777777" w:rsidR="00D1748B" w:rsidRPr="00900280" w:rsidRDefault="00D1748B" w:rsidP="002725FD">
            <w:pPr>
              <w:tabs>
                <w:tab w:val="decimal" w:pos="990"/>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0</w:t>
            </w:r>
          </w:p>
        </w:tc>
        <w:tc>
          <w:tcPr>
            <w:tcW w:w="1701" w:type="dxa"/>
            <w:tcBorders>
              <w:top w:val="nil"/>
              <w:left w:val="nil"/>
              <w:bottom w:val="single" w:sz="6" w:space="0" w:color="auto"/>
              <w:right w:val="single" w:sz="6" w:space="0" w:color="auto"/>
            </w:tcBorders>
            <w:shd w:val="clear" w:color="auto" w:fill="auto"/>
            <w:hideMark/>
          </w:tcPr>
          <w:p w14:paraId="1A2C9F7D" w14:textId="77777777" w:rsidR="00D1748B" w:rsidRPr="00900280" w:rsidRDefault="00D1748B" w:rsidP="002725FD">
            <w:pPr>
              <w:tabs>
                <w:tab w:val="decimal" w:pos="1120"/>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0</w:t>
            </w:r>
          </w:p>
        </w:tc>
      </w:tr>
      <w:tr w:rsidR="00D1748B" w:rsidRPr="00900280" w14:paraId="291B40CA" w14:textId="77777777" w:rsidTr="0035142D">
        <w:trPr>
          <w:trHeight w:val="397"/>
        </w:trPr>
        <w:tc>
          <w:tcPr>
            <w:tcW w:w="3142" w:type="dxa"/>
            <w:tcBorders>
              <w:top w:val="nil"/>
              <w:left w:val="single" w:sz="6" w:space="0" w:color="auto"/>
              <w:bottom w:val="single" w:sz="6" w:space="0" w:color="auto"/>
              <w:right w:val="single" w:sz="6" w:space="0" w:color="auto"/>
            </w:tcBorders>
            <w:shd w:val="clear" w:color="auto" w:fill="auto"/>
            <w:hideMark/>
          </w:tcPr>
          <w:p w14:paraId="3FC11E7B" w14:textId="77777777" w:rsidR="00D1748B" w:rsidRPr="00900280" w:rsidRDefault="00D1748B" w:rsidP="002725FD">
            <w:pPr>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Pediatric Cardiology </w:t>
            </w:r>
            <w:r w:rsidRPr="00900280">
              <w:rPr>
                <w:rFonts w:ascii="Arial" w:eastAsia="Times New Roman" w:hAnsi="Arial" w:cs="Arial"/>
                <w:sz w:val="20"/>
                <w:szCs w:val="20"/>
                <w:lang w:val="en-CA"/>
              </w:rPr>
              <w:fldChar w:fldCharType="begin" w:fldLock="1"/>
            </w:r>
            <w:r w:rsidRPr="00900280">
              <w:rPr>
                <w:rFonts w:ascii="Arial" w:eastAsia="Times New Roman" w:hAnsi="Arial" w:cs="Arial"/>
                <w:sz w:val="20"/>
                <w:szCs w:val="20"/>
                <w:lang w:val="en-CA"/>
              </w:rPr>
              <w:instrText>ADDIN CSL_CITATION {"citationItems":[{"id":"ITEM-1","itemData":{"author":[{"dropping-particle":"","family":"Ashkanase","given":"J","non-dropping-particle":"","parse-names":false,"suffix":""},{"dropping-particle":"","family":"Nama","given":"Nassr","non-dropping-particle":"","parse-names":false,"suffix":""},{"dropping-particle":"","family":"Sandarage","given":"Ryan","non-dropping-particle":"","parse-names":false,"suffix":""},{"dropping-particle":"","family":"Penslar","given":"J","non-dropping-particle":"","parse-names":false,"suffix":""},{"dropping-particle":"","family":"Gupta","given":"R","non-dropping-particle":"","parse-names":false,"suffix":""},{"dropping-particle":"","family":"Ly","given":"Sophia","non-dropping-particle":"","parse-names":false,"suffix":""}],"container-title":"Canadian Journal of Cardiology","id":"ITEM-1","issued":{"date-parts":[["2020"]]},"title":"All Randomized Controlled Trials in Pediatric Cardiology: A Crowdsourced Scoping Review [in press]","type":"article-journal"},"uris":["http://www.mendeley.com/documents/?uuid=1deb40e0-850c-4aca-a639-d911cfff53de"]}],"mendeley":{"formattedCitation":"(11)","plainTextFormattedCitation":"(11)","previouslyFormattedCitation":"(11)"},"properties":{"noteIndex":0},"schema":"https://github.com/citation-style-language/schema/raw/master/csl-citation.json"}</w:instrText>
            </w:r>
            <w:r w:rsidRPr="00900280">
              <w:rPr>
                <w:rFonts w:ascii="Arial" w:eastAsia="Times New Roman" w:hAnsi="Arial" w:cs="Arial"/>
                <w:sz w:val="20"/>
                <w:szCs w:val="20"/>
                <w:lang w:val="en-CA"/>
              </w:rPr>
              <w:fldChar w:fldCharType="separate"/>
            </w:r>
            <w:r w:rsidRPr="00900280">
              <w:rPr>
                <w:rFonts w:ascii="Arial" w:eastAsia="Times New Roman" w:hAnsi="Arial" w:cs="Arial"/>
                <w:noProof/>
                <w:sz w:val="20"/>
                <w:szCs w:val="20"/>
                <w:lang w:val="en-CA"/>
              </w:rPr>
              <w:t>(11)</w:t>
            </w:r>
            <w:r w:rsidRPr="00900280">
              <w:rPr>
                <w:rFonts w:ascii="Arial" w:eastAsia="Times New Roman" w:hAnsi="Arial" w:cs="Arial"/>
                <w:sz w:val="20"/>
                <w:szCs w:val="20"/>
                <w:lang w:val="en-CA"/>
              </w:rPr>
              <w:fldChar w:fldCharType="end"/>
            </w:r>
          </w:p>
        </w:tc>
        <w:tc>
          <w:tcPr>
            <w:tcW w:w="1140" w:type="dxa"/>
            <w:tcBorders>
              <w:top w:val="nil"/>
              <w:left w:val="nil"/>
              <w:bottom w:val="single" w:sz="6" w:space="0" w:color="auto"/>
              <w:right w:val="single" w:sz="6" w:space="0" w:color="auto"/>
            </w:tcBorders>
            <w:shd w:val="clear" w:color="auto" w:fill="auto"/>
            <w:hideMark/>
          </w:tcPr>
          <w:p w14:paraId="6EBB332A" w14:textId="77777777" w:rsidR="00D1748B" w:rsidRPr="00900280" w:rsidRDefault="00D1748B" w:rsidP="002725FD">
            <w:pPr>
              <w:tabs>
                <w:tab w:val="decimal" w:pos="696"/>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6896</w:t>
            </w:r>
          </w:p>
        </w:tc>
        <w:tc>
          <w:tcPr>
            <w:tcW w:w="1701" w:type="dxa"/>
            <w:tcBorders>
              <w:top w:val="nil"/>
              <w:left w:val="nil"/>
              <w:bottom w:val="single" w:sz="6" w:space="0" w:color="auto"/>
              <w:right w:val="single" w:sz="6" w:space="0" w:color="auto"/>
            </w:tcBorders>
            <w:shd w:val="clear" w:color="auto" w:fill="auto"/>
            <w:hideMark/>
          </w:tcPr>
          <w:p w14:paraId="1EA6D456" w14:textId="77777777" w:rsidR="00D1748B" w:rsidRPr="00900280" w:rsidRDefault="00D1748B" w:rsidP="002725FD">
            <w:pPr>
              <w:tabs>
                <w:tab w:val="decimal" w:pos="990"/>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8</w:t>
            </w:r>
          </w:p>
        </w:tc>
        <w:tc>
          <w:tcPr>
            <w:tcW w:w="1701" w:type="dxa"/>
            <w:tcBorders>
              <w:top w:val="nil"/>
              <w:left w:val="nil"/>
              <w:bottom w:val="single" w:sz="6" w:space="0" w:color="auto"/>
              <w:right w:val="single" w:sz="6" w:space="0" w:color="auto"/>
            </w:tcBorders>
            <w:shd w:val="clear" w:color="auto" w:fill="auto"/>
            <w:hideMark/>
          </w:tcPr>
          <w:p w14:paraId="012CA74F" w14:textId="77777777" w:rsidR="00D1748B" w:rsidRPr="00900280" w:rsidRDefault="00D1748B" w:rsidP="002725FD">
            <w:pPr>
              <w:tabs>
                <w:tab w:val="decimal" w:pos="1120"/>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1</w:t>
            </w:r>
          </w:p>
        </w:tc>
      </w:tr>
      <w:tr w:rsidR="00D1748B" w:rsidRPr="00900280" w14:paraId="085BD541" w14:textId="77777777" w:rsidTr="004117F4">
        <w:trPr>
          <w:trHeight w:val="318"/>
        </w:trPr>
        <w:tc>
          <w:tcPr>
            <w:tcW w:w="3142" w:type="dxa"/>
            <w:tcBorders>
              <w:top w:val="nil"/>
              <w:left w:val="single" w:sz="6" w:space="0" w:color="auto"/>
              <w:bottom w:val="single" w:sz="6" w:space="0" w:color="auto"/>
              <w:right w:val="single" w:sz="6" w:space="0" w:color="auto"/>
            </w:tcBorders>
            <w:shd w:val="clear" w:color="auto" w:fill="auto"/>
            <w:hideMark/>
          </w:tcPr>
          <w:p w14:paraId="15915CFA" w14:textId="77777777" w:rsidR="00D1748B" w:rsidRPr="00900280" w:rsidRDefault="00D1748B" w:rsidP="002725FD">
            <w:pPr>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 xml:space="preserve">PAP Adherence </w:t>
            </w:r>
            <w:r w:rsidRPr="00900280">
              <w:rPr>
                <w:rFonts w:ascii="Arial" w:eastAsia="Times New Roman" w:hAnsi="Arial" w:cs="Arial"/>
                <w:sz w:val="20"/>
                <w:szCs w:val="20"/>
                <w:lang w:val="en-CA"/>
              </w:rPr>
              <w:fldChar w:fldCharType="begin" w:fldLock="1"/>
            </w:r>
            <w:r w:rsidRPr="00900280">
              <w:rPr>
                <w:rFonts w:ascii="Arial" w:eastAsia="Times New Roman" w:hAnsi="Arial" w:cs="Arial"/>
                <w:sz w:val="20"/>
                <w:szCs w:val="20"/>
                <w:lang w:val="en-CA"/>
              </w:rPr>
              <w:instrText>ADDIN CSL_CITATION {"citationItems":[{"id":"ITEM-1","itemData":{"DOI":"10.1016/j.sleep.2019.12.015","ISSN":"1878-5506","PMID":"32045851","abstract":"BACKGROUND While positive airway pressure (PAP) is effective for treating sleep-disordered breathing (SDB) in children, adherence is poor. Studies evaluating predictors of PAP adherence have inconsistent findings, and no rigorous reviews have been conducted. This systematic review aims to summarize the literature on predictors of PAP therapy adherence in children. METHODS Studies evaluating baseline predictors of PAP therapy adherence in children (≤20 years) with SDB were included. We searched MEDLINE, Embase, CENTRAL, CINAHL, Clinicaltrials.gov, and the last four years of conference abstracts. Results were described narratively, with random-effects meta-analyses performed where feasible. Risk of bias and confidence in the evidence were assessed. RESULTS We identified 50 factors evaluated across 28 studies (21 full text articles, seven abstracts). The highest rates of PAP therapy adherence were most consistently found with female sex, younger age, Caucasian race, higher maternal education, greater baseline apnea-hypopnea index (AHI), and presence of developmental delay. Pooled estimates included odds ratios of 1.48 (95%CI: 0.75-2.93) favoring female sex, 1.26 (95%CI: 0.68-2.36) favoring Caucasian race, and a mean difference in AHI of 4.32 (95%CI: -0.61-9.26) events/hour between adherent and non-adherent groups. There was low quality evidence to suggest that psychosocial factors like health cognitions and family environment may predict adherence. CONCLUSION In this novel systematic review, we identified several factors associated with increased odds of PAP therapy adherence in children. These findings may help guide clinicians to identify and support children less likely to adhere to PAP therapy and should be considered when developing interventions to improve adherence.","author":[{"dropping-particle":"","family":"Blinder","given":"Henrietta","non-dropping-particle":"","parse-names":false,"suffix":""},{"dropping-particle":"","family":"Momoli","given":"Franco","non-dropping-particle":"","parse-names":false,"suffix":""},{"dropping-particle":"","family":"Bokhaut","given":"Julia","non-dropping-particle":"","parse-names":false,"suffix":""},{"dropping-particle":"","family":"Bacal","given":"Vanessa","non-dropping-particle":"","parse-names":false,"suffix":""},{"dropping-particle":"","family":"Goldberg","given":"Reuben","non-dropping-particle":"","parse-names":false,"suffix":""},{"dropping-particle":"","family":"Radhakrishnan","given":"Dhenuka","non-dropping-particle":"","parse-names":false,"suffix":""},{"dropping-particle":"","family":"Katz","given":"Sherri L","non-dropping-particle":"","parse-names":false,"suffix":""}],"container-title":"Sleep medicine","id":"ITEM-1","issued":{"date-parts":[["2020","1","11"]]},"page":"19-33","publisher":"Elsevier B.V.","title":"Predictors of adherence to positive airway pressure therapy in children: a systematic review and meta-analysis.","type":"article-journal","volume":"69"},"uris":["http://www.mendeley.com/documents/?uuid=f77523f5-e0c4-31ab-ae82-b0457334ddbd"]}],"mendeley":{"formattedCitation":"(14)","plainTextFormattedCitation":"(14)","previouslyFormattedCitation":"(14)"},"properties":{"noteIndex":0},"schema":"https://github.com/citation-style-language/schema/raw/master/csl-citation.json"}</w:instrText>
            </w:r>
            <w:r w:rsidRPr="00900280">
              <w:rPr>
                <w:rFonts w:ascii="Arial" w:eastAsia="Times New Roman" w:hAnsi="Arial" w:cs="Arial"/>
                <w:sz w:val="20"/>
                <w:szCs w:val="20"/>
                <w:lang w:val="en-CA"/>
              </w:rPr>
              <w:fldChar w:fldCharType="separate"/>
            </w:r>
            <w:r w:rsidRPr="00900280">
              <w:rPr>
                <w:rFonts w:ascii="Arial" w:eastAsia="Times New Roman" w:hAnsi="Arial" w:cs="Arial"/>
                <w:noProof/>
                <w:sz w:val="20"/>
                <w:szCs w:val="20"/>
                <w:lang w:val="en-CA"/>
              </w:rPr>
              <w:t>(14)</w:t>
            </w:r>
            <w:r w:rsidRPr="00900280">
              <w:rPr>
                <w:rFonts w:ascii="Arial" w:eastAsia="Times New Roman" w:hAnsi="Arial" w:cs="Arial"/>
                <w:sz w:val="20"/>
                <w:szCs w:val="20"/>
                <w:lang w:val="en-CA"/>
              </w:rPr>
              <w:fldChar w:fldCharType="end"/>
            </w:r>
          </w:p>
        </w:tc>
        <w:tc>
          <w:tcPr>
            <w:tcW w:w="1140" w:type="dxa"/>
            <w:tcBorders>
              <w:top w:val="nil"/>
              <w:left w:val="nil"/>
              <w:bottom w:val="single" w:sz="6" w:space="0" w:color="auto"/>
              <w:right w:val="single" w:sz="6" w:space="0" w:color="auto"/>
            </w:tcBorders>
            <w:shd w:val="clear" w:color="auto" w:fill="auto"/>
            <w:hideMark/>
          </w:tcPr>
          <w:p w14:paraId="04A8AEC4" w14:textId="77777777" w:rsidR="00D1748B" w:rsidRPr="00900280" w:rsidRDefault="00D1748B" w:rsidP="002725FD">
            <w:pPr>
              <w:tabs>
                <w:tab w:val="decimal" w:pos="696"/>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162</w:t>
            </w:r>
          </w:p>
        </w:tc>
        <w:tc>
          <w:tcPr>
            <w:tcW w:w="1701" w:type="dxa"/>
            <w:tcBorders>
              <w:top w:val="nil"/>
              <w:left w:val="nil"/>
              <w:bottom w:val="single" w:sz="6" w:space="0" w:color="auto"/>
              <w:right w:val="single" w:sz="6" w:space="0" w:color="auto"/>
            </w:tcBorders>
            <w:shd w:val="clear" w:color="auto" w:fill="auto"/>
            <w:hideMark/>
          </w:tcPr>
          <w:p w14:paraId="5645390E" w14:textId="77777777" w:rsidR="00D1748B" w:rsidRPr="00900280" w:rsidRDefault="00D1748B" w:rsidP="002725FD">
            <w:pPr>
              <w:tabs>
                <w:tab w:val="decimal" w:pos="990"/>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1</w:t>
            </w:r>
          </w:p>
        </w:tc>
        <w:tc>
          <w:tcPr>
            <w:tcW w:w="1701" w:type="dxa"/>
            <w:tcBorders>
              <w:top w:val="nil"/>
              <w:left w:val="nil"/>
              <w:bottom w:val="single" w:sz="6" w:space="0" w:color="auto"/>
              <w:right w:val="single" w:sz="6" w:space="0" w:color="auto"/>
            </w:tcBorders>
            <w:shd w:val="clear" w:color="auto" w:fill="auto"/>
            <w:hideMark/>
          </w:tcPr>
          <w:p w14:paraId="38AAB7D9" w14:textId="77777777" w:rsidR="00D1748B" w:rsidRPr="00900280" w:rsidRDefault="00D1748B" w:rsidP="002725FD">
            <w:pPr>
              <w:tabs>
                <w:tab w:val="decimal" w:pos="1120"/>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0</w:t>
            </w:r>
          </w:p>
        </w:tc>
      </w:tr>
    </w:tbl>
    <w:p w14:paraId="401592FA" w14:textId="152D699A" w:rsidR="007B3046" w:rsidRPr="007B3046" w:rsidRDefault="00D1748B" w:rsidP="007B3046">
      <w:pPr>
        <w:spacing w:line="480" w:lineRule="auto"/>
        <w:textAlignment w:val="baseline"/>
        <w:rPr>
          <w:rFonts w:ascii="Times New Roman" w:eastAsia="Times New Roman" w:hAnsi="Times New Roman" w:cs="Times New Roman"/>
          <w:lang w:val="en-CA"/>
        </w:rPr>
      </w:pPr>
      <w:r w:rsidRPr="00900280">
        <w:rPr>
          <w:rFonts w:ascii="Times New Roman" w:eastAsia="Times New Roman" w:hAnsi="Times New Roman" w:cs="Times New Roman"/>
          <w:lang w:val="en-CA"/>
        </w:rPr>
        <w:t> </w:t>
      </w:r>
    </w:p>
    <w:p w14:paraId="7D955DC1" w14:textId="260C473C" w:rsidR="00D1748B" w:rsidRPr="007B3046" w:rsidRDefault="00D1748B" w:rsidP="00A66E87">
      <w:pPr>
        <w:spacing w:line="276" w:lineRule="auto"/>
        <w:textAlignment w:val="baseline"/>
        <w:rPr>
          <w:rFonts w:ascii="Arial" w:eastAsia="Times New Roman" w:hAnsi="Arial" w:cs="Arial"/>
          <w:b/>
          <w:bCs/>
          <w:sz w:val="20"/>
          <w:szCs w:val="20"/>
          <w:lang w:val="en-CA"/>
        </w:rPr>
      </w:pPr>
      <w:r w:rsidRPr="007B3046">
        <w:rPr>
          <w:rFonts w:ascii="Arial" w:eastAsia="Times New Roman" w:hAnsi="Arial" w:cs="Arial"/>
          <w:b/>
          <w:bCs/>
          <w:sz w:val="20"/>
          <w:szCs w:val="20"/>
          <w:lang w:val="en-CA"/>
        </w:rPr>
        <w:t>Supplemental Table S3. Rank of the 5th relevant record</w:t>
      </w:r>
    </w:p>
    <w:tbl>
      <w:tblPr>
        <w:tblW w:w="73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97"/>
        <w:gridCol w:w="1984"/>
        <w:gridCol w:w="1985"/>
      </w:tblGrid>
      <w:tr w:rsidR="00D1748B" w:rsidRPr="00900280" w14:paraId="4C7E718B" w14:textId="77777777" w:rsidTr="003777DE">
        <w:trPr>
          <w:trHeight w:val="320"/>
        </w:trPr>
        <w:tc>
          <w:tcPr>
            <w:tcW w:w="3397" w:type="dxa"/>
            <w:shd w:val="clear" w:color="auto" w:fill="auto"/>
            <w:noWrap/>
            <w:hideMark/>
          </w:tcPr>
          <w:p w14:paraId="663AC0ED" w14:textId="77777777" w:rsidR="00D1748B" w:rsidRPr="00900280" w:rsidRDefault="00D1748B" w:rsidP="005B2B55">
            <w:pP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Search</w:t>
            </w:r>
          </w:p>
        </w:tc>
        <w:tc>
          <w:tcPr>
            <w:tcW w:w="1984" w:type="dxa"/>
            <w:shd w:val="clear" w:color="auto" w:fill="auto"/>
            <w:noWrap/>
            <w:vAlign w:val="bottom"/>
            <w:hideMark/>
          </w:tcPr>
          <w:p w14:paraId="77084233" w14:textId="77777777" w:rsidR="00D1748B" w:rsidRPr="00900280" w:rsidRDefault="00D1748B" w:rsidP="005B2B55">
            <w:pPr>
              <w:jc w:val="cente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 xml:space="preserve">Position in </w:t>
            </w:r>
            <w:r w:rsidRPr="00900280">
              <w:rPr>
                <w:rFonts w:ascii="Arial" w:eastAsia="Times New Roman" w:hAnsi="Arial" w:cs="Arial"/>
                <w:b/>
                <w:bCs/>
                <w:sz w:val="20"/>
                <w:szCs w:val="20"/>
                <w:lang w:val="en-CA"/>
              </w:rPr>
              <w:br/>
              <w:t>Best Match Sort</w:t>
            </w:r>
          </w:p>
        </w:tc>
        <w:tc>
          <w:tcPr>
            <w:tcW w:w="1985" w:type="dxa"/>
            <w:shd w:val="clear" w:color="auto" w:fill="auto"/>
            <w:noWrap/>
            <w:vAlign w:val="bottom"/>
            <w:hideMark/>
          </w:tcPr>
          <w:p w14:paraId="12E09345" w14:textId="77777777" w:rsidR="00D1748B" w:rsidRPr="00900280" w:rsidRDefault="00D1748B" w:rsidP="005B2B55">
            <w:pPr>
              <w:jc w:val="center"/>
              <w:textAlignment w:val="baseline"/>
              <w:rPr>
                <w:rFonts w:ascii="Arial" w:eastAsia="Times New Roman" w:hAnsi="Arial" w:cs="Arial"/>
                <w:b/>
                <w:bCs/>
                <w:sz w:val="20"/>
                <w:szCs w:val="20"/>
                <w:lang w:val="en-CA"/>
              </w:rPr>
            </w:pPr>
            <w:r w:rsidRPr="00900280">
              <w:rPr>
                <w:rFonts w:ascii="Arial" w:eastAsia="Times New Roman" w:hAnsi="Arial" w:cs="Arial"/>
                <w:b/>
                <w:bCs/>
                <w:sz w:val="20"/>
                <w:szCs w:val="20"/>
                <w:lang w:val="en-CA"/>
              </w:rPr>
              <w:t xml:space="preserve">Position in </w:t>
            </w:r>
            <w:r w:rsidRPr="00900280">
              <w:rPr>
                <w:rFonts w:ascii="Arial" w:eastAsia="Times New Roman" w:hAnsi="Arial" w:cs="Arial"/>
                <w:b/>
                <w:bCs/>
                <w:sz w:val="20"/>
                <w:szCs w:val="20"/>
                <w:lang w:val="en-CA"/>
              </w:rPr>
              <w:br/>
              <w:t>Most Recent Sort</w:t>
            </w:r>
          </w:p>
        </w:tc>
      </w:tr>
      <w:tr w:rsidR="00D1748B" w:rsidRPr="00900280" w14:paraId="721DEE2D" w14:textId="77777777" w:rsidTr="003777DE">
        <w:trPr>
          <w:trHeight w:val="397"/>
        </w:trPr>
        <w:tc>
          <w:tcPr>
            <w:tcW w:w="3397" w:type="dxa"/>
            <w:shd w:val="clear" w:color="auto" w:fill="auto"/>
            <w:hideMark/>
          </w:tcPr>
          <w:p w14:paraId="29D6B32B" w14:textId="77777777" w:rsidR="00D1748B" w:rsidRPr="00900280" w:rsidRDefault="00D1748B" w:rsidP="002725FD">
            <w:pPr>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Vitamin D </w:t>
            </w:r>
            <w:r w:rsidRPr="00900280">
              <w:rPr>
                <w:rFonts w:ascii="Arial" w:eastAsia="Times New Roman" w:hAnsi="Arial" w:cs="Arial"/>
                <w:noProof/>
                <w:sz w:val="20"/>
                <w:szCs w:val="20"/>
                <w:lang w:val="en-CA"/>
              </w:rPr>
              <w:fldChar w:fldCharType="begin" w:fldLock="1"/>
            </w:r>
            <w:r w:rsidRPr="00900280">
              <w:rPr>
                <w:rFonts w:ascii="Arial" w:eastAsia="Times New Roman" w:hAnsi="Arial" w:cs="Arial"/>
                <w:noProof/>
                <w:sz w:val="20"/>
                <w:szCs w:val="20"/>
                <w:lang w:val="en-CA"/>
              </w:rPr>
              <w:instrText>ADDIN CSL_CITATION {"citationItems":[{"id":"ITEM-1","itemData":{"DOI":"10.7717/peerj.1701","ISSN":"21678359","abstract":"? 2016 Nama et al.Background. Due to inadequate UV exposure, intake of small quantities of vitamin D is recommended to prevent musculoskeletal disease. Both basic science and observational literature strongly suggest that higher doses may benefit specific populations and have non-musculoskeletal roles. Evaluating the evidence surrounding high dose supplementation can be challenging given a relatively large and growing body of clinical trial evidence spanning time, geography, populations and dosing regimens. Study objectives were to identify and summarize the clinical trial literature, recognize areas with high quality evidence, and develop a resource database that makes the literature more immediately accessible to end users. Methods. Medline (1946 to January 2015), Embase (1974 to January 2015), and Cochrane databases (January 2015), were searched for trials. All pediatric (0-18 years) trials administering doses higher than 400 IU (&lt; 1 year) or 600 IU (?1 year) were included. Data was extracted independently by two of the authors. An online searchable database of trials was developed containing relevant extracted information (http://www. cheori.org/en/pedvitaminddatabaseOverview). Sensitivity and utility were assessed by comparing the trials in the database with those from systematic reviews of vitamin D supplementation including children. Results. A total of 2,579 candidate papers were identified, yielding 169 trials having one or more arms meeting eligibility criteria. The publication rate has increased significantly from 1 per year (1970-1979) to 14 per year (2010-2015). Although 84% of the total trials focused on healthy children or known high risk populations (e.g., renal, prematurity), this proportion has declined in recent years due to the rise in trials evaluating populations and outcomes not directly related to the musculoskeletal actions of vitamin D (27% in 2010s). Beyond healthy children, the only pediatric populations with more than 50 participants from low risk of bias trials evaluating a clinically relevant outcome were prematurity and respiratory illness. Finally, we created and validated the online searchable database using 13 recent systematic reviews. Of the 38 high dose trials identified by the systematic review, 36 (94.7%) could be found within the database. When compared with the search strategy reported in each systematic review, use of the database reduced the number of full papers to assess for eligibility by 85.2% (?13.4%). Co…","author":[{"dropping-particle":"","family":"Nama","given":"N.","non-dropping-particle":"","parse-names":false,"suffix":""},{"dropping-particle":"","family":"Menon","given":"K.","non-dropping-particle":"","parse-names":false,"suffix":""},{"dropping-particle":"","family":"Iliriani","given":"K.","non-dropping-particle":"","parse-names":false,"suffix":""},{"dropping-particle":"","family":"Pojsupap","given":"S.","non-dropping-particle":"","parse-names":false,"suffix":""},{"dropping-particle":"","family":"Sampson","given":"M.","non-dropping-particle":"","parse-names":false,"suffix":""},{"dropping-particle":"","family":"O'Hearn","given":"K.","non-dropping-particle":"","parse-names":false,"suffix":""},{"dropping-particle":"","family":"Zhou","given":"L.","non-dropping-particle":"","parse-names":false,"suffix":""},{"dropping-particle":"","family":"McIntyre","given":"L.","non-dropping-particle":"","parse-names":false,"suffix":""},{"dropping-particle":"","family":"Fergusson","given":"D.","non-dropping-particle":"","parse-names":false,"suffix":""},{"dropping-particle":"","family":"McNally","given":"J.D.","non-dropping-particle":"","parse-names":false,"suffix":""}],"container-title":"PeerJ","id":"ITEM-1","issue":"2","issued":{"date-parts":[["2016"]]},"title":"A systematic review of pediatric clinical trials of high dose vitamin D","type":"article-journal","volume":"2016"},"uris":["http://www.mendeley.com/documents/?uuid=da3eef0b-20b7-3068-9745-c48339795d87"]}],"mendeley":{"formattedCitation":"(12)","plainTextFormattedCitation":"(12)","previouslyFormattedCitation":"(12)"},"properties":{"noteIndex":0},"schema":"https://github.com/citation-style-language/schema/raw/master/csl-citation.json"}</w:instrText>
            </w:r>
            <w:r w:rsidRPr="00900280">
              <w:rPr>
                <w:rFonts w:ascii="Arial" w:eastAsia="Times New Roman" w:hAnsi="Arial" w:cs="Arial"/>
                <w:noProof/>
                <w:sz w:val="20"/>
                <w:szCs w:val="20"/>
                <w:lang w:val="en-CA"/>
              </w:rPr>
              <w:fldChar w:fldCharType="separate"/>
            </w:r>
            <w:r w:rsidRPr="00900280">
              <w:rPr>
                <w:rFonts w:ascii="Arial" w:eastAsia="Times New Roman" w:hAnsi="Arial" w:cs="Arial"/>
                <w:noProof/>
                <w:sz w:val="20"/>
                <w:szCs w:val="20"/>
                <w:lang w:val="en-CA"/>
              </w:rPr>
              <w:t>(12)</w:t>
            </w:r>
            <w:r w:rsidRPr="00900280">
              <w:rPr>
                <w:rFonts w:ascii="Arial" w:eastAsia="Times New Roman" w:hAnsi="Arial" w:cs="Arial"/>
                <w:noProof/>
                <w:sz w:val="20"/>
                <w:szCs w:val="20"/>
                <w:lang w:val="en-CA"/>
              </w:rPr>
              <w:fldChar w:fldCharType="end"/>
            </w:r>
          </w:p>
        </w:tc>
        <w:tc>
          <w:tcPr>
            <w:tcW w:w="1984" w:type="dxa"/>
            <w:shd w:val="clear" w:color="auto" w:fill="auto"/>
            <w:noWrap/>
            <w:hideMark/>
          </w:tcPr>
          <w:p w14:paraId="2CA45203" w14:textId="77777777" w:rsidR="00D1748B" w:rsidRPr="00900280" w:rsidRDefault="00D1748B" w:rsidP="002725FD">
            <w:pPr>
              <w:tabs>
                <w:tab w:val="decimal" w:pos="1027"/>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33</w:t>
            </w:r>
          </w:p>
        </w:tc>
        <w:tc>
          <w:tcPr>
            <w:tcW w:w="1985" w:type="dxa"/>
            <w:shd w:val="clear" w:color="auto" w:fill="auto"/>
            <w:noWrap/>
            <w:hideMark/>
          </w:tcPr>
          <w:p w14:paraId="36EB0B51" w14:textId="77777777" w:rsidR="00D1748B" w:rsidRPr="00900280" w:rsidRDefault="00D1748B" w:rsidP="002725FD">
            <w:pPr>
              <w:tabs>
                <w:tab w:val="decimal" w:pos="1166"/>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293</w:t>
            </w:r>
          </w:p>
        </w:tc>
      </w:tr>
      <w:tr w:rsidR="00D1748B" w:rsidRPr="00900280" w14:paraId="643D5420" w14:textId="77777777" w:rsidTr="003777DE">
        <w:trPr>
          <w:trHeight w:val="397"/>
        </w:trPr>
        <w:tc>
          <w:tcPr>
            <w:tcW w:w="3397" w:type="dxa"/>
            <w:shd w:val="clear" w:color="auto" w:fill="auto"/>
            <w:hideMark/>
          </w:tcPr>
          <w:p w14:paraId="014726B1" w14:textId="77777777" w:rsidR="00D1748B" w:rsidRPr="00900280" w:rsidRDefault="00D1748B" w:rsidP="002725FD">
            <w:pPr>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CPAM symptom development </w:t>
            </w:r>
            <w:r w:rsidRPr="00900280">
              <w:rPr>
                <w:rFonts w:ascii="Arial" w:eastAsia="Times New Roman" w:hAnsi="Arial" w:cs="Arial"/>
                <w:noProof/>
                <w:sz w:val="20"/>
                <w:szCs w:val="20"/>
                <w:lang w:val="en-CA"/>
              </w:rPr>
              <w:fldChar w:fldCharType="begin" w:fldLock="1"/>
            </w:r>
            <w:r w:rsidRPr="00900280">
              <w:rPr>
                <w:rFonts w:ascii="Arial" w:eastAsia="Times New Roman" w:hAnsi="Arial" w:cs="Arial"/>
                <w:noProof/>
                <w:sz w:val="20"/>
                <w:szCs w:val="20"/>
                <w:lang w:val="en-CA"/>
              </w:rPr>
              <w:instrText>ADDIN CSL_CITATION {"citationItems":[{"id":"ITEM-1","itemData":{"DOI":"10.1007/s00383-018-4264-y","ISSN":"1437-9813","PMID":"29632964","abstract":"PURPOSE For the approximately three quarters of patients with a prenatal diagnosis of congenital pulmonary airway malformation (CPAM) who are asymptomatic at birth, the chance of eventually developing symptoms is unknown. We sought to explore the natural history of asymptomatic CPAM. METHODS We searched EMBASE, MEDLINE, and the first 50 results from Google Scholar. Studies describing the natural history of prenatally diagnosed, initially asymptomatic CPAM were included. For asymptomatic patients initially managed non-surgically, we tabulated the proportion who went on to develop symptoms as well as the median age at symptom development. RESULTS We included data from 19 retrospective studies on 353 patients. Of the 128 patients managed expectantly, 31 (24.2%) developed symptoms requiring surgical intervention. The median age at symptom development was 7.5 months (range 15 days-5 years). CONCLUSION The risk for developing respiratory symptoms exists with originally asymptomatic CPAM patients, but the exact risk is difficult to predict. Parents may be given the value of approximately 1 in 4 as an estimate of the proportion of asymptomatic CPAM patients who go on to develop symptoms, which will help them make an informed decision regarding the option of elective surgery.","author":[{"dropping-particle":"","family":"Kantor","given":"Navot","non-dropping-particle":"","parse-names":false,"suffix":""},{"dropping-particle":"","family":"Wayne","given":"Carolyn","non-dropping-particle":"","parse-names":false,"suffix":""},{"dropping-particle":"","family":"Nasr","given":"Ahmed","non-dropping-particle":"","parse-names":false,"suffix":""}],"container-title":"Pediatric surgery international","id":"ITEM-1","issue":"6","issued":{"date-parts":[["2018","6","9"]]},"page":"613-620","title":"Symptom development in originally asymptomatic CPAM diagnosed prenatally: a systematic review.","type":"article-journal","volume":"34"},"uris":["http://www.mendeley.com/documents/?uuid=488d4566-259b-3acb-bb6f-9286c7f81e7f"]}],"mendeley":{"formattedCitation":"(13)","plainTextFormattedCitation":"(13)","previouslyFormattedCitation":"(13)"},"properties":{"noteIndex":0},"schema":"https://github.com/citation-style-language/schema/raw/master/csl-citation.json"}</w:instrText>
            </w:r>
            <w:r w:rsidRPr="00900280">
              <w:rPr>
                <w:rFonts w:ascii="Arial" w:eastAsia="Times New Roman" w:hAnsi="Arial" w:cs="Arial"/>
                <w:noProof/>
                <w:sz w:val="20"/>
                <w:szCs w:val="20"/>
                <w:lang w:val="en-CA"/>
              </w:rPr>
              <w:fldChar w:fldCharType="separate"/>
            </w:r>
            <w:r w:rsidRPr="00900280">
              <w:rPr>
                <w:rFonts w:ascii="Arial" w:eastAsia="Times New Roman" w:hAnsi="Arial" w:cs="Arial"/>
                <w:noProof/>
                <w:sz w:val="20"/>
                <w:szCs w:val="20"/>
                <w:lang w:val="en-CA"/>
              </w:rPr>
              <w:t>(13)</w:t>
            </w:r>
            <w:r w:rsidRPr="00900280">
              <w:rPr>
                <w:rFonts w:ascii="Arial" w:eastAsia="Times New Roman" w:hAnsi="Arial" w:cs="Arial"/>
                <w:noProof/>
                <w:sz w:val="20"/>
                <w:szCs w:val="20"/>
                <w:lang w:val="en-CA"/>
              </w:rPr>
              <w:fldChar w:fldCharType="end"/>
            </w:r>
          </w:p>
        </w:tc>
        <w:tc>
          <w:tcPr>
            <w:tcW w:w="1984" w:type="dxa"/>
            <w:shd w:val="clear" w:color="auto" w:fill="auto"/>
            <w:noWrap/>
            <w:hideMark/>
          </w:tcPr>
          <w:p w14:paraId="21A40EF9" w14:textId="77777777" w:rsidR="00D1748B" w:rsidRPr="00900280" w:rsidRDefault="00D1748B" w:rsidP="002725FD">
            <w:pPr>
              <w:tabs>
                <w:tab w:val="decimal" w:pos="1027"/>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28</w:t>
            </w:r>
          </w:p>
        </w:tc>
        <w:tc>
          <w:tcPr>
            <w:tcW w:w="1985" w:type="dxa"/>
            <w:shd w:val="clear" w:color="auto" w:fill="auto"/>
            <w:noWrap/>
            <w:hideMark/>
          </w:tcPr>
          <w:p w14:paraId="2DDF228D" w14:textId="77777777" w:rsidR="00D1748B" w:rsidRPr="00900280" w:rsidRDefault="00D1748B" w:rsidP="002725FD">
            <w:pPr>
              <w:tabs>
                <w:tab w:val="decimal" w:pos="1166"/>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255</w:t>
            </w:r>
          </w:p>
        </w:tc>
      </w:tr>
      <w:tr w:rsidR="00D1748B" w:rsidRPr="00900280" w14:paraId="43A277B4" w14:textId="77777777" w:rsidTr="003777DE">
        <w:trPr>
          <w:trHeight w:val="397"/>
        </w:trPr>
        <w:tc>
          <w:tcPr>
            <w:tcW w:w="3397" w:type="dxa"/>
            <w:shd w:val="clear" w:color="auto" w:fill="auto"/>
            <w:hideMark/>
          </w:tcPr>
          <w:p w14:paraId="1FD12A1A" w14:textId="77777777" w:rsidR="00D1748B" w:rsidRPr="00900280" w:rsidRDefault="00D1748B" w:rsidP="002725FD">
            <w:pPr>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Ambulatory Adenotonsillectomy </w:t>
            </w:r>
          </w:p>
        </w:tc>
        <w:tc>
          <w:tcPr>
            <w:tcW w:w="1984" w:type="dxa"/>
            <w:shd w:val="clear" w:color="auto" w:fill="auto"/>
            <w:noWrap/>
            <w:hideMark/>
          </w:tcPr>
          <w:p w14:paraId="3648FAC4" w14:textId="77777777" w:rsidR="00D1748B" w:rsidRPr="00900280" w:rsidRDefault="00D1748B" w:rsidP="002725FD">
            <w:pPr>
              <w:tabs>
                <w:tab w:val="decimal" w:pos="1027"/>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65</w:t>
            </w:r>
          </w:p>
        </w:tc>
        <w:tc>
          <w:tcPr>
            <w:tcW w:w="1985" w:type="dxa"/>
            <w:shd w:val="clear" w:color="auto" w:fill="auto"/>
            <w:noWrap/>
            <w:hideMark/>
          </w:tcPr>
          <w:p w14:paraId="28C90A72" w14:textId="77777777" w:rsidR="00D1748B" w:rsidRPr="00900280" w:rsidRDefault="00D1748B" w:rsidP="002725FD">
            <w:pPr>
              <w:tabs>
                <w:tab w:val="decimal" w:pos="1166"/>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84</w:t>
            </w:r>
          </w:p>
        </w:tc>
      </w:tr>
      <w:tr w:rsidR="00D1748B" w:rsidRPr="00900280" w14:paraId="4CDF2AF0" w14:textId="77777777" w:rsidTr="003777DE">
        <w:trPr>
          <w:trHeight w:val="397"/>
        </w:trPr>
        <w:tc>
          <w:tcPr>
            <w:tcW w:w="3397" w:type="dxa"/>
            <w:shd w:val="clear" w:color="auto" w:fill="auto"/>
            <w:hideMark/>
          </w:tcPr>
          <w:p w14:paraId="4AD70863" w14:textId="77777777" w:rsidR="00D1748B" w:rsidRPr="00900280" w:rsidRDefault="00D1748B" w:rsidP="002725FD">
            <w:pPr>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Concussion Education </w:t>
            </w:r>
          </w:p>
        </w:tc>
        <w:tc>
          <w:tcPr>
            <w:tcW w:w="1984" w:type="dxa"/>
            <w:shd w:val="clear" w:color="auto" w:fill="auto"/>
            <w:noWrap/>
            <w:hideMark/>
          </w:tcPr>
          <w:p w14:paraId="36698932" w14:textId="77777777" w:rsidR="00D1748B" w:rsidRPr="00900280" w:rsidRDefault="00D1748B" w:rsidP="002725FD">
            <w:pPr>
              <w:tabs>
                <w:tab w:val="decimal" w:pos="1027"/>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202</w:t>
            </w:r>
          </w:p>
        </w:tc>
        <w:tc>
          <w:tcPr>
            <w:tcW w:w="1985" w:type="dxa"/>
            <w:shd w:val="clear" w:color="auto" w:fill="auto"/>
            <w:noWrap/>
            <w:hideMark/>
          </w:tcPr>
          <w:p w14:paraId="09C104BB" w14:textId="77777777" w:rsidR="00D1748B" w:rsidRPr="00900280" w:rsidRDefault="00D1748B" w:rsidP="002725FD">
            <w:pPr>
              <w:tabs>
                <w:tab w:val="decimal" w:pos="1166"/>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255</w:t>
            </w:r>
          </w:p>
        </w:tc>
      </w:tr>
      <w:tr w:rsidR="00D1748B" w:rsidRPr="00900280" w14:paraId="0CB1DD3F" w14:textId="77777777" w:rsidTr="003777DE">
        <w:trPr>
          <w:trHeight w:val="397"/>
        </w:trPr>
        <w:tc>
          <w:tcPr>
            <w:tcW w:w="3397" w:type="dxa"/>
            <w:shd w:val="clear" w:color="auto" w:fill="auto"/>
            <w:hideMark/>
          </w:tcPr>
          <w:p w14:paraId="287F0B16" w14:textId="77777777" w:rsidR="00D1748B" w:rsidRPr="00900280" w:rsidRDefault="00D1748B" w:rsidP="002725FD">
            <w:pPr>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Pediatric Cardiology </w:t>
            </w:r>
            <w:r w:rsidRPr="00900280">
              <w:rPr>
                <w:rFonts w:ascii="Arial" w:eastAsia="Times New Roman" w:hAnsi="Arial" w:cs="Arial"/>
                <w:sz w:val="20"/>
                <w:szCs w:val="20"/>
                <w:lang w:val="en-CA"/>
              </w:rPr>
              <w:fldChar w:fldCharType="begin" w:fldLock="1"/>
            </w:r>
            <w:r w:rsidRPr="00900280">
              <w:rPr>
                <w:rFonts w:ascii="Arial" w:eastAsia="Times New Roman" w:hAnsi="Arial" w:cs="Arial"/>
                <w:sz w:val="20"/>
                <w:szCs w:val="20"/>
                <w:lang w:val="en-CA"/>
              </w:rPr>
              <w:instrText>ADDIN CSL_CITATION {"citationItems":[{"id":"ITEM-1","itemData":{"author":[{"dropping-particle":"","family":"Ashkanase","given":"J","non-dropping-particle":"","parse-names":false,"suffix":""},{"dropping-particle":"","family":"Nama","given":"Nassr","non-dropping-particle":"","parse-names":false,"suffix":""},{"dropping-particle":"","family":"Sandarage","given":"Ryan","non-dropping-particle":"","parse-names":false,"suffix":""},{"dropping-particle":"","family":"Penslar","given":"J","non-dropping-particle":"","parse-names":false,"suffix":""},{"dropping-particle":"","family":"Gupta","given":"R","non-dropping-particle":"","parse-names":false,"suffix":""},{"dropping-particle":"","family":"Ly","given":"Sophia","non-dropping-particle":"","parse-names":false,"suffix":""}],"container-title":"Canadian Journal of Cardiology","id":"ITEM-1","issued":{"date-parts":[["2020"]]},"title":"All Randomized Controlled Trials in Pediatric Cardiology: A Crowdsourced Scoping Review [in press]","type":"article-journal"},"uris":["http://www.mendeley.com/documents/?uuid=1deb40e0-850c-4aca-a639-d911cfff53de"]}],"mendeley":{"formattedCitation":"(11)","plainTextFormattedCitation":"(11)","previouslyFormattedCitation":"(11)"},"properties":{"noteIndex":0},"schema":"https://github.com/citation-style-language/schema/raw/master/csl-citation.json"}</w:instrText>
            </w:r>
            <w:r w:rsidRPr="00900280">
              <w:rPr>
                <w:rFonts w:ascii="Arial" w:eastAsia="Times New Roman" w:hAnsi="Arial" w:cs="Arial"/>
                <w:sz w:val="20"/>
                <w:szCs w:val="20"/>
                <w:lang w:val="en-CA"/>
              </w:rPr>
              <w:fldChar w:fldCharType="separate"/>
            </w:r>
            <w:r w:rsidRPr="00900280">
              <w:rPr>
                <w:rFonts w:ascii="Arial" w:eastAsia="Times New Roman" w:hAnsi="Arial" w:cs="Arial"/>
                <w:noProof/>
                <w:sz w:val="20"/>
                <w:szCs w:val="20"/>
                <w:lang w:val="en-CA"/>
              </w:rPr>
              <w:t>(11)</w:t>
            </w:r>
            <w:r w:rsidRPr="00900280">
              <w:rPr>
                <w:rFonts w:ascii="Arial" w:eastAsia="Times New Roman" w:hAnsi="Arial" w:cs="Arial"/>
                <w:sz w:val="20"/>
                <w:szCs w:val="20"/>
                <w:lang w:val="en-CA"/>
              </w:rPr>
              <w:fldChar w:fldCharType="end"/>
            </w:r>
          </w:p>
        </w:tc>
        <w:tc>
          <w:tcPr>
            <w:tcW w:w="1984" w:type="dxa"/>
            <w:shd w:val="clear" w:color="auto" w:fill="auto"/>
            <w:noWrap/>
            <w:hideMark/>
          </w:tcPr>
          <w:p w14:paraId="2CD912ED" w14:textId="77777777" w:rsidR="00D1748B" w:rsidRPr="00900280" w:rsidRDefault="00D1748B" w:rsidP="002725FD">
            <w:pPr>
              <w:tabs>
                <w:tab w:val="decimal" w:pos="1027"/>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14</w:t>
            </w:r>
          </w:p>
        </w:tc>
        <w:tc>
          <w:tcPr>
            <w:tcW w:w="1985" w:type="dxa"/>
            <w:shd w:val="clear" w:color="auto" w:fill="auto"/>
            <w:noWrap/>
            <w:hideMark/>
          </w:tcPr>
          <w:p w14:paraId="1EB7CFF6" w14:textId="77777777" w:rsidR="00D1748B" w:rsidRPr="00900280" w:rsidRDefault="00D1748B" w:rsidP="002725FD">
            <w:pPr>
              <w:tabs>
                <w:tab w:val="decimal" w:pos="1166"/>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142</w:t>
            </w:r>
          </w:p>
        </w:tc>
      </w:tr>
      <w:tr w:rsidR="00D1748B" w:rsidRPr="009F38B4" w14:paraId="713E4C21" w14:textId="77777777" w:rsidTr="003777DE">
        <w:trPr>
          <w:trHeight w:val="397"/>
        </w:trPr>
        <w:tc>
          <w:tcPr>
            <w:tcW w:w="3397" w:type="dxa"/>
            <w:shd w:val="clear" w:color="auto" w:fill="auto"/>
            <w:hideMark/>
          </w:tcPr>
          <w:p w14:paraId="1E817B4D" w14:textId="77777777" w:rsidR="00D1748B" w:rsidRPr="00900280" w:rsidRDefault="00D1748B" w:rsidP="002725FD">
            <w:pPr>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 xml:space="preserve">PAP Adherence </w:t>
            </w:r>
            <w:r w:rsidRPr="00900280">
              <w:rPr>
                <w:rFonts w:ascii="Arial" w:eastAsia="Times New Roman" w:hAnsi="Arial" w:cs="Arial"/>
                <w:sz w:val="20"/>
                <w:szCs w:val="20"/>
                <w:lang w:val="en-CA"/>
              </w:rPr>
              <w:fldChar w:fldCharType="begin" w:fldLock="1"/>
            </w:r>
            <w:r w:rsidRPr="00900280">
              <w:rPr>
                <w:rFonts w:ascii="Arial" w:eastAsia="Times New Roman" w:hAnsi="Arial" w:cs="Arial"/>
                <w:sz w:val="20"/>
                <w:szCs w:val="20"/>
                <w:lang w:val="en-CA"/>
              </w:rPr>
              <w:instrText>ADDIN CSL_CITATION {"citationItems":[{"id":"ITEM-1","itemData":{"DOI":"10.1016/j.sleep.2019.12.015","ISSN":"1878-5506","PMID":"32045851","abstract":"BACKGROUND While positive airway pressure (PAP) is effective for treating sleep-disordered breathing (SDB) in children, adherence is poor. Studies evaluating predictors of PAP adherence have inconsistent findings, and no rigorous reviews have been conducted. This systematic review aims to summarize the literature on predictors of PAP therapy adherence in children. METHODS Studies evaluating baseline predictors of PAP therapy adherence in children (≤20 years) with SDB were included. We searched MEDLINE, Embase, CENTRAL, CINAHL, Clinicaltrials.gov, and the last four years of conference abstracts. Results were described narratively, with random-effects meta-analyses performed where feasible. Risk of bias and confidence in the evidence were assessed. RESULTS We identified 50 factors evaluated across 28 studies (21 full text articles, seven abstracts). The highest rates of PAP therapy adherence were most consistently found with female sex, younger age, Caucasian race, higher maternal education, greater baseline apnea-hypopnea index (AHI), and presence of developmental delay. Pooled estimates included odds ratios of 1.48 (95%CI: 0.75-2.93) favoring female sex, 1.26 (95%CI: 0.68-2.36) favoring Caucasian race, and a mean difference in AHI of 4.32 (95%CI: -0.61-9.26) events/hour between adherent and non-adherent groups. There was low quality evidence to suggest that psychosocial factors like health cognitions and family environment may predict adherence. CONCLUSION In this novel systematic review, we identified several factors associated with increased odds of PAP therapy adherence in children. These findings may help guide clinicians to identify and support children less likely to adhere to PAP therapy and should be considered when developing interventions to improve adherence.","author":[{"dropping-particle":"","family":"Blinder","given":"Henrietta","non-dropping-particle":"","parse-names":false,"suffix":""},{"dropping-particle":"","family":"Momoli","given":"Franco","non-dropping-particle":"","parse-names":false,"suffix":""},{"dropping-particle":"","family":"Bokhaut","given":"Julia","non-dropping-particle":"","parse-names":false,"suffix":""},{"dropping-particle":"","family":"Bacal","given":"Vanessa","non-dropping-particle":"","parse-names":false,"suffix":""},{"dropping-particle":"","family":"Goldberg","given":"Reuben","non-dropping-particle":"","parse-names":false,"suffix":""},{"dropping-particle":"","family":"Radhakrishnan","given":"Dhenuka","non-dropping-particle":"","parse-names":false,"suffix":""},{"dropping-particle":"","family":"Katz","given":"Sherri L","non-dropping-particle":"","parse-names":false,"suffix":""}],"container-title":"Sleep medicine","id":"ITEM-1","issued":{"date-parts":[["2020","1","11"]]},"page":"19-33","publisher":"Elsevier B.V.","title":"Predictors of adherence to positive airway pressure therapy in children: a systematic review and meta-analysis.","type":"article-journal","volume":"69"},"uris":["http://www.mendeley.com/documents/?uuid=f77523f5-e0c4-31ab-ae82-b0457334ddbd"]}],"mendeley":{"formattedCitation":"(14)","plainTextFormattedCitation":"(14)","previouslyFormattedCitation":"(14)"},"properties":{"noteIndex":0},"schema":"https://github.com/citation-style-language/schema/raw/master/csl-citation.json"}</w:instrText>
            </w:r>
            <w:r w:rsidRPr="00900280">
              <w:rPr>
                <w:rFonts w:ascii="Arial" w:eastAsia="Times New Roman" w:hAnsi="Arial" w:cs="Arial"/>
                <w:sz w:val="20"/>
                <w:szCs w:val="20"/>
                <w:lang w:val="en-CA"/>
              </w:rPr>
              <w:fldChar w:fldCharType="separate"/>
            </w:r>
            <w:r w:rsidRPr="00900280">
              <w:rPr>
                <w:rFonts w:ascii="Arial" w:eastAsia="Times New Roman" w:hAnsi="Arial" w:cs="Arial"/>
                <w:noProof/>
                <w:sz w:val="20"/>
                <w:szCs w:val="20"/>
                <w:lang w:val="en-CA"/>
              </w:rPr>
              <w:t>(14)</w:t>
            </w:r>
            <w:r w:rsidRPr="00900280">
              <w:rPr>
                <w:rFonts w:ascii="Arial" w:eastAsia="Times New Roman" w:hAnsi="Arial" w:cs="Arial"/>
                <w:sz w:val="20"/>
                <w:szCs w:val="20"/>
                <w:lang w:val="en-CA"/>
              </w:rPr>
              <w:fldChar w:fldCharType="end"/>
            </w:r>
          </w:p>
        </w:tc>
        <w:tc>
          <w:tcPr>
            <w:tcW w:w="1984" w:type="dxa"/>
            <w:shd w:val="clear" w:color="auto" w:fill="auto"/>
            <w:noWrap/>
            <w:hideMark/>
          </w:tcPr>
          <w:p w14:paraId="68640266" w14:textId="77777777" w:rsidR="00D1748B" w:rsidRPr="00900280" w:rsidRDefault="00D1748B" w:rsidP="002725FD">
            <w:pPr>
              <w:tabs>
                <w:tab w:val="decimal" w:pos="1027"/>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33</w:t>
            </w:r>
          </w:p>
        </w:tc>
        <w:tc>
          <w:tcPr>
            <w:tcW w:w="1985" w:type="dxa"/>
            <w:shd w:val="clear" w:color="auto" w:fill="auto"/>
            <w:noWrap/>
            <w:hideMark/>
          </w:tcPr>
          <w:p w14:paraId="5FBD038E" w14:textId="77777777" w:rsidR="00D1748B" w:rsidRPr="009F38B4" w:rsidRDefault="00D1748B" w:rsidP="002725FD">
            <w:pPr>
              <w:tabs>
                <w:tab w:val="decimal" w:pos="1166"/>
              </w:tabs>
              <w:spacing w:before="60"/>
              <w:textAlignment w:val="baseline"/>
              <w:rPr>
                <w:rFonts w:ascii="Arial" w:eastAsia="Times New Roman" w:hAnsi="Arial" w:cs="Arial"/>
                <w:sz w:val="20"/>
                <w:szCs w:val="20"/>
                <w:lang w:val="en-CA"/>
              </w:rPr>
            </w:pPr>
            <w:r w:rsidRPr="00900280">
              <w:rPr>
                <w:rFonts w:ascii="Arial" w:eastAsia="Times New Roman" w:hAnsi="Arial" w:cs="Arial"/>
                <w:sz w:val="20"/>
                <w:szCs w:val="20"/>
                <w:lang w:val="en-CA"/>
              </w:rPr>
              <w:t>35</w:t>
            </w:r>
          </w:p>
        </w:tc>
      </w:tr>
    </w:tbl>
    <w:p w14:paraId="29B9C301" w14:textId="77777777" w:rsidR="00564940" w:rsidRDefault="00564940" w:rsidP="00A66E87"/>
    <w:sectPr w:rsidR="00564940" w:rsidSect="00900280">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9D145" w14:textId="77777777" w:rsidR="00000000" w:rsidRDefault="00A66E87">
      <w:r>
        <w:separator/>
      </w:r>
    </w:p>
  </w:endnote>
  <w:endnote w:type="continuationSeparator" w:id="0">
    <w:p w14:paraId="7B04D74A" w14:textId="77777777" w:rsidR="00000000" w:rsidRDefault="00A6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2780533"/>
      <w:docPartObj>
        <w:docPartGallery w:val="Page Numbers (Bottom of Page)"/>
        <w:docPartUnique/>
      </w:docPartObj>
    </w:sdtPr>
    <w:sdtEndPr>
      <w:rPr>
        <w:rStyle w:val="PageNumber"/>
      </w:rPr>
    </w:sdtEndPr>
    <w:sdtContent>
      <w:p w14:paraId="7260F2E3" w14:textId="77777777" w:rsidR="00F87067" w:rsidRDefault="00D1748B" w:rsidP="00C07E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52D8F1" w14:textId="77777777" w:rsidR="00F87067" w:rsidRDefault="00A66E87" w:rsidP="00A50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0C07" w14:textId="77777777" w:rsidR="00F87067" w:rsidRDefault="00A66E87" w:rsidP="00A50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DA359" w14:textId="77777777" w:rsidR="00000000" w:rsidRDefault="00A66E87">
      <w:r>
        <w:separator/>
      </w:r>
    </w:p>
  </w:footnote>
  <w:footnote w:type="continuationSeparator" w:id="0">
    <w:p w14:paraId="1DF8D420" w14:textId="77777777" w:rsidR="00000000" w:rsidRDefault="00A66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8B"/>
    <w:rsid w:val="002725FD"/>
    <w:rsid w:val="0035142D"/>
    <w:rsid w:val="004117F4"/>
    <w:rsid w:val="00564940"/>
    <w:rsid w:val="005B2B55"/>
    <w:rsid w:val="007B3046"/>
    <w:rsid w:val="00900280"/>
    <w:rsid w:val="00A66E87"/>
    <w:rsid w:val="00C313D7"/>
    <w:rsid w:val="00D1748B"/>
    <w:rsid w:val="00D7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3762E4"/>
  <w14:defaultImageDpi w14:val="32767"/>
  <w15:chartTrackingRefBased/>
  <w15:docId w15:val="{6F898DE7-AAF7-BF48-AA60-BDF0F4DB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7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48B"/>
    <w:pPr>
      <w:tabs>
        <w:tab w:val="center" w:pos="4680"/>
        <w:tab w:val="right" w:pos="9360"/>
      </w:tabs>
    </w:pPr>
  </w:style>
  <w:style w:type="character" w:customStyle="1" w:styleId="FooterChar">
    <w:name w:val="Footer Char"/>
    <w:basedOn w:val="DefaultParagraphFont"/>
    <w:link w:val="Footer"/>
    <w:uiPriority w:val="99"/>
    <w:rsid w:val="00D1748B"/>
  </w:style>
  <w:style w:type="character" w:styleId="PageNumber">
    <w:name w:val="page number"/>
    <w:basedOn w:val="DefaultParagraphFont"/>
    <w:uiPriority w:val="99"/>
    <w:semiHidden/>
    <w:unhideWhenUsed/>
    <w:rsid w:val="00D1748B"/>
  </w:style>
  <w:style w:type="character" w:styleId="LineNumber">
    <w:name w:val="line number"/>
    <w:basedOn w:val="DefaultParagraphFont"/>
    <w:uiPriority w:val="99"/>
    <w:semiHidden/>
    <w:unhideWhenUsed/>
    <w:rsid w:val="00D1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5317</Words>
  <Characters>30309</Characters>
  <Application>Microsoft Office Word</Application>
  <DocSecurity>0</DocSecurity>
  <Lines>252</Lines>
  <Paragraphs>71</Paragraphs>
  <ScaleCrop>false</ScaleCrop>
  <Company/>
  <LinksUpToDate>false</LinksUpToDate>
  <CharactersWithSpaces>35555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Sampson</dc:creator>
  <cp:keywords/>
  <dc:description/>
  <cp:lastModifiedBy>Margaret Sampson</cp:lastModifiedBy>
  <cp:revision>8</cp:revision>
  <dcterms:created xsi:type="dcterms:W3CDTF">2020-07-17T00:50:00Z</dcterms:created>
  <dcterms:modified xsi:type="dcterms:W3CDTF">2020-09-29T17:48:00Z</dcterms:modified>
</cp:coreProperties>
</file>