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4C" w:rsidRPr="00C82990" w:rsidRDefault="0069604C" w:rsidP="006960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990">
        <w:rPr>
          <w:rFonts w:ascii="Times New Roman" w:hAnsi="Times New Roman" w:cs="Times New Roman"/>
          <w:b/>
          <w:sz w:val="20"/>
          <w:szCs w:val="20"/>
        </w:rPr>
        <w:t>Supplementary Table</w:t>
      </w:r>
      <w:r>
        <w:rPr>
          <w:rFonts w:ascii="Times New Roman" w:hAnsi="Times New Roman" w:cs="Times New Roman"/>
          <w:b/>
          <w:sz w:val="20"/>
          <w:szCs w:val="20"/>
        </w:rPr>
        <w:t xml:space="preserve"> 1. </w:t>
      </w:r>
      <w:r w:rsidRPr="00C82990">
        <w:rPr>
          <w:rFonts w:ascii="Times New Roman" w:hAnsi="Times New Roman" w:cs="Times New Roman"/>
          <w:b/>
          <w:sz w:val="20"/>
          <w:szCs w:val="20"/>
        </w:rPr>
        <w:t xml:space="preserve"> Differences between two measures in terms of net monetary benefit (N=11)</w:t>
      </w:r>
    </w:p>
    <w:tbl>
      <w:tblPr>
        <w:tblW w:w="4126" w:type="pct"/>
        <w:jc w:val="center"/>
        <w:tblLayout w:type="fixed"/>
        <w:tblLook w:val="04A0" w:firstRow="1" w:lastRow="0" w:firstColumn="1" w:lastColumn="0" w:noHBand="0" w:noVBand="1"/>
      </w:tblPr>
      <w:tblGrid>
        <w:gridCol w:w="9"/>
        <w:gridCol w:w="420"/>
        <w:gridCol w:w="819"/>
        <w:gridCol w:w="1866"/>
        <w:gridCol w:w="830"/>
        <w:gridCol w:w="26"/>
        <w:gridCol w:w="816"/>
        <w:gridCol w:w="70"/>
        <w:gridCol w:w="25"/>
        <w:gridCol w:w="789"/>
        <w:gridCol w:w="15"/>
        <w:gridCol w:w="68"/>
        <w:gridCol w:w="1154"/>
        <w:gridCol w:w="817"/>
      </w:tblGrid>
      <w:tr w:rsidR="0069604C" w:rsidRPr="00C82990" w:rsidTr="00E6091A">
        <w:trPr>
          <w:gridBefore w:val="1"/>
          <w:gridAfter w:val="1"/>
          <w:wBefore w:w="6" w:type="pct"/>
          <w:wAfter w:w="531" w:type="pct"/>
          <w:trHeight w:val="393"/>
          <w:jc w:val="center"/>
        </w:trPr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Article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NMB </w:t>
            </w:r>
          </w:p>
          <w:p w:rsidR="0069604C" w:rsidRPr="00C82990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Absolute difference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Relative  difference</w:t>
            </w:r>
          </w:p>
        </w:tc>
      </w:tr>
      <w:tr w:rsidR="0069604C" w:rsidRPr="00C82990" w:rsidTr="00E6091A">
        <w:trPr>
          <w:gridBefore w:val="1"/>
          <w:gridAfter w:val="1"/>
          <w:wBefore w:w="6" w:type="pct"/>
          <w:wAfter w:w="531" w:type="pct"/>
          <w:trHeight w:val="393"/>
          <w:jc w:val="center"/>
        </w:trPr>
        <w:tc>
          <w:tcPr>
            <w:tcW w:w="80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04C" w:rsidRPr="00C82990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QALY-based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04C" w:rsidRPr="00C82990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DALY-based</w:t>
            </w:r>
          </w:p>
        </w:tc>
        <w:tc>
          <w:tcPr>
            <w:tcW w:w="626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604C" w:rsidRPr="00C82990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604C" w:rsidRPr="00C82990" w:rsidTr="00E6091A">
        <w:trPr>
          <w:gridAfter w:val="1"/>
          <w:wAfter w:w="530" w:type="pct"/>
          <w:trHeight w:val="227"/>
          <w:jc w:val="center"/>
        </w:trPr>
        <w:tc>
          <w:tcPr>
            <w:tcW w:w="27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Ryan et al. (2008)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$2,003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$3,665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$1,663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8" w:type="pct"/>
            <w:gridSpan w:val="2"/>
            <w:vMerge w:val="restart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Mangen et al. (2010)                     Rotarix®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gridSpan w:val="4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vMerge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3" w:type="pct"/>
            <w:gridSpan w:val="9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-------------------------------NA----------------------------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RotaTeq®</w:t>
            </w:r>
          </w:p>
        </w:tc>
        <w:tc>
          <w:tcPr>
            <w:tcW w:w="2453" w:type="pct"/>
            <w:gridSpan w:val="9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-------------------------------NA----------------------------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Mihalopoulos et al. (2015)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pct"/>
            <w:gridSpan w:val="4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shd w:val="clear" w:color="auto" w:fill="auto"/>
            <w:noWrap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Adults </w:t>
            </w:r>
          </w:p>
        </w:tc>
        <w:tc>
          <w:tcPr>
            <w:tcW w:w="554" w:type="pct"/>
            <w:gridSpan w:val="2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$117M</w:t>
            </w:r>
          </w:p>
        </w:tc>
        <w:tc>
          <w:tcPr>
            <w:tcW w:w="588" w:type="pct"/>
            <w:gridSpan w:val="3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$151M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$34M</w:t>
            </w:r>
          </w:p>
        </w:tc>
        <w:tc>
          <w:tcPr>
            <w:tcW w:w="800" w:type="pct"/>
            <w:gridSpan w:val="3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9%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children</w:t>
            </w:r>
          </w:p>
        </w:tc>
        <w:tc>
          <w:tcPr>
            <w:tcW w:w="554" w:type="pct"/>
            <w:gridSpan w:val="2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3M</w:t>
            </w:r>
          </w:p>
        </w:tc>
        <w:tc>
          <w:tcPr>
            <w:tcW w:w="588" w:type="pct"/>
            <w:gridSpan w:val="3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8M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5M</w:t>
            </w:r>
          </w:p>
        </w:tc>
        <w:tc>
          <w:tcPr>
            <w:tcW w:w="800" w:type="pct"/>
            <w:gridSpan w:val="3"/>
            <w:shd w:val="clear" w:color="auto" w:fill="auto"/>
            <w:noWrap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5%</w:t>
            </w:r>
          </w:p>
        </w:tc>
      </w:tr>
      <w:tr w:rsidR="0069604C" w:rsidRPr="00C82990" w:rsidTr="00E6091A">
        <w:trPr>
          <w:gridAfter w:val="1"/>
          <w:wAfter w:w="530" w:type="pct"/>
          <w:trHeight w:val="218"/>
          <w:jc w:val="center"/>
        </w:trPr>
        <w:tc>
          <w:tcPr>
            <w:tcW w:w="278" w:type="pct"/>
            <w:gridSpan w:val="2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et al. (2015)</w:t>
            </w:r>
          </w:p>
        </w:tc>
        <w:tc>
          <w:tcPr>
            <w:tcW w:w="2453" w:type="pct"/>
            <w:gridSpan w:val="9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----------------------------cost saving-----------------------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172"/>
          <w:jc w:val="center"/>
        </w:trPr>
        <w:tc>
          <w:tcPr>
            <w:tcW w:w="27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Diel et al., (2015)</w:t>
            </w:r>
          </w:p>
        </w:tc>
        <w:tc>
          <w:tcPr>
            <w:tcW w:w="2453" w:type="pct"/>
            <w:gridSpan w:val="9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----------------------------cost saving-----------------------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300"/>
          <w:jc w:val="center"/>
        </w:trPr>
        <w:tc>
          <w:tcPr>
            <w:tcW w:w="27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Wolfson et al., (2015)</w:t>
            </w:r>
          </w:p>
        </w:tc>
        <w:tc>
          <w:tcPr>
            <w:tcW w:w="2453" w:type="pct"/>
            <w:gridSpan w:val="9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----------------------------cost saving-----------------------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282"/>
          <w:jc w:val="center"/>
        </w:trPr>
        <w:tc>
          <w:tcPr>
            <w:tcW w:w="278" w:type="pct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Nguyen et al., (2015)</w:t>
            </w:r>
          </w:p>
        </w:tc>
        <w:tc>
          <w:tcPr>
            <w:tcW w:w="2453" w:type="pct"/>
            <w:gridSpan w:val="9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left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Papua New Guinea- South Fly</w:t>
            </w:r>
          </w:p>
        </w:tc>
        <w:tc>
          <w:tcPr>
            <w:tcW w:w="2453" w:type="pct"/>
            <w:gridSpan w:val="9"/>
            <w:shd w:val="clear" w:color="auto" w:fill="auto"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-------------------------------NA----------------------------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Australia-Torres Straits Islands</w:t>
            </w:r>
          </w:p>
        </w:tc>
        <w:tc>
          <w:tcPr>
            <w:tcW w:w="2453" w:type="pct"/>
            <w:gridSpan w:val="9"/>
            <w:shd w:val="clear" w:color="auto" w:fill="auto"/>
            <w:vAlign w:val="bottom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-------------------------------NA----------------------------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Nayagam et al., (2016)</w:t>
            </w:r>
          </w:p>
        </w:tc>
        <w:tc>
          <w:tcPr>
            <w:tcW w:w="537" w:type="pct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-$5.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0" w:type="pct"/>
            <w:gridSpan w:val="3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-$5.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7" w:type="pct"/>
            <w:gridSpan w:val="3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$0.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91" w:type="pct"/>
            <w:gridSpan w:val="2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69604C" w:rsidRPr="00C82990" w:rsidTr="00E6091A">
        <w:trPr>
          <w:gridAfter w:val="1"/>
          <w:wAfter w:w="530" w:type="pct"/>
          <w:trHeight w:val="209"/>
          <w:jc w:val="center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Aggarwal et al., (2017)</w:t>
            </w:r>
          </w:p>
        </w:tc>
        <w:tc>
          <w:tcPr>
            <w:tcW w:w="2453" w:type="pct"/>
            <w:gridSpan w:val="9"/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----------------------------cost saving-----------------------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Löfgren et al., (2017) </w:t>
            </w:r>
          </w:p>
        </w:tc>
        <w:tc>
          <w:tcPr>
            <w:tcW w:w="2453" w:type="pct"/>
            <w:gridSpan w:val="9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low-cost mesh</w:t>
            </w:r>
          </w:p>
        </w:tc>
        <w:tc>
          <w:tcPr>
            <w:tcW w:w="537" w:type="pct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$4,277</w:t>
            </w:r>
          </w:p>
        </w:tc>
        <w:tc>
          <w:tcPr>
            <w:tcW w:w="590" w:type="pct"/>
            <w:gridSpan w:val="3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$1,877</w:t>
            </w:r>
          </w:p>
        </w:tc>
        <w:tc>
          <w:tcPr>
            <w:tcW w:w="537" w:type="pct"/>
            <w:gridSpan w:val="3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$2,400</w:t>
            </w:r>
          </w:p>
        </w:tc>
        <w:tc>
          <w:tcPr>
            <w:tcW w:w="791" w:type="pct"/>
            <w:gridSpan w:val="2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</w:tr>
      <w:tr w:rsidR="0069604C" w:rsidRPr="00C82990" w:rsidTr="00E6091A">
        <w:trPr>
          <w:gridAfter w:val="1"/>
          <w:wAfter w:w="530" w:type="pct"/>
          <w:trHeight w:val="304"/>
          <w:jc w:val="center"/>
        </w:trPr>
        <w:tc>
          <w:tcPr>
            <w:tcW w:w="278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8" w:type="pct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commercial mesh</w:t>
            </w:r>
          </w:p>
        </w:tc>
        <w:tc>
          <w:tcPr>
            <w:tcW w:w="537" w:type="pct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$3,268</w:t>
            </w:r>
          </w:p>
        </w:tc>
        <w:tc>
          <w:tcPr>
            <w:tcW w:w="590" w:type="pct"/>
            <w:gridSpan w:val="3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$1,801</w:t>
            </w:r>
          </w:p>
        </w:tc>
        <w:tc>
          <w:tcPr>
            <w:tcW w:w="537" w:type="pct"/>
            <w:gridSpan w:val="3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$1,467</w:t>
            </w:r>
          </w:p>
        </w:tc>
        <w:tc>
          <w:tcPr>
            <w:tcW w:w="791" w:type="pct"/>
            <w:gridSpan w:val="2"/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9%</w:t>
            </w:r>
          </w:p>
        </w:tc>
      </w:tr>
      <w:tr w:rsidR="0069604C" w:rsidRPr="00C82990" w:rsidTr="00E6091A">
        <w:trPr>
          <w:gridAfter w:val="1"/>
          <w:wAfter w:w="530" w:type="pct"/>
          <w:trHeight w:val="319"/>
          <w:jc w:val="center"/>
        </w:trPr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604C" w:rsidRPr="00C82990" w:rsidRDefault="0069604C" w:rsidP="00E6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Vetrini et al.,(2018)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$1,446 </w:t>
            </w:r>
          </w:p>
        </w:tc>
        <w:tc>
          <w:tcPr>
            <w:tcW w:w="590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-$39</w:t>
            </w:r>
          </w:p>
        </w:tc>
        <w:tc>
          <w:tcPr>
            <w:tcW w:w="537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$183 </w:t>
            </w:r>
          </w:p>
        </w:tc>
        <w:tc>
          <w:tcPr>
            <w:tcW w:w="791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9604C" w:rsidRPr="00C82990" w:rsidRDefault="0069604C" w:rsidP="00E6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</w:t>
            </w:r>
            <w:r w:rsidRPr="00C82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6%</w:t>
            </w:r>
          </w:p>
        </w:tc>
      </w:tr>
      <w:tr w:rsidR="0069604C" w:rsidRPr="00C82990" w:rsidTr="00E6091A">
        <w:trPr>
          <w:gridBefore w:val="1"/>
          <w:wBefore w:w="6" w:type="pct"/>
          <w:trHeight w:val="304"/>
          <w:jc w:val="center"/>
        </w:trPr>
        <w:tc>
          <w:tcPr>
            <w:tcW w:w="4994" w:type="pct"/>
            <w:gridSpan w:val="13"/>
            <w:shd w:val="clear" w:color="auto" w:fill="auto"/>
            <w:noWrap/>
            <w:vAlign w:val="bottom"/>
            <w:hideMark/>
          </w:tcPr>
          <w:p w:rsidR="0069604C" w:rsidRPr="0040091D" w:rsidRDefault="0069604C" w:rsidP="00E6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Abbreviation: DALYs:</w:t>
            </w:r>
            <w:r w:rsidRPr="004009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Disability-Adjusted Life Years; NMB: net monetary benefit; QALYs: Quality-Adjusted Life Years.  Consumer price  index for medical care services </w:t>
            </w:r>
            <w:r w:rsidRPr="0040091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00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https://www.bls.gov/cpi/)</w:t>
            </w:r>
          </w:p>
        </w:tc>
      </w:tr>
    </w:tbl>
    <w:p w:rsidR="00D13AA5" w:rsidRDefault="00D13AA5" w:rsidP="0069604C">
      <w:bookmarkStart w:id="0" w:name="_GoBack"/>
      <w:bookmarkEnd w:id="0"/>
    </w:p>
    <w:sectPr w:rsidR="00D1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C"/>
    <w:rsid w:val="0069604C"/>
    <w:rsid w:val="00D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6D82E-A08D-4419-9C96-942587D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Ollendorf, Daniel</dc:creator>
  <cp:keywords/>
  <dc:description/>
  <cp:lastModifiedBy>Ollendorf, Daniel</cp:lastModifiedBy>
  <cp:revision>1</cp:revision>
  <dcterms:created xsi:type="dcterms:W3CDTF">2019-12-18T02:48:00Z</dcterms:created>
  <dcterms:modified xsi:type="dcterms:W3CDTF">2019-12-18T02:49:00Z</dcterms:modified>
</cp:coreProperties>
</file>