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7D83" w14:textId="7DDFD7F9" w:rsidR="00F72B89" w:rsidRPr="00B41E67" w:rsidRDefault="00F72B89" w:rsidP="00B41E67">
      <w:pPr>
        <w:spacing w:after="120" w:line="280" w:lineRule="exact"/>
        <w:rPr>
          <w:rFonts w:ascii="Arial" w:hAnsi="Arial" w:cs="Arial"/>
          <w:b w:val="0"/>
          <w:sz w:val="22"/>
          <w:szCs w:val="22"/>
          <w:vertAlign w:val="superscript"/>
        </w:rPr>
      </w:pPr>
      <w:bookmarkStart w:id="0" w:name="_Hlk531510173"/>
      <w:bookmarkEnd w:id="0"/>
      <w:r w:rsidRPr="00B41E67">
        <w:rPr>
          <w:rFonts w:ascii="Arial" w:hAnsi="Arial" w:cs="Arial"/>
          <w:sz w:val="22"/>
          <w:szCs w:val="22"/>
        </w:rPr>
        <w:t>Supplementary materials</w:t>
      </w:r>
      <w:r w:rsidRPr="00B41E67">
        <w:rPr>
          <w:rFonts w:ascii="Arial" w:hAnsi="Arial" w:cs="Arial"/>
          <w:b w:val="0"/>
          <w:sz w:val="22"/>
          <w:szCs w:val="22"/>
        </w:rPr>
        <w:t xml:space="preserve"> of “A non-inferiority framework for cost-effectiveness analysis” by </w:t>
      </w:r>
      <w:proofErr w:type="spellStart"/>
      <w:r w:rsidRPr="00B41E67">
        <w:rPr>
          <w:rFonts w:ascii="Arial" w:hAnsi="Arial" w:cs="Arial"/>
          <w:b w:val="0"/>
          <w:sz w:val="22"/>
          <w:szCs w:val="22"/>
        </w:rPr>
        <w:t>Xuanqian</w:t>
      </w:r>
      <w:proofErr w:type="spellEnd"/>
      <w:r w:rsidRPr="00B41E67">
        <w:rPr>
          <w:rFonts w:ascii="Arial" w:hAnsi="Arial" w:cs="Arial"/>
          <w:b w:val="0"/>
          <w:sz w:val="22"/>
          <w:szCs w:val="22"/>
        </w:rPr>
        <w:t xml:space="preserve"> Xie, Lindsey Falk, James M. Brophy, Hong Anh Tu, </w:t>
      </w:r>
      <w:r w:rsidR="00451ED9" w:rsidRPr="00451ED9">
        <w:rPr>
          <w:rFonts w:ascii="Arial" w:hAnsi="Arial" w:cs="Arial"/>
          <w:b w:val="0"/>
          <w:sz w:val="22"/>
          <w:szCs w:val="22"/>
        </w:rPr>
        <w:t>Jennifer Guo</w:t>
      </w:r>
      <w:r w:rsidR="00451ED9">
        <w:rPr>
          <w:rFonts w:ascii="Arial" w:hAnsi="Arial" w:cs="Arial"/>
          <w:b w:val="0"/>
          <w:sz w:val="22"/>
          <w:szCs w:val="22"/>
        </w:rPr>
        <w:t>,</w:t>
      </w:r>
      <w:r w:rsidR="00451ED9" w:rsidRPr="00451ED9">
        <w:rPr>
          <w:rFonts w:ascii="Arial" w:hAnsi="Arial" w:cs="Arial"/>
          <w:b w:val="0"/>
          <w:sz w:val="22"/>
          <w:szCs w:val="22"/>
        </w:rPr>
        <w:t xml:space="preserve"> </w:t>
      </w:r>
      <w:r w:rsidRPr="00B41E67">
        <w:rPr>
          <w:rFonts w:ascii="Arial" w:hAnsi="Arial" w:cs="Arial"/>
          <w:b w:val="0"/>
          <w:sz w:val="22"/>
          <w:szCs w:val="22"/>
        </w:rPr>
        <w:t>Olga Gajic-Veljanoski, Nancy Sikich, Irfan A. Dhalla, Vivian Ng.</w:t>
      </w:r>
    </w:p>
    <w:p w14:paraId="75A18C6C" w14:textId="4A1535F6" w:rsidR="00F72B89" w:rsidRDefault="00F72B89" w:rsidP="00B41E67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14:paraId="66727F3E" w14:textId="44C54CB5" w:rsidR="002E431F" w:rsidRPr="00BF3936" w:rsidRDefault="00B719FE" w:rsidP="00B41E67">
      <w:pPr>
        <w:spacing w:after="120" w:line="280" w:lineRule="exact"/>
        <w:rPr>
          <w:rFonts w:ascii="Arial" w:hAnsi="Arial" w:cs="Arial"/>
          <w:i/>
          <w:sz w:val="22"/>
          <w:szCs w:val="22"/>
        </w:rPr>
      </w:pPr>
      <w:r w:rsidRPr="001E3B5B">
        <w:rPr>
          <w:rFonts w:ascii="Arial" w:hAnsi="Arial" w:cs="Arial"/>
          <w:sz w:val="22"/>
          <w:szCs w:val="22"/>
        </w:rPr>
        <w:t xml:space="preserve">Supplement 1: </w:t>
      </w:r>
      <w:r w:rsidR="002E431F" w:rsidRPr="001E3B5B">
        <w:rPr>
          <w:rFonts w:ascii="Arial" w:hAnsi="Arial" w:cs="Arial"/>
          <w:sz w:val="22"/>
          <w:szCs w:val="22"/>
        </w:rPr>
        <w:t>Non-inferiority margin in clinical trials and fraction of effect</w:t>
      </w:r>
      <w:r w:rsidR="001E3B5B" w:rsidRPr="001E3B5B">
        <w:rPr>
          <w:rFonts w:ascii="Arial" w:hAnsi="Arial" w:cs="Arial"/>
          <w:sz w:val="22"/>
          <w:szCs w:val="22"/>
        </w:rPr>
        <w:t>iveness</w:t>
      </w:r>
      <w:r w:rsidR="002E431F" w:rsidRPr="001E3B5B">
        <w:rPr>
          <w:rFonts w:ascii="Arial" w:hAnsi="Arial" w:cs="Arial"/>
          <w:sz w:val="22"/>
          <w:szCs w:val="22"/>
        </w:rPr>
        <w:t xml:space="preserve"> preserved in the economic model</w:t>
      </w:r>
    </w:p>
    <w:p w14:paraId="7F44FE8E" w14:textId="56088DB0" w:rsidR="002E431F" w:rsidRPr="00034969" w:rsidRDefault="002E431F" w:rsidP="00CC4676">
      <w:pPr>
        <w:spacing w:after="120" w:line="288" w:lineRule="auto"/>
        <w:rPr>
          <w:rFonts w:ascii="Arial" w:hAnsi="Arial" w:cs="Arial"/>
          <w:b w:val="0"/>
          <w:sz w:val="22"/>
          <w:szCs w:val="22"/>
        </w:rPr>
      </w:pPr>
      <w:r w:rsidRPr="00034969">
        <w:rPr>
          <w:rFonts w:ascii="Arial" w:hAnsi="Arial" w:cs="Arial"/>
          <w:b w:val="0"/>
          <w:sz w:val="22"/>
          <w:szCs w:val="22"/>
        </w:rPr>
        <w:t xml:space="preserve">We adapted the concept of non-inferiority trials </w:t>
      </w:r>
      <w:r w:rsidR="00D56F49">
        <w:rPr>
          <w:rFonts w:ascii="Arial" w:hAnsi="Arial" w:cs="Arial"/>
          <w:b w:val="0"/>
          <w:sz w:val="22"/>
          <w:szCs w:val="22"/>
        </w:rPr>
        <w:t xml:space="preserve">and </w:t>
      </w:r>
      <w:r w:rsidRPr="00034969">
        <w:rPr>
          <w:rFonts w:ascii="Arial" w:hAnsi="Arial" w:cs="Arial"/>
          <w:b w:val="0"/>
          <w:sz w:val="22"/>
          <w:szCs w:val="22"/>
        </w:rPr>
        <w:t xml:space="preserve">applied it to </w:t>
      </w:r>
      <w:r w:rsidR="00093C98" w:rsidRPr="00034969">
        <w:rPr>
          <w:rFonts w:ascii="Arial" w:hAnsi="Arial" w:cs="Arial"/>
          <w:b w:val="0"/>
          <w:sz w:val="22"/>
          <w:szCs w:val="22"/>
        </w:rPr>
        <w:t xml:space="preserve">model-based </w:t>
      </w:r>
      <w:r w:rsidRPr="00034969">
        <w:rPr>
          <w:rFonts w:ascii="Arial" w:hAnsi="Arial" w:cs="Arial"/>
          <w:b w:val="0"/>
          <w:sz w:val="22"/>
          <w:szCs w:val="22"/>
        </w:rPr>
        <w:t>economic evaluations.</w:t>
      </w:r>
      <w:r w:rsidRPr="00034969">
        <w:rPr>
          <w:rFonts w:ascii="Arial" w:hAnsi="Arial" w:cs="Arial"/>
          <w:b w:val="0"/>
          <w:sz w:val="22"/>
          <w:szCs w:val="22"/>
        </w:rPr>
        <w:fldChar w:fldCharType="begin">
          <w:fldData xml:space="preserve">PEVuZE5vdGU+PENpdGUgRXhjbHVkZUF1dGg9IjEiIEV4Y2x1ZGVZZWFyPSIxIj48UmVjTnVtPjE8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</w:fldData>
        </w:fldChar>
      </w:r>
      <w:r w:rsidR="00E013F6">
        <w:rPr>
          <w:rFonts w:ascii="Arial" w:hAnsi="Arial" w:cs="Arial"/>
          <w:b w:val="0"/>
          <w:sz w:val="22"/>
          <w:szCs w:val="22"/>
        </w:rPr>
        <w:instrText xml:space="preserve"> ADDIN EN.CITE </w:instrText>
      </w:r>
      <w:r w:rsidR="00E013F6">
        <w:rPr>
          <w:rFonts w:ascii="Arial" w:hAnsi="Arial" w:cs="Arial"/>
          <w:b w:val="0"/>
          <w:sz w:val="22"/>
          <w:szCs w:val="22"/>
        </w:rPr>
        <w:fldChar w:fldCharType="begin">
          <w:fldData xml:space="preserve">PEVuZE5vdGU+PENpdGUgRXhjbHVkZUF1dGg9IjEiIEV4Y2x1ZGVZZWFyPSIxIj48UmVjTnVtPjE8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</w:fldData>
        </w:fldChar>
      </w:r>
      <w:r w:rsidR="00E013F6">
        <w:rPr>
          <w:rFonts w:ascii="Arial" w:hAnsi="Arial" w:cs="Arial"/>
          <w:b w:val="0"/>
          <w:sz w:val="22"/>
          <w:szCs w:val="22"/>
        </w:rPr>
        <w:instrText xml:space="preserve"> ADDIN EN.CITE.DATA </w:instrText>
      </w:r>
      <w:r w:rsidR="00E013F6">
        <w:rPr>
          <w:rFonts w:ascii="Arial" w:hAnsi="Arial" w:cs="Arial"/>
          <w:b w:val="0"/>
          <w:sz w:val="22"/>
          <w:szCs w:val="22"/>
        </w:rPr>
      </w:r>
      <w:r w:rsidR="00E013F6">
        <w:rPr>
          <w:rFonts w:ascii="Arial" w:hAnsi="Arial" w:cs="Arial"/>
          <w:b w:val="0"/>
          <w:sz w:val="22"/>
          <w:szCs w:val="22"/>
        </w:rPr>
        <w:fldChar w:fldCharType="end"/>
      </w:r>
      <w:r w:rsidRPr="00034969">
        <w:rPr>
          <w:rFonts w:ascii="Arial" w:hAnsi="Arial" w:cs="Arial"/>
          <w:b w:val="0"/>
          <w:sz w:val="22"/>
          <w:szCs w:val="22"/>
        </w:rPr>
      </w:r>
      <w:r w:rsidRPr="00034969">
        <w:rPr>
          <w:rFonts w:ascii="Arial" w:hAnsi="Arial" w:cs="Arial"/>
          <w:b w:val="0"/>
          <w:sz w:val="22"/>
          <w:szCs w:val="22"/>
        </w:rPr>
        <w:fldChar w:fldCharType="separate"/>
      </w:r>
      <w:r w:rsidR="00E013F6">
        <w:rPr>
          <w:rFonts w:ascii="Arial" w:hAnsi="Arial" w:cs="Arial"/>
          <w:b w:val="0"/>
          <w:noProof/>
          <w:sz w:val="22"/>
          <w:szCs w:val="22"/>
        </w:rPr>
        <w:t>(1, 2)</w:t>
      </w:r>
      <w:r w:rsidRPr="00034969">
        <w:rPr>
          <w:rFonts w:ascii="Arial" w:hAnsi="Arial" w:cs="Arial"/>
          <w:b w:val="0"/>
          <w:sz w:val="22"/>
          <w:szCs w:val="22"/>
        </w:rPr>
        <w:fldChar w:fldCharType="end"/>
      </w:r>
      <w:r w:rsidRPr="00034969">
        <w:rPr>
          <w:rFonts w:ascii="Arial" w:hAnsi="Arial" w:cs="Arial"/>
          <w:b w:val="0"/>
          <w:sz w:val="22"/>
          <w:szCs w:val="22"/>
        </w:rPr>
        <w:t xml:space="preserve"> In non-inferiority trials, where we seek to determine if a new treatment is non-inferior to active control, a non-inferiority margin must be pre-specified. A fixed-margin method is recommended to determine the non-inferiority margin </w:t>
      </w:r>
      <w:r w:rsidRPr="00034969">
        <w:rPr>
          <w:rFonts w:ascii="Arial" w:hAnsi="Arial" w:cs="Arial"/>
          <w:b w:val="0"/>
          <w:sz w:val="22"/>
          <w:szCs w:val="22"/>
        </w:rPr>
        <w:fldChar w:fldCharType="begin">
          <w:fldData xml:space="preserve">PEVuZE5vdGU+PENpdGUgRXhjbHVkZUF1dGg9IjEiIEV4Y2x1ZGVZZWFyPSIxIj48UmVjTnVtPjE8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</w:fldData>
        </w:fldChar>
      </w:r>
      <w:r w:rsidR="00E013F6">
        <w:rPr>
          <w:rFonts w:ascii="Arial" w:hAnsi="Arial" w:cs="Arial"/>
          <w:b w:val="0"/>
          <w:sz w:val="22"/>
          <w:szCs w:val="22"/>
        </w:rPr>
        <w:instrText xml:space="preserve"> ADDIN EN.CITE </w:instrText>
      </w:r>
      <w:r w:rsidR="00E013F6">
        <w:rPr>
          <w:rFonts w:ascii="Arial" w:hAnsi="Arial" w:cs="Arial"/>
          <w:b w:val="0"/>
          <w:sz w:val="22"/>
          <w:szCs w:val="22"/>
        </w:rPr>
        <w:fldChar w:fldCharType="begin">
          <w:fldData xml:space="preserve">PEVuZE5vdGU+PENpdGUgRXhjbHVkZUF1dGg9IjEiIEV4Y2x1ZGVZZWFyPSIxIj48UmVjTnVtPjE8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</w:fldData>
        </w:fldChar>
      </w:r>
      <w:r w:rsidR="00E013F6">
        <w:rPr>
          <w:rFonts w:ascii="Arial" w:hAnsi="Arial" w:cs="Arial"/>
          <w:b w:val="0"/>
          <w:sz w:val="22"/>
          <w:szCs w:val="22"/>
        </w:rPr>
        <w:instrText xml:space="preserve"> ADDIN EN.CITE.DATA </w:instrText>
      </w:r>
      <w:r w:rsidR="00E013F6">
        <w:rPr>
          <w:rFonts w:ascii="Arial" w:hAnsi="Arial" w:cs="Arial"/>
          <w:b w:val="0"/>
          <w:sz w:val="22"/>
          <w:szCs w:val="22"/>
        </w:rPr>
      </w:r>
      <w:r w:rsidR="00E013F6">
        <w:rPr>
          <w:rFonts w:ascii="Arial" w:hAnsi="Arial" w:cs="Arial"/>
          <w:b w:val="0"/>
          <w:sz w:val="22"/>
          <w:szCs w:val="22"/>
        </w:rPr>
        <w:fldChar w:fldCharType="end"/>
      </w:r>
      <w:r w:rsidRPr="00034969">
        <w:rPr>
          <w:rFonts w:ascii="Arial" w:hAnsi="Arial" w:cs="Arial"/>
          <w:b w:val="0"/>
          <w:sz w:val="22"/>
          <w:szCs w:val="22"/>
        </w:rPr>
      </w:r>
      <w:r w:rsidRPr="00034969">
        <w:rPr>
          <w:rFonts w:ascii="Arial" w:hAnsi="Arial" w:cs="Arial"/>
          <w:b w:val="0"/>
          <w:sz w:val="22"/>
          <w:szCs w:val="22"/>
        </w:rPr>
        <w:fldChar w:fldCharType="separate"/>
      </w:r>
      <w:r w:rsidR="00E013F6">
        <w:rPr>
          <w:rFonts w:ascii="Arial" w:hAnsi="Arial" w:cs="Arial"/>
          <w:b w:val="0"/>
          <w:noProof/>
          <w:sz w:val="22"/>
          <w:szCs w:val="22"/>
        </w:rPr>
        <w:t>(1, 2)</w:t>
      </w:r>
      <w:r w:rsidRPr="00034969">
        <w:rPr>
          <w:rFonts w:ascii="Arial" w:hAnsi="Arial" w:cs="Arial"/>
          <w:b w:val="0"/>
          <w:sz w:val="22"/>
          <w:szCs w:val="22"/>
        </w:rPr>
        <w:fldChar w:fldCharType="end"/>
      </w:r>
      <w:r w:rsidRPr="00034969">
        <w:rPr>
          <w:rFonts w:ascii="Arial" w:hAnsi="Arial" w:cs="Arial"/>
          <w:b w:val="0"/>
          <w:sz w:val="22"/>
          <w:szCs w:val="22"/>
        </w:rPr>
        <w:t xml:space="preserve"> and requires two values. M1 represents the most conservative estimate of entire effect of the active control relative to the placebo control (typically the lower bound confidence interval [CI] of the effect estimate). This value is often based on previous trials or, when possible, a meta-analysis of previous trials. M2 reflects the largest clinically acceptable difference (effect loss) of the new intervention compared to the active control. For example, if we are willing to accept a maximum difference of 25% effect lost, the threshold of effect preserved by the new intervention is 75%. Non-inferiority trials use CI of effect estimate to compare with </w:t>
      </w:r>
      <w:r w:rsidRPr="00034969">
        <w:rPr>
          <w:rFonts w:ascii="Arial" w:hAnsi="Arial" w:cs="Arial"/>
          <w:b w:val="0"/>
          <w:color w:val="000000" w:themeColor="text1"/>
          <w:sz w:val="22"/>
          <w:szCs w:val="22"/>
        </w:rPr>
        <w:t>the pre-specified non-inferiority margin</w:t>
      </w:r>
      <w:r w:rsidRPr="00034969">
        <w:rPr>
          <w:rFonts w:ascii="Arial" w:hAnsi="Arial" w:cs="Arial"/>
          <w:b w:val="0"/>
          <w:sz w:val="22"/>
          <w:szCs w:val="22"/>
        </w:rPr>
        <w:t xml:space="preserve"> (M2) for testing non-inferiority.</w:t>
      </w:r>
    </w:p>
    <w:p w14:paraId="6B86F3F4" w14:textId="1ED88C31" w:rsidR="002E431F" w:rsidRDefault="002E431F" w:rsidP="00CC4676">
      <w:pPr>
        <w:spacing w:after="120" w:line="288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034969">
        <w:rPr>
          <w:rFonts w:ascii="Arial" w:hAnsi="Arial" w:cs="Arial"/>
          <w:b w:val="0"/>
          <w:sz w:val="22"/>
          <w:szCs w:val="22"/>
        </w:rPr>
        <w:t xml:space="preserve">In model-based economic evaluations with probabilistic sensitivity analysis (PSA) using Monte </w:t>
      </w:r>
      <w:r w:rsidRPr="002A492B">
        <w:rPr>
          <w:rFonts w:ascii="Arial" w:hAnsi="Arial" w:cs="Arial"/>
          <w:b w:val="0"/>
          <w:sz w:val="22"/>
          <w:szCs w:val="22"/>
        </w:rPr>
        <w:t>Carlo simulations, we can simultaneously examine the effect</w:t>
      </w:r>
      <w:r w:rsidR="001E3B5B" w:rsidRPr="002A492B">
        <w:rPr>
          <w:rFonts w:ascii="Arial" w:hAnsi="Arial" w:cs="Arial"/>
          <w:b w:val="0"/>
          <w:sz w:val="22"/>
          <w:szCs w:val="22"/>
        </w:rPr>
        <w:t>iveness</w:t>
      </w:r>
      <w:r w:rsidRPr="002A492B">
        <w:rPr>
          <w:rFonts w:ascii="Arial" w:hAnsi="Arial" w:cs="Arial"/>
          <w:b w:val="0"/>
          <w:sz w:val="22"/>
          <w:szCs w:val="22"/>
        </w:rPr>
        <w:t xml:space="preserve"> of a new intervention, an active control, and a placebo control. Results of each simulation represent the </w:t>
      </w:r>
      <w:r w:rsidRPr="00B72E79">
        <w:rPr>
          <w:rFonts w:ascii="Arial" w:hAnsi="Arial" w:cs="Arial"/>
          <w:b w:val="0"/>
          <w:sz w:val="22"/>
          <w:szCs w:val="22"/>
        </w:rPr>
        <w:t>estimates from</w:t>
      </w:r>
      <w:r w:rsidRPr="002A492B">
        <w:rPr>
          <w:rFonts w:ascii="Arial" w:hAnsi="Arial" w:cs="Arial"/>
          <w:b w:val="0"/>
          <w:sz w:val="22"/>
          <w:szCs w:val="22"/>
        </w:rPr>
        <w:t xml:space="preserve"> a hypothetical three-arm clinical trial. We define M1 as the</w:t>
      </w:r>
      <w:r w:rsidR="00B72E79">
        <w:rPr>
          <w:rFonts w:ascii="Arial" w:hAnsi="Arial" w:cs="Arial"/>
          <w:b w:val="0"/>
          <w:sz w:val="22"/>
          <w:szCs w:val="22"/>
        </w:rPr>
        <w:t xml:space="preserve"> </w:t>
      </w:r>
      <w:r w:rsidRPr="002A492B">
        <w:rPr>
          <w:rFonts w:ascii="Arial" w:hAnsi="Arial" w:cs="Arial"/>
          <w:b w:val="0"/>
          <w:sz w:val="22"/>
          <w:szCs w:val="22"/>
        </w:rPr>
        <w:t>estimate of the active control’s effect size relative to the placebo control in each simulation. M2 is chosen as a fixed proportion of M1. It should be noted that our definition of M1 in a model-based economic evaluation is different than in non-inferiority trials. The value of M1 in our method varies in each simulation. We assumed that if the new intervention can preserve a certain fraction of the active</w:t>
      </w:r>
      <w:r w:rsidRPr="00034969">
        <w:rPr>
          <w:rFonts w:ascii="Arial" w:hAnsi="Arial" w:cs="Arial"/>
          <w:b w:val="0"/>
          <w:sz w:val="22"/>
          <w:szCs w:val="22"/>
        </w:rPr>
        <w:t xml:space="preserve"> control effect</w:t>
      </w:r>
      <w:r w:rsidR="001E3B5B">
        <w:rPr>
          <w:rFonts w:ascii="Arial" w:hAnsi="Arial" w:cs="Arial"/>
          <w:b w:val="0"/>
          <w:sz w:val="22"/>
          <w:szCs w:val="22"/>
        </w:rPr>
        <w:t>iveness</w:t>
      </w:r>
      <w:r w:rsidRPr="00034969">
        <w:rPr>
          <w:rFonts w:ascii="Arial" w:hAnsi="Arial" w:cs="Arial"/>
          <w:b w:val="0"/>
          <w:sz w:val="22"/>
          <w:szCs w:val="22"/>
        </w:rPr>
        <w:t xml:space="preserve"> (or, equivalently, tolerate a certain percentage of effect</w:t>
      </w:r>
      <w:r w:rsidR="001E3B5B">
        <w:rPr>
          <w:rFonts w:ascii="Arial" w:hAnsi="Arial" w:cs="Arial"/>
          <w:b w:val="0"/>
          <w:sz w:val="22"/>
          <w:szCs w:val="22"/>
        </w:rPr>
        <w:t>iveness</w:t>
      </w:r>
      <w:r w:rsidRPr="00034969">
        <w:rPr>
          <w:rFonts w:ascii="Arial" w:hAnsi="Arial" w:cs="Arial"/>
          <w:b w:val="0"/>
          <w:sz w:val="22"/>
          <w:szCs w:val="22"/>
        </w:rPr>
        <w:t xml:space="preserve"> loss), the new intervention would be non-inferior to the active control.</w:t>
      </w:r>
      <w:r w:rsidR="00645A0F">
        <w:rPr>
          <w:rFonts w:ascii="Arial" w:hAnsi="Arial" w:cs="Arial"/>
          <w:b w:val="0"/>
          <w:sz w:val="22"/>
          <w:szCs w:val="22"/>
        </w:rPr>
        <w:t xml:space="preserve"> </w:t>
      </w:r>
      <w:r w:rsidRPr="00034969">
        <w:rPr>
          <w:rFonts w:ascii="Arial" w:hAnsi="Arial" w:cs="Arial"/>
          <w:b w:val="0"/>
          <w:color w:val="000000" w:themeColor="text1"/>
          <w:sz w:val="22"/>
          <w:szCs w:val="22"/>
        </w:rPr>
        <w:t>We calculate the probability of non-inferiority of the new intervention (i.e., preserving the effect</w:t>
      </w:r>
      <w:r w:rsidR="001E3B5B">
        <w:rPr>
          <w:rFonts w:ascii="Arial" w:hAnsi="Arial" w:cs="Arial"/>
          <w:b w:val="0"/>
          <w:color w:val="000000" w:themeColor="text1"/>
          <w:sz w:val="22"/>
          <w:szCs w:val="22"/>
        </w:rPr>
        <w:t>iveness</w:t>
      </w:r>
      <w:r w:rsidRPr="0003496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over the pre-specific threshold) from the </w:t>
      </w:r>
      <w:r w:rsidRPr="00034969">
        <w:rPr>
          <w:rFonts w:ascii="Arial" w:hAnsi="Arial" w:cs="Arial"/>
          <w:b w:val="0"/>
          <w:sz w:val="22"/>
          <w:szCs w:val="22"/>
        </w:rPr>
        <w:t>Monte Carlo simulations</w:t>
      </w:r>
      <w:r w:rsidRPr="0003496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. </w:t>
      </w:r>
    </w:p>
    <w:p w14:paraId="4C4146C6" w14:textId="77777777" w:rsidR="002E431F" w:rsidRDefault="002E431F" w:rsidP="00B41E67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14:paraId="431BFF8F" w14:textId="7B6E369C" w:rsidR="00F72B89" w:rsidRDefault="00F72B89" w:rsidP="00F72B89">
      <w:pPr>
        <w:rPr>
          <w:rFonts w:ascii="Arial" w:hAnsi="Arial" w:cs="Arial"/>
          <w:b w:val="0"/>
          <w:szCs w:val="24"/>
        </w:rPr>
      </w:pPr>
    </w:p>
    <w:p w14:paraId="4E31F86E" w14:textId="6E14743E" w:rsidR="00CC4676" w:rsidRDefault="00CC4676" w:rsidP="00F72B89">
      <w:pPr>
        <w:rPr>
          <w:rFonts w:ascii="Arial" w:hAnsi="Arial" w:cs="Arial"/>
          <w:b w:val="0"/>
          <w:szCs w:val="24"/>
        </w:rPr>
      </w:pPr>
    </w:p>
    <w:p w14:paraId="21BC5806" w14:textId="5189AE6D" w:rsidR="00CC4676" w:rsidRDefault="00CC4676" w:rsidP="00F72B89">
      <w:pPr>
        <w:rPr>
          <w:rFonts w:ascii="Arial" w:hAnsi="Arial" w:cs="Arial"/>
          <w:b w:val="0"/>
          <w:szCs w:val="24"/>
        </w:rPr>
      </w:pPr>
    </w:p>
    <w:p w14:paraId="29F57A0B" w14:textId="4957C7CB" w:rsidR="00CC4676" w:rsidRDefault="00CC4676" w:rsidP="00F72B89">
      <w:pPr>
        <w:rPr>
          <w:rFonts w:ascii="Arial" w:hAnsi="Arial" w:cs="Arial"/>
          <w:b w:val="0"/>
          <w:szCs w:val="24"/>
        </w:rPr>
      </w:pPr>
    </w:p>
    <w:p w14:paraId="4798A1BE" w14:textId="4581DE8C" w:rsidR="00CC4676" w:rsidRDefault="00CC4676" w:rsidP="00F72B89">
      <w:pPr>
        <w:rPr>
          <w:rFonts w:ascii="Arial" w:hAnsi="Arial" w:cs="Arial"/>
          <w:b w:val="0"/>
          <w:szCs w:val="24"/>
        </w:rPr>
      </w:pPr>
    </w:p>
    <w:p w14:paraId="2243899C" w14:textId="1402FCF7" w:rsidR="00CC4676" w:rsidRDefault="00CC4676" w:rsidP="00F72B89">
      <w:pPr>
        <w:rPr>
          <w:rFonts w:ascii="Arial" w:hAnsi="Arial" w:cs="Arial"/>
          <w:b w:val="0"/>
          <w:szCs w:val="24"/>
        </w:rPr>
      </w:pPr>
    </w:p>
    <w:p w14:paraId="51AF5AA8" w14:textId="4F35D172" w:rsidR="00CC4676" w:rsidRDefault="00CC4676" w:rsidP="00F72B89">
      <w:pPr>
        <w:rPr>
          <w:rFonts w:ascii="Arial" w:hAnsi="Arial" w:cs="Arial"/>
          <w:b w:val="0"/>
          <w:szCs w:val="24"/>
        </w:rPr>
      </w:pPr>
    </w:p>
    <w:p w14:paraId="5EB0EA43" w14:textId="4418031A" w:rsidR="00CC4676" w:rsidRDefault="00CC4676" w:rsidP="00F72B89">
      <w:pPr>
        <w:rPr>
          <w:rFonts w:ascii="Arial" w:hAnsi="Arial" w:cs="Arial"/>
          <w:b w:val="0"/>
          <w:szCs w:val="24"/>
        </w:rPr>
      </w:pPr>
    </w:p>
    <w:p w14:paraId="683BD276" w14:textId="77777777" w:rsidR="00CC4676" w:rsidRPr="00F72B89" w:rsidRDefault="00CC4676" w:rsidP="00F72B89">
      <w:pPr>
        <w:rPr>
          <w:rFonts w:ascii="Arial" w:hAnsi="Arial" w:cs="Arial"/>
          <w:b w:val="0"/>
          <w:szCs w:val="24"/>
        </w:rPr>
      </w:pPr>
    </w:p>
    <w:p w14:paraId="76FECB20" w14:textId="77777777" w:rsidR="0015557E" w:rsidRDefault="0015557E" w:rsidP="00F72B89">
      <w:pPr>
        <w:rPr>
          <w:rFonts w:ascii="Arial" w:hAnsi="Arial" w:cs="Arial"/>
          <w:sz w:val="22"/>
          <w:szCs w:val="22"/>
        </w:rPr>
      </w:pPr>
    </w:p>
    <w:p w14:paraId="143312DF" w14:textId="77777777" w:rsidR="0015557E" w:rsidRDefault="0015557E" w:rsidP="00F72B89">
      <w:pPr>
        <w:rPr>
          <w:rFonts w:ascii="Arial" w:hAnsi="Arial" w:cs="Arial"/>
          <w:sz w:val="22"/>
          <w:szCs w:val="22"/>
        </w:rPr>
      </w:pPr>
    </w:p>
    <w:p w14:paraId="2427DAFB" w14:textId="27C38E33" w:rsidR="00F72B89" w:rsidRPr="00F72B89" w:rsidRDefault="00F72B89" w:rsidP="00F72B89">
      <w:pPr>
        <w:rPr>
          <w:rFonts w:ascii="Arial" w:hAnsi="Arial" w:cs="Arial"/>
          <w:sz w:val="22"/>
          <w:szCs w:val="22"/>
        </w:rPr>
      </w:pPr>
      <w:r w:rsidRPr="001E3B5B">
        <w:rPr>
          <w:rFonts w:ascii="Arial" w:hAnsi="Arial" w:cs="Arial"/>
          <w:sz w:val="22"/>
          <w:szCs w:val="22"/>
        </w:rPr>
        <w:lastRenderedPageBreak/>
        <w:t xml:space="preserve">Section 2: </w:t>
      </w:r>
      <w:r w:rsidR="00C72B0F" w:rsidRPr="001E3B5B">
        <w:rPr>
          <w:rFonts w:ascii="Arial" w:hAnsi="Arial" w:cs="Arial"/>
          <w:sz w:val="22"/>
          <w:szCs w:val="22"/>
        </w:rPr>
        <w:t>Additional</w:t>
      </w:r>
      <w:r w:rsidR="00BF3936" w:rsidRPr="001E3B5B">
        <w:rPr>
          <w:rFonts w:ascii="Arial" w:hAnsi="Arial" w:cs="Arial"/>
          <w:sz w:val="22"/>
          <w:szCs w:val="22"/>
        </w:rPr>
        <w:t xml:space="preserve"> r</w:t>
      </w:r>
      <w:r w:rsidRPr="001E3B5B">
        <w:rPr>
          <w:rFonts w:ascii="Arial" w:hAnsi="Arial" w:cs="Arial"/>
          <w:sz w:val="22"/>
          <w:szCs w:val="22"/>
        </w:rPr>
        <w:t>esults from conventional cost-effectiveness analysis</w:t>
      </w:r>
      <w:r w:rsidRPr="00F72B89">
        <w:rPr>
          <w:rFonts w:ascii="Arial" w:hAnsi="Arial" w:cs="Arial"/>
          <w:sz w:val="22"/>
          <w:szCs w:val="22"/>
        </w:rPr>
        <w:t xml:space="preserve"> </w:t>
      </w:r>
    </w:p>
    <w:p w14:paraId="28089458" w14:textId="77777777" w:rsidR="00F72B89" w:rsidRPr="00F72B89" w:rsidRDefault="00F72B89" w:rsidP="00F72B89">
      <w:pPr>
        <w:rPr>
          <w:rFonts w:ascii="Arial" w:hAnsi="Arial" w:cs="Arial"/>
        </w:rPr>
      </w:pPr>
    </w:p>
    <w:p w14:paraId="6C2FC08B" w14:textId="3A7CA67D" w:rsidR="00F72B89" w:rsidRPr="00F72B89" w:rsidRDefault="00F72B89" w:rsidP="00F72B89">
      <w:pPr>
        <w:pStyle w:val="TableTitle"/>
        <w:ind w:left="0" w:firstLine="0"/>
        <w:rPr>
          <w:rFonts w:eastAsia="SimSun" w:cs="Arial"/>
        </w:rPr>
      </w:pPr>
      <w:r w:rsidRPr="00F72B89">
        <w:rPr>
          <w:rFonts w:eastAsia="SimSun" w:cs="Arial"/>
        </w:rPr>
        <w:t xml:space="preserve">Table </w:t>
      </w:r>
      <w:r w:rsidR="007A7D19">
        <w:rPr>
          <w:rFonts w:eastAsia="SimSun" w:cs="Arial"/>
        </w:rPr>
        <w:t>S</w:t>
      </w:r>
      <w:r w:rsidR="002F038C">
        <w:rPr>
          <w:rFonts w:eastAsia="SimSun" w:cs="Arial"/>
        </w:rPr>
        <w:t>1</w:t>
      </w:r>
      <w:r w:rsidRPr="00F72B89">
        <w:rPr>
          <w:rFonts w:eastAsia="SimSun" w:cs="Arial"/>
        </w:rPr>
        <w:t xml:space="preserve">: </w:t>
      </w:r>
      <w:r w:rsidRPr="00F72B89">
        <w:rPr>
          <w:rFonts w:cs="Arial"/>
        </w:rPr>
        <w:t xml:space="preserve">Summary of Results from Conventional Cost-Effectiveness Analysis </w:t>
      </w:r>
    </w:p>
    <w:tbl>
      <w:tblPr>
        <w:tblW w:w="88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2"/>
        <w:gridCol w:w="1620"/>
        <w:gridCol w:w="1440"/>
        <w:gridCol w:w="1067"/>
        <w:gridCol w:w="1813"/>
        <w:gridCol w:w="1710"/>
      </w:tblGrid>
      <w:tr w:rsidR="00F72B89" w:rsidRPr="00F72B89" w14:paraId="755BCB8C" w14:textId="77777777" w:rsidTr="008D6F38">
        <w:tc>
          <w:tcPr>
            <w:tcW w:w="1152" w:type="dxa"/>
            <w:tcBorders>
              <w:top w:val="single" w:sz="12" w:space="0" w:color="000000"/>
              <w:left w:val="nil"/>
              <w:right w:val="nil"/>
            </w:tcBorders>
            <w:shd w:val="clear" w:color="auto" w:fill="C0C0C0"/>
          </w:tcPr>
          <w:p w14:paraId="7EFA86C2" w14:textId="77777777" w:rsidR="00F72B89" w:rsidRPr="00F72B89" w:rsidRDefault="00F72B89" w:rsidP="008D6F38">
            <w:pPr>
              <w:spacing w:before="60" w:after="40"/>
              <w:jc w:val="center"/>
              <w:rPr>
                <w:rFonts w:ascii="Arial" w:eastAsia="SimSun" w:hAnsi="Arial" w:cs="Arial"/>
                <w:b w:val="0"/>
                <w:sz w:val="20"/>
              </w:rPr>
            </w:pPr>
            <w:r w:rsidRPr="00F72B89">
              <w:rPr>
                <w:rFonts w:ascii="Arial" w:eastAsia="SimSun" w:hAnsi="Arial" w:cs="Arial"/>
                <w:sz w:val="20"/>
              </w:rPr>
              <w:t>Strategy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right w:val="nil"/>
            </w:tcBorders>
            <w:shd w:val="clear" w:color="auto" w:fill="C0C0C0"/>
          </w:tcPr>
          <w:p w14:paraId="6C10C0D4" w14:textId="77777777" w:rsidR="00F72B89" w:rsidRPr="00F72B89" w:rsidRDefault="00F72B89" w:rsidP="008D6F38">
            <w:pPr>
              <w:spacing w:before="60" w:after="40"/>
              <w:jc w:val="center"/>
              <w:rPr>
                <w:rFonts w:ascii="Arial" w:eastAsia="SimSun" w:hAnsi="Arial" w:cs="Arial"/>
                <w:b w:val="0"/>
                <w:sz w:val="20"/>
              </w:rPr>
            </w:pPr>
            <w:r w:rsidRPr="00F72B89">
              <w:rPr>
                <w:rFonts w:ascii="Arial" w:eastAsia="SimSun" w:hAnsi="Arial" w:cs="Arial"/>
                <w:sz w:val="20"/>
              </w:rPr>
              <w:t>Average Total Costs, $</w:t>
            </w:r>
            <w:r w:rsidRPr="00F72B89">
              <w:rPr>
                <w:rFonts w:ascii="Arial" w:eastAsia="SimSun" w:hAnsi="Arial" w:cs="Arial"/>
                <w:sz w:val="20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right w:val="nil"/>
            </w:tcBorders>
            <w:shd w:val="clear" w:color="auto" w:fill="C0C0C0"/>
          </w:tcPr>
          <w:p w14:paraId="59C264B3" w14:textId="77777777" w:rsidR="00F72B89" w:rsidRPr="00F72B89" w:rsidRDefault="00F72B89" w:rsidP="008D6F38">
            <w:pPr>
              <w:spacing w:before="60" w:after="40"/>
              <w:jc w:val="center"/>
              <w:rPr>
                <w:rFonts w:ascii="Arial" w:eastAsia="SimSun" w:hAnsi="Arial" w:cs="Arial"/>
                <w:b w:val="0"/>
                <w:sz w:val="20"/>
              </w:rPr>
            </w:pPr>
            <w:r w:rsidRPr="00F72B89">
              <w:rPr>
                <w:rFonts w:ascii="Arial" w:eastAsia="SimSun" w:hAnsi="Arial" w:cs="Arial"/>
                <w:sz w:val="20"/>
              </w:rPr>
              <w:t>Incremental Cost, $</w:t>
            </w:r>
            <w:r w:rsidRPr="00F72B89">
              <w:rPr>
                <w:rFonts w:ascii="Arial" w:eastAsia="SimSun" w:hAnsi="Arial" w:cs="Arial"/>
                <w:sz w:val="20"/>
                <w:vertAlign w:val="superscript"/>
              </w:rPr>
              <w:t>a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right w:val="nil"/>
            </w:tcBorders>
            <w:shd w:val="clear" w:color="auto" w:fill="C0C0C0"/>
          </w:tcPr>
          <w:p w14:paraId="119DFF39" w14:textId="77777777" w:rsidR="00F72B89" w:rsidRPr="00F72B89" w:rsidRDefault="00F72B89" w:rsidP="008D6F38">
            <w:pPr>
              <w:spacing w:before="60" w:after="40"/>
              <w:jc w:val="center"/>
              <w:rPr>
                <w:rFonts w:ascii="Arial" w:eastAsia="SimSun" w:hAnsi="Arial" w:cs="Arial"/>
                <w:b w:val="0"/>
                <w:sz w:val="20"/>
              </w:rPr>
            </w:pPr>
            <w:r w:rsidRPr="00F72B89">
              <w:rPr>
                <w:rFonts w:ascii="Arial" w:eastAsia="SimSun" w:hAnsi="Arial" w:cs="Arial"/>
                <w:sz w:val="20"/>
              </w:rPr>
              <w:t>Average Total QALYs</w:t>
            </w:r>
          </w:p>
        </w:tc>
        <w:tc>
          <w:tcPr>
            <w:tcW w:w="1813" w:type="dxa"/>
            <w:tcBorders>
              <w:top w:val="single" w:sz="12" w:space="0" w:color="000000"/>
              <w:left w:val="nil"/>
              <w:right w:val="nil"/>
            </w:tcBorders>
            <w:shd w:val="clear" w:color="auto" w:fill="C0C0C0"/>
          </w:tcPr>
          <w:p w14:paraId="7554D92A" w14:textId="77777777" w:rsidR="00F72B89" w:rsidRPr="00F72B89" w:rsidRDefault="00F72B89" w:rsidP="008D6F38">
            <w:pPr>
              <w:spacing w:before="60" w:after="40"/>
              <w:jc w:val="center"/>
              <w:rPr>
                <w:rFonts w:ascii="Arial" w:eastAsia="SimSun" w:hAnsi="Arial" w:cs="Arial"/>
                <w:sz w:val="20"/>
              </w:rPr>
            </w:pPr>
            <w:r w:rsidRPr="00F72B89">
              <w:rPr>
                <w:rFonts w:ascii="Arial" w:eastAsia="SimSun" w:hAnsi="Arial" w:cs="Arial"/>
                <w:sz w:val="20"/>
              </w:rPr>
              <w:t>Incremental QALYs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right w:val="nil"/>
            </w:tcBorders>
            <w:shd w:val="clear" w:color="auto" w:fill="C0C0C0"/>
          </w:tcPr>
          <w:p w14:paraId="531C0795" w14:textId="77777777" w:rsidR="00F72B89" w:rsidRPr="00F72B89" w:rsidRDefault="00F72B89" w:rsidP="008D6F38">
            <w:pPr>
              <w:spacing w:before="60" w:after="40"/>
              <w:jc w:val="center"/>
              <w:rPr>
                <w:rFonts w:ascii="Arial" w:eastAsia="SimSun" w:hAnsi="Arial" w:cs="Arial"/>
                <w:sz w:val="20"/>
              </w:rPr>
            </w:pPr>
            <w:r w:rsidRPr="00F72B89">
              <w:rPr>
                <w:rFonts w:ascii="Arial" w:eastAsia="SimSun" w:hAnsi="Arial" w:cs="Arial"/>
                <w:sz w:val="20"/>
              </w:rPr>
              <w:t>Incremental Cost-Effectiveness Ratio</w:t>
            </w:r>
          </w:p>
        </w:tc>
      </w:tr>
      <w:tr w:rsidR="00F72B89" w:rsidRPr="00F72B89" w14:paraId="7AFF9075" w14:textId="77777777" w:rsidTr="008D6F38">
        <w:trPr>
          <w:trHeight w:val="257"/>
        </w:trPr>
        <w:tc>
          <w:tcPr>
            <w:tcW w:w="5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CB3B1" w14:textId="77777777" w:rsidR="00F72B89" w:rsidRPr="00F72B89" w:rsidRDefault="00F72B89" w:rsidP="008D6F38">
            <w:pPr>
              <w:spacing w:before="60" w:after="40"/>
              <w:rPr>
                <w:rFonts w:ascii="Arial" w:eastAsia="SimSun" w:hAnsi="Arial" w:cs="Arial"/>
                <w:b w:val="0"/>
                <w:sz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674A0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eastAsia="SimSun" w:cs="Arial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FD50A79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eastAsia="SimSun" w:cs="Arial"/>
                <w:sz w:val="20"/>
              </w:rPr>
            </w:pPr>
          </w:p>
        </w:tc>
      </w:tr>
      <w:tr w:rsidR="00F72B89" w:rsidRPr="00F72B89" w14:paraId="33B3D6D4" w14:textId="77777777" w:rsidTr="008D6F38">
        <w:trPr>
          <w:trHeight w:val="257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5C3CD" w14:textId="77777777" w:rsidR="00F72B89" w:rsidRPr="00F72B89" w:rsidRDefault="00F72B89" w:rsidP="008D6F38">
            <w:pPr>
              <w:pStyle w:val="TableText"/>
              <w:spacing w:before="60" w:after="40"/>
              <w:rPr>
                <w:rFonts w:eastAsia="SimSun" w:cs="Arial"/>
                <w:sz w:val="20"/>
              </w:rPr>
            </w:pPr>
            <w:r w:rsidRPr="00F72B89">
              <w:rPr>
                <w:rFonts w:eastAsia="SimSun" w:cs="Arial"/>
                <w:sz w:val="20"/>
              </w:rPr>
              <w:t>ECT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56D82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eastAsia="SimSun" w:cs="Arial"/>
                <w:b/>
                <w:sz w:val="20"/>
              </w:rPr>
            </w:pPr>
            <w:r w:rsidRPr="00F72B89">
              <w:rPr>
                <w:rFonts w:cs="Arial"/>
                <w:sz w:val="20"/>
                <w:lang w:eastAsia="zh-CN"/>
              </w:rPr>
              <w:t>6,013</w:t>
            </w:r>
            <w:r w:rsidRPr="00F72B89">
              <w:rPr>
                <w:rFonts w:cs="Arial"/>
                <w:color w:val="000000"/>
                <w:sz w:val="20"/>
              </w:rPr>
              <w:t xml:space="preserve"> (</w:t>
            </w:r>
            <w:r w:rsidRPr="00F72B89">
              <w:rPr>
                <w:rFonts w:cs="Arial"/>
                <w:sz w:val="20"/>
                <w:lang w:eastAsia="zh-CN"/>
              </w:rPr>
              <w:t>409</w:t>
            </w:r>
            <w:r w:rsidRPr="00F72B89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6EC7E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eastAsia="SimSun" w:cs="Arial"/>
                <w:b/>
                <w:sz w:val="20"/>
              </w:rPr>
            </w:pPr>
            <w:r w:rsidRPr="00F72B89">
              <w:rPr>
                <w:rFonts w:eastAsia="SimSun" w:cs="Arial"/>
                <w:sz w:val="20"/>
              </w:rPr>
              <w:t>—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B7691" w14:textId="77777777" w:rsidR="00F72B89" w:rsidRPr="00F72B89" w:rsidRDefault="00F72B89" w:rsidP="008D6F38">
            <w:pPr>
              <w:spacing w:before="60" w:after="40"/>
              <w:jc w:val="center"/>
              <w:rPr>
                <w:rFonts w:ascii="Arial" w:eastAsia="SimSun" w:hAnsi="Arial" w:cs="Arial"/>
                <w:b w:val="0"/>
                <w:sz w:val="20"/>
              </w:rPr>
            </w:pPr>
            <w:r w:rsidRPr="00F72B89">
              <w:rPr>
                <w:rFonts w:ascii="Arial" w:hAnsi="Arial" w:cs="Arial"/>
                <w:b w:val="0"/>
                <w:sz w:val="20"/>
                <w:lang w:val="en-CA" w:eastAsia="zh-CN"/>
              </w:rPr>
              <w:t>0.3231</w:t>
            </w:r>
            <w:r w:rsidRPr="00F72B89">
              <w:rPr>
                <w:rFonts w:ascii="Arial" w:hAnsi="Arial" w:cs="Arial"/>
                <w:b w:val="0"/>
                <w:sz w:val="20"/>
                <w:lang w:val="en-CA" w:eastAsia="en-CA"/>
              </w:rPr>
              <w:t xml:space="preserve"> (</w:t>
            </w:r>
            <w:r w:rsidRPr="00F72B89">
              <w:rPr>
                <w:rFonts w:ascii="Arial" w:hAnsi="Arial" w:cs="Arial"/>
                <w:b w:val="0"/>
                <w:sz w:val="20"/>
                <w:lang w:val="en-CA" w:eastAsia="zh-CN"/>
              </w:rPr>
              <w:t>0.0102</w:t>
            </w:r>
            <w:r w:rsidRPr="00F72B89">
              <w:rPr>
                <w:rFonts w:ascii="Arial" w:hAnsi="Arial" w:cs="Arial"/>
                <w:b w:val="0"/>
                <w:sz w:val="20"/>
                <w:lang w:val="en-CA" w:eastAsia="en-CA"/>
              </w:rPr>
              <w:t>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05585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eastAsia="SimSun" w:cs="Arial"/>
                <w:sz w:val="20"/>
              </w:rPr>
            </w:pPr>
            <w:r w:rsidRPr="00F72B89">
              <w:rPr>
                <w:rFonts w:eastAsia="SimSun" w:cs="Arial"/>
                <w:sz w:val="20"/>
              </w:rPr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D95AC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eastAsia="SimSun" w:cs="Arial"/>
                <w:sz w:val="20"/>
              </w:rPr>
            </w:pPr>
            <w:r w:rsidRPr="00F72B89">
              <w:rPr>
                <w:rFonts w:eastAsia="SimSun" w:cs="Arial"/>
                <w:sz w:val="20"/>
              </w:rPr>
              <w:t>—</w:t>
            </w:r>
          </w:p>
        </w:tc>
      </w:tr>
      <w:tr w:rsidR="00F72B89" w:rsidRPr="00F72B89" w14:paraId="2B6A8326" w14:textId="77777777" w:rsidTr="008D6F38">
        <w:trPr>
          <w:trHeight w:val="257"/>
        </w:trPr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54559B6" w14:textId="77777777" w:rsidR="00F72B89" w:rsidRPr="00F72B89" w:rsidRDefault="00F72B89" w:rsidP="008D6F38">
            <w:pPr>
              <w:pStyle w:val="TableText"/>
              <w:spacing w:before="60" w:after="40"/>
              <w:rPr>
                <w:rFonts w:eastAsia="SimSun" w:cs="Arial"/>
                <w:sz w:val="20"/>
              </w:rPr>
            </w:pPr>
            <w:proofErr w:type="spellStart"/>
            <w:r w:rsidRPr="00F72B89">
              <w:rPr>
                <w:rFonts w:eastAsia="SimSun" w:cs="Arial"/>
                <w:sz w:val="20"/>
              </w:rPr>
              <w:t>rTMS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08F54AA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cs="Arial"/>
                <w:color w:val="000000"/>
                <w:sz w:val="20"/>
              </w:rPr>
            </w:pPr>
            <w:r w:rsidRPr="00F72B89">
              <w:rPr>
                <w:rFonts w:cs="Arial"/>
                <w:sz w:val="20"/>
                <w:lang w:eastAsia="zh-CN"/>
              </w:rPr>
              <w:t>5,275</w:t>
            </w:r>
            <w:r w:rsidRPr="00F72B89">
              <w:rPr>
                <w:rFonts w:cs="Arial"/>
                <w:color w:val="000000"/>
                <w:sz w:val="20"/>
              </w:rPr>
              <w:t xml:space="preserve"> (502)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5AFC46B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cs="Arial"/>
                <w:sz w:val="20"/>
              </w:rPr>
            </w:pPr>
            <w:r w:rsidRPr="00F72B89">
              <w:rPr>
                <w:rFonts w:cs="Arial"/>
                <w:sz w:val="20"/>
              </w:rPr>
              <w:t>−</w:t>
            </w:r>
            <w:r w:rsidRPr="00F72B89">
              <w:rPr>
                <w:rFonts w:cs="Arial"/>
                <w:sz w:val="20"/>
                <w:lang w:eastAsia="zh-CN"/>
              </w:rPr>
              <w:t>738</w:t>
            </w:r>
            <w:r w:rsidRPr="00F72B89">
              <w:rPr>
                <w:rFonts w:cs="Arial"/>
                <w:color w:val="000000"/>
                <w:sz w:val="20"/>
              </w:rPr>
              <w:t xml:space="preserve"> (228)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30EFB5D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cs="Arial"/>
                <w:color w:val="000000"/>
                <w:sz w:val="20"/>
              </w:rPr>
            </w:pPr>
            <w:r w:rsidRPr="00F72B89">
              <w:rPr>
                <w:rFonts w:cs="Arial"/>
                <w:sz w:val="20"/>
                <w:lang w:eastAsia="zh-CN"/>
              </w:rPr>
              <w:t>0.3056</w:t>
            </w:r>
            <w:r w:rsidRPr="00F72B89">
              <w:rPr>
                <w:rFonts w:cs="Arial"/>
                <w:sz w:val="20"/>
                <w:lang w:eastAsia="en-CA"/>
              </w:rPr>
              <w:t xml:space="preserve"> (</w:t>
            </w:r>
            <w:r w:rsidRPr="00F72B89">
              <w:rPr>
                <w:rFonts w:cs="Arial"/>
                <w:sz w:val="20"/>
                <w:lang w:eastAsia="zh-CN"/>
              </w:rPr>
              <w:t>0.0134</w:t>
            </w:r>
            <w:r w:rsidRPr="00F72B89">
              <w:rPr>
                <w:rFonts w:cs="Arial"/>
                <w:sz w:val="20"/>
                <w:lang w:eastAsia="en-CA"/>
              </w:rPr>
              <w:t>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0CDE4FE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eastAsia="SimSun" w:cs="Arial"/>
                <w:sz w:val="20"/>
              </w:rPr>
            </w:pPr>
            <w:r w:rsidRPr="00F72B89">
              <w:rPr>
                <w:rFonts w:cs="Arial"/>
                <w:sz w:val="20"/>
              </w:rPr>
              <w:t>−</w:t>
            </w:r>
            <w:r w:rsidRPr="00F72B89">
              <w:rPr>
                <w:rFonts w:cs="Arial"/>
                <w:sz w:val="20"/>
                <w:lang w:eastAsia="zh-CN"/>
              </w:rPr>
              <w:t>0.0175</w:t>
            </w:r>
            <w:r w:rsidRPr="00F72B89">
              <w:rPr>
                <w:rFonts w:cs="Arial"/>
                <w:sz w:val="20"/>
                <w:lang w:eastAsia="en-CA"/>
              </w:rPr>
              <w:t xml:space="preserve"> (</w:t>
            </w:r>
            <w:r w:rsidRPr="00F72B89">
              <w:rPr>
                <w:rFonts w:cs="Arial"/>
                <w:sz w:val="20"/>
                <w:lang w:eastAsia="zh-CN"/>
              </w:rPr>
              <w:t>0.0092</w:t>
            </w:r>
            <w:r w:rsidRPr="00F72B89">
              <w:rPr>
                <w:rFonts w:cs="Arial"/>
                <w:sz w:val="20"/>
                <w:lang w:eastAsia="en-CA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5D6C5AE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cs="Arial"/>
                <w:sz w:val="20"/>
              </w:rPr>
            </w:pPr>
            <w:r w:rsidRPr="00F72B89">
              <w:rPr>
                <w:rFonts w:cs="Arial"/>
                <w:sz w:val="20"/>
              </w:rPr>
              <w:t>$42,193</w:t>
            </w:r>
          </w:p>
        </w:tc>
      </w:tr>
    </w:tbl>
    <w:p w14:paraId="3036019A" w14:textId="77777777" w:rsidR="00F72B89" w:rsidRPr="00F72B89" w:rsidRDefault="00F72B89" w:rsidP="00F72B89">
      <w:pPr>
        <w:rPr>
          <w:rFonts w:ascii="Arial" w:hAnsi="Arial" w:cs="Arial"/>
          <w:b w:val="0"/>
          <w:sz w:val="20"/>
          <w:lang w:val="en-CA"/>
        </w:rPr>
      </w:pPr>
      <w:r w:rsidRPr="00F72B89">
        <w:rPr>
          <w:rFonts w:ascii="Arial" w:eastAsia="SimSun" w:hAnsi="Arial" w:cs="Arial"/>
          <w:b w:val="0"/>
          <w:sz w:val="20"/>
        </w:rPr>
        <w:t xml:space="preserve">Abbreviations: ECT, electroconvulsive therapy; QALY, quality-adjusted life-year; </w:t>
      </w:r>
      <w:proofErr w:type="spellStart"/>
      <w:r w:rsidRPr="00F72B89">
        <w:rPr>
          <w:rFonts w:ascii="Arial" w:eastAsia="SimSun" w:hAnsi="Arial" w:cs="Arial"/>
          <w:b w:val="0"/>
          <w:sz w:val="20"/>
        </w:rPr>
        <w:t>rTMS</w:t>
      </w:r>
      <w:proofErr w:type="spellEnd"/>
      <w:r w:rsidRPr="00F72B89">
        <w:rPr>
          <w:rFonts w:ascii="Arial" w:eastAsia="SimSun" w:hAnsi="Arial" w:cs="Arial"/>
          <w:b w:val="0"/>
          <w:sz w:val="20"/>
        </w:rPr>
        <w:t>, repetitive transcranial magnetic stimulation.</w:t>
      </w:r>
      <w:r w:rsidRPr="00F72B89">
        <w:rPr>
          <w:rFonts w:ascii="Arial" w:hAnsi="Arial" w:cs="Arial"/>
          <w:b w:val="0"/>
          <w:sz w:val="20"/>
          <w:lang w:val="en-CA"/>
        </w:rPr>
        <w:t xml:space="preserve"> </w:t>
      </w:r>
    </w:p>
    <w:p w14:paraId="22E83EA6" w14:textId="77777777" w:rsidR="00F72B89" w:rsidRPr="00F72B89" w:rsidRDefault="00F72B89" w:rsidP="00F72B89">
      <w:pPr>
        <w:rPr>
          <w:rFonts w:ascii="Arial" w:hAnsi="Arial" w:cs="Arial"/>
          <w:b w:val="0"/>
          <w:sz w:val="20"/>
          <w:lang w:val="en-CA"/>
        </w:rPr>
      </w:pPr>
      <w:r w:rsidRPr="00F72B89">
        <w:rPr>
          <w:rFonts w:ascii="Arial" w:hAnsi="Arial" w:cs="Arial"/>
          <w:b w:val="0"/>
          <w:sz w:val="20"/>
          <w:lang w:val="en-CA"/>
        </w:rPr>
        <w:t>Results were expressed in mean (standard deviation).</w:t>
      </w:r>
    </w:p>
    <w:p w14:paraId="42B827A4" w14:textId="0667AE69" w:rsidR="00F72B89" w:rsidRDefault="00F72B89" w:rsidP="00F72B89">
      <w:pPr>
        <w:pStyle w:val="TableFootnote"/>
        <w:rPr>
          <w:rFonts w:cs="Arial"/>
          <w:sz w:val="20"/>
          <w:szCs w:val="20"/>
        </w:rPr>
      </w:pPr>
      <w:proofErr w:type="spellStart"/>
      <w:r w:rsidRPr="00F72B89">
        <w:rPr>
          <w:rFonts w:cs="Arial"/>
          <w:sz w:val="20"/>
          <w:szCs w:val="20"/>
          <w:vertAlign w:val="superscript"/>
        </w:rPr>
        <w:t>a</w:t>
      </w:r>
      <w:r w:rsidRPr="00F72B89">
        <w:rPr>
          <w:rFonts w:cs="Arial"/>
          <w:sz w:val="20"/>
          <w:szCs w:val="20"/>
        </w:rPr>
        <w:t>All</w:t>
      </w:r>
      <w:proofErr w:type="spellEnd"/>
      <w:r w:rsidRPr="00F72B89">
        <w:rPr>
          <w:rFonts w:cs="Arial"/>
          <w:sz w:val="20"/>
          <w:szCs w:val="20"/>
        </w:rPr>
        <w:t xml:space="preserve"> costs are 2016 Canadian dollars.</w:t>
      </w:r>
    </w:p>
    <w:p w14:paraId="529AAADD" w14:textId="77777777" w:rsidR="0015557E" w:rsidRPr="0015557E" w:rsidRDefault="0015557E" w:rsidP="0015557E">
      <w:pPr>
        <w:rPr>
          <w:lang w:val="en-CA"/>
        </w:rPr>
      </w:pPr>
    </w:p>
    <w:p w14:paraId="2DD5A767" w14:textId="1299CD62" w:rsidR="0015557E" w:rsidRDefault="0015557E">
      <w:pPr>
        <w:spacing w:after="160" w:line="259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p w14:paraId="3168EE10" w14:textId="77777777" w:rsidR="00F72B89" w:rsidRDefault="00F72B89" w:rsidP="00F72B89">
      <w:pPr>
        <w:rPr>
          <w:rFonts w:ascii="Arial" w:hAnsi="Arial" w:cs="Arial"/>
          <w:lang w:val="en-CA"/>
        </w:rPr>
      </w:pPr>
    </w:p>
    <w:p w14:paraId="5DC7359C" w14:textId="4357C82C" w:rsidR="00F44595" w:rsidRPr="00EB291A" w:rsidRDefault="007A7D19" w:rsidP="00C72B0F">
      <w:pPr>
        <w:spacing w:after="120" w:line="288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Cs w:val="24"/>
          <w:lang w:val="en-CA" w:eastAsia="zh-CN"/>
        </w:rPr>
        <w:drawing>
          <wp:inline distT="0" distB="0" distL="0" distR="0" wp14:anchorId="2C1D731A" wp14:editId="5048885F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1_Oct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595" w:rsidRPr="007A7D19">
        <w:rPr>
          <w:rFonts w:ascii="Arial" w:hAnsi="Arial" w:cs="Arial"/>
          <w:color w:val="000000"/>
          <w:sz w:val="22"/>
          <w:szCs w:val="22"/>
        </w:rPr>
        <w:t xml:space="preserve">Figure </w:t>
      </w:r>
      <w:r w:rsidR="002F038C">
        <w:rPr>
          <w:rFonts w:ascii="Arial" w:hAnsi="Arial" w:cs="Arial"/>
          <w:color w:val="000000"/>
          <w:sz w:val="22"/>
          <w:szCs w:val="22"/>
        </w:rPr>
        <w:t>S</w:t>
      </w:r>
      <w:r w:rsidR="00F44595" w:rsidRPr="007A7D19">
        <w:rPr>
          <w:rFonts w:ascii="Arial" w:hAnsi="Arial" w:cs="Arial"/>
          <w:color w:val="000000"/>
          <w:sz w:val="22"/>
          <w:szCs w:val="22"/>
        </w:rPr>
        <w:t xml:space="preserve">1: Cost-effectiveness plane: the incremental cost and QALY gained of </w:t>
      </w:r>
      <w:proofErr w:type="spellStart"/>
      <w:r w:rsidR="00F44595" w:rsidRPr="007A7D19">
        <w:rPr>
          <w:rFonts w:ascii="Arial" w:hAnsi="Arial" w:cs="Arial"/>
          <w:color w:val="000000"/>
          <w:sz w:val="22"/>
          <w:szCs w:val="22"/>
        </w:rPr>
        <w:t>rTMS</w:t>
      </w:r>
      <w:proofErr w:type="spellEnd"/>
      <w:r w:rsidR="00F44595" w:rsidRPr="007A7D19">
        <w:rPr>
          <w:rFonts w:ascii="Arial" w:hAnsi="Arial" w:cs="Arial"/>
          <w:color w:val="000000"/>
          <w:sz w:val="22"/>
          <w:szCs w:val="22"/>
        </w:rPr>
        <w:t xml:space="preserve"> versus ECT</w:t>
      </w:r>
    </w:p>
    <w:p w14:paraId="3E60961D" w14:textId="287E07B2" w:rsidR="00F44595" w:rsidRPr="00EB291A" w:rsidRDefault="00F44595" w:rsidP="00C72B0F">
      <w:pPr>
        <w:spacing w:after="120" w:line="288" w:lineRule="auto"/>
        <w:jc w:val="both"/>
        <w:rPr>
          <w:rFonts w:ascii="Arial" w:eastAsiaTheme="minorEastAsia" w:hAnsi="Arial" w:cs="Arial"/>
          <w:b w:val="0"/>
          <w:color w:val="000000"/>
          <w:sz w:val="22"/>
          <w:szCs w:val="22"/>
          <w:lang w:val="en-US" w:eastAsia="zh-CN"/>
        </w:rPr>
      </w:pPr>
      <w:r w:rsidRPr="00EB291A">
        <w:rPr>
          <w:rFonts w:ascii="Arial" w:hAnsi="Arial" w:cs="Arial"/>
          <w:b w:val="0"/>
          <w:color w:val="000000"/>
          <w:sz w:val="22"/>
          <w:szCs w:val="22"/>
        </w:rPr>
        <w:t xml:space="preserve">The triangle in the centre of the dots indicates the base case scenario. Each dot surrounding the triangle represents a single result from the simulation, presenting the incremental effects and incremental costs of </w:t>
      </w:r>
      <w:proofErr w:type="spellStart"/>
      <w:r w:rsidRPr="00EB291A">
        <w:rPr>
          <w:rFonts w:ascii="Arial" w:hAnsi="Arial" w:cs="Arial"/>
          <w:b w:val="0"/>
          <w:color w:val="000000"/>
          <w:sz w:val="22"/>
          <w:szCs w:val="22"/>
        </w:rPr>
        <w:t>rTMS</w:t>
      </w:r>
      <w:proofErr w:type="spellEnd"/>
      <w:r w:rsidRPr="00EB291A">
        <w:rPr>
          <w:rFonts w:ascii="Arial" w:hAnsi="Arial" w:cs="Arial"/>
          <w:b w:val="0"/>
          <w:color w:val="000000"/>
          <w:sz w:val="22"/>
          <w:szCs w:val="22"/>
        </w:rPr>
        <w:t xml:space="preserve"> versus ECT. The </w:t>
      </w:r>
      <w:r w:rsidRPr="00EB291A">
        <w:rPr>
          <w:rFonts w:ascii="Arial" w:eastAsiaTheme="minorEastAsia" w:hAnsi="Arial" w:cs="Arial"/>
          <w:b w:val="0"/>
          <w:color w:val="000000"/>
          <w:sz w:val="22"/>
          <w:szCs w:val="22"/>
          <w:lang w:eastAsia="zh-CN"/>
        </w:rPr>
        <w:t>threshold line correspond</w:t>
      </w:r>
      <w:r w:rsidR="00D56F49">
        <w:rPr>
          <w:rFonts w:ascii="Arial" w:eastAsiaTheme="minorEastAsia" w:hAnsi="Arial" w:cs="Arial"/>
          <w:b w:val="0"/>
          <w:color w:val="000000"/>
          <w:sz w:val="22"/>
          <w:szCs w:val="22"/>
          <w:lang w:eastAsia="zh-CN"/>
        </w:rPr>
        <w:t>s</w:t>
      </w:r>
      <w:r w:rsidRPr="00EB291A">
        <w:rPr>
          <w:rFonts w:ascii="Arial" w:eastAsiaTheme="minorEastAsia" w:hAnsi="Arial" w:cs="Arial"/>
          <w:b w:val="0"/>
          <w:color w:val="000000"/>
          <w:sz w:val="22"/>
          <w:szCs w:val="22"/>
          <w:lang w:eastAsia="zh-CN"/>
        </w:rPr>
        <w:t xml:space="preserve"> to an ICER of $50,000 per QALY gained. </w:t>
      </w:r>
    </w:p>
    <w:p w14:paraId="1A6B9FD1" w14:textId="77777777" w:rsidR="00F44595" w:rsidRPr="00EB291A" w:rsidRDefault="00F44595" w:rsidP="00C72B0F">
      <w:pPr>
        <w:spacing w:after="120" w:line="288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291A">
        <w:rPr>
          <w:rFonts w:ascii="Arial" w:hAnsi="Arial" w:cs="Arial"/>
          <w:b w:val="0"/>
          <w:sz w:val="22"/>
          <w:szCs w:val="22"/>
        </w:rPr>
        <w:t xml:space="preserve">Abbreviations: </w:t>
      </w:r>
      <w:proofErr w:type="spellStart"/>
      <w:r w:rsidRPr="00EB291A">
        <w:rPr>
          <w:rFonts w:ascii="Arial" w:hAnsi="Arial" w:cs="Arial"/>
          <w:b w:val="0"/>
          <w:color w:val="000000"/>
          <w:sz w:val="22"/>
          <w:szCs w:val="22"/>
        </w:rPr>
        <w:t>rTMS</w:t>
      </w:r>
      <w:proofErr w:type="spellEnd"/>
      <w:r w:rsidRPr="00EB291A">
        <w:rPr>
          <w:rFonts w:ascii="Arial" w:hAnsi="Arial" w:cs="Arial"/>
          <w:b w:val="0"/>
          <w:color w:val="000000"/>
          <w:sz w:val="22"/>
          <w:szCs w:val="22"/>
        </w:rPr>
        <w:t xml:space="preserve"> = </w:t>
      </w:r>
      <w:r w:rsidRPr="00EB291A">
        <w:rPr>
          <w:rFonts w:ascii="Arial" w:hAnsi="Arial" w:cs="Arial"/>
          <w:b w:val="0"/>
          <w:sz w:val="22"/>
          <w:szCs w:val="22"/>
        </w:rPr>
        <w:t>repetitive transcranial magnetic stimulation</w:t>
      </w:r>
      <w:r w:rsidRPr="00EB291A">
        <w:rPr>
          <w:rFonts w:ascii="Arial" w:hAnsi="Arial" w:cs="Arial"/>
          <w:b w:val="0"/>
          <w:color w:val="000000"/>
          <w:sz w:val="22"/>
          <w:szCs w:val="22"/>
        </w:rPr>
        <w:t xml:space="preserve">, ECT = </w:t>
      </w:r>
      <w:r w:rsidRPr="00EB291A">
        <w:rPr>
          <w:rFonts w:ascii="Arial" w:hAnsi="Arial" w:cs="Arial"/>
          <w:b w:val="0"/>
          <w:sz w:val="22"/>
          <w:szCs w:val="22"/>
        </w:rPr>
        <w:t>electroconvulsive therapy</w:t>
      </w:r>
      <w:r w:rsidRPr="00EB291A">
        <w:rPr>
          <w:rFonts w:ascii="Arial" w:hAnsi="Arial" w:cs="Arial"/>
          <w:b w:val="0"/>
          <w:color w:val="000000"/>
          <w:sz w:val="22"/>
          <w:szCs w:val="22"/>
        </w:rPr>
        <w:t>, QALY = quality-adjusted life-year.</w:t>
      </w:r>
    </w:p>
    <w:p w14:paraId="32FD6A5D" w14:textId="09A475C6" w:rsidR="00F44595" w:rsidRDefault="00F44595" w:rsidP="00F44595">
      <w:pPr>
        <w:spacing w:after="120" w:line="288" w:lineRule="auto"/>
        <w:rPr>
          <w:rFonts w:ascii="Calibri" w:hAnsi="Calibri"/>
          <w:b w:val="0"/>
          <w:szCs w:val="24"/>
        </w:rPr>
      </w:pPr>
    </w:p>
    <w:p w14:paraId="0546F337" w14:textId="0DED46FF" w:rsidR="007A7D19" w:rsidRDefault="007A7D19" w:rsidP="00F44595">
      <w:pPr>
        <w:spacing w:after="120" w:line="288" w:lineRule="auto"/>
        <w:rPr>
          <w:rFonts w:ascii="Calibri" w:hAnsi="Calibri"/>
          <w:b w:val="0"/>
          <w:szCs w:val="24"/>
        </w:rPr>
      </w:pPr>
    </w:p>
    <w:p w14:paraId="62C95916" w14:textId="77777777" w:rsidR="007A7D19" w:rsidRDefault="007A7D19" w:rsidP="00F44595">
      <w:pPr>
        <w:spacing w:after="120" w:line="288" w:lineRule="auto"/>
        <w:rPr>
          <w:rFonts w:ascii="Calibri" w:hAnsi="Calibri"/>
          <w:b w:val="0"/>
          <w:szCs w:val="24"/>
        </w:rPr>
      </w:pPr>
    </w:p>
    <w:p w14:paraId="7046349C" w14:textId="2DB57EDE" w:rsidR="00F44595" w:rsidRDefault="00F44595" w:rsidP="00F72B89">
      <w:pPr>
        <w:rPr>
          <w:rFonts w:ascii="Arial" w:hAnsi="Arial" w:cs="Arial"/>
          <w:sz w:val="22"/>
          <w:szCs w:val="22"/>
        </w:rPr>
      </w:pPr>
    </w:p>
    <w:p w14:paraId="26D0E53D" w14:textId="36F71FCA" w:rsidR="00C72B0F" w:rsidRDefault="00C72B0F" w:rsidP="00F72B89">
      <w:pPr>
        <w:rPr>
          <w:rFonts w:ascii="Arial" w:hAnsi="Arial" w:cs="Arial"/>
          <w:sz w:val="22"/>
          <w:szCs w:val="22"/>
        </w:rPr>
      </w:pPr>
    </w:p>
    <w:p w14:paraId="418B5EED" w14:textId="1AC57C12" w:rsidR="00C72B0F" w:rsidRDefault="00C72B0F" w:rsidP="00F72B89">
      <w:pPr>
        <w:rPr>
          <w:rFonts w:ascii="Arial" w:hAnsi="Arial" w:cs="Arial"/>
          <w:sz w:val="22"/>
          <w:szCs w:val="22"/>
        </w:rPr>
      </w:pPr>
    </w:p>
    <w:p w14:paraId="25358D71" w14:textId="127FE5CB" w:rsidR="00C72B0F" w:rsidRDefault="00C72B0F" w:rsidP="00F72B89">
      <w:pPr>
        <w:rPr>
          <w:rFonts w:ascii="Arial" w:hAnsi="Arial" w:cs="Arial"/>
          <w:sz w:val="22"/>
          <w:szCs w:val="22"/>
        </w:rPr>
      </w:pPr>
    </w:p>
    <w:p w14:paraId="4F9F69FF" w14:textId="31B23FE4" w:rsidR="00C72B0F" w:rsidRDefault="00C72B0F" w:rsidP="00F72B89">
      <w:pPr>
        <w:rPr>
          <w:rFonts w:ascii="Arial" w:hAnsi="Arial" w:cs="Arial"/>
          <w:sz w:val="22"/>
          <w:szCs w:val="22"/>
        </w:rPr>
      </w:pPr>
    </w:p>
    <w:p w14:paraId="1E49E905" w14:textId="147D1A78" w:rsidR="00C72B0F" w:rsidRDefault="00C72B0F" w:rsidP="00F72B89">
      <w:pPr>
        <w:rPr>
          <w:rFonts w:ascii="Arial" w:hAnsi="Arial" w:cs="Arial"/>
          <w:sz w:val="22"/>
          <w:szCs w:val="22"/>
        </w:rPr>
      </w:pPr>
    </w:p>
    <w:p w14:paraId="1E6D232B" w14:textId="77777777" w:rsidR="00C72B0F" w:rsidRPr="00F72B89" w:rsidRDefault="00C72B0F" w:rsidP="00F72B89">
      <w:pPr>
        <w:rPr>
          <w:rFonts w:ascii="Arial" w:hAnsi="Arial" w:cs="Arial"/>
          <w:sz w:val="22"/>
          <w:szCs w:val="22"/>
        </w:rPr>
      </w:pPr>
    </w:p>
    <w:p w14:paraId="43C7898F" w14:textId="6B8D770C" w:rsidR="00F72B89" w:rsidRPr="00F72B89" w:rsidRDefault="00F72B89" w:rsidP="00F72B89">
      <w:pPr>
        <w:rPr>
          <w:rFonts w:ascii="Arial" w:hAnsi="Arial" w:cs="Arial"/>
          <w:sz w:val="22"/>
          <w:szCs w:val="22"/>
        </w:rPr>
      </w:pPr>
      <w:r w:rsidRPr="001E3B5B">
        <w:rPr>
          <w:rFonts w:ascii="Arial" w:hAnsi="Arial" w:cs="Arial"/>
          <w:sz w:val="22"/>
          <w:szCs w:val="22"/>
        </w:rPr>
        <w:t xml:space="preserve">Section 3: </w:t>
      </w:r>
      <w:r w:rsidR="00C72B0F" w:rsidRPr="001E3B5B">
        <w:rPr>
          <w:rFonts w:ascii="Arial" w:hAnsi="Arial" w:cs="Arial"/>
          <w:sz w:val="22"/>
          <w:szCs w:val="22"/>
        </w:rPr>
        <w:t>Additional</w:t>
      </w:r>
      <w:r w:rsidRPr="001E3B5B">
        <w:rPr>
          <w:rFonts w:ascii="Arial" w:hAnsi="Arial" w:cs="Arial"/>
          <w:sz w:val="22"/>
          <w:szCs w:val="22"/>
        </w:rPr>
        <w:t xml:space="preserve"> results from New Non-Inferiority and Cost-Effectiveness Framework</w:t>
      </w:r>
    </w:p>
    <w:p w14:paraId="14D2B9FF" w14:textId="77777777" w:rsidR="001879F8" w:rsidRDefault="001879F8" w:rsidP="001879F8">
      <w:pPr>
        <w:spacing w:after="120" w:line="288" w:lineRule="auto"/>
        <w:jc w:val="both"/>
        <w:rPr>
          <w:rFonts w:ascii="Arial" w:eastAsia="SimSun" w:hAnsi="Arial" w:cs="Arial"/>
          <w:b w:val="0"/>
          <w:sz w:val="14"/>
          <w:szCs w:val="14"/>
        </w:rPr>
      </w:pPr>
    </w:p>
    <w:p w14:paraId="73362182" w14:textId="6BED1E1C" w:rsidR="001879F8" w:rsidRDefault="00F92626" w:rsidP="001879F8">
      <w:pPr>
        <w:spacing w:after="120" w:line="288" w:lineRule="auto"/>
        <w:jc w:val="both"/>
        <w:rPr>
          <w:rFonts w:ascii="Arial" w:eastAsia="SimSun" w:hAnsi="Arial" w:cs="Arial"/>
          <w:b w:val="0"/>
          <w:sz w:val="14"/>
          <w:szCs w:val="14"/>
        </w:rPr>
      </w:pPr>
      <w:r>
        <w:rPr>
          <w:rFonts w:ascii="Arial" w:eastAsia="SimSun" w:hAnsi="Arial" w:cs="Arial"/>
          <w:b w:val="0"/>
          <w:noProof/>
          <w:sz w:val="14"/>
          <w:szCs w:val="14"/>
        </w:rPr>
        <w:drawing>
          <wp:inline distT="0" distB="0" distL="0" distR="0" wp14:anchorId="02A90C9D" wp14:editId="5809A8D0">
            <wp:extent cx="5943600" cy="371475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EAC_F2_Dec201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06911" w14:textId="77777777" w:rsidR="001879F8" w:rsidRDefault="001879F8" w:rsidP="001879F8">
      <w:pPr>
        <w:spacing w:after="120" w:line="288" w:lineRule="auto"/>
        <w:jc w:val="both"/>
        <w:rPr>
          <w:rFonts w:ascii="Arial" w:eastAsia="SimSun" w:hAnsi="Arial" w:cs="Arial"/>
          <w:b w:val="0"/>
          <w:sz w:val="14"/>
          <w:szCs w:val="14"/>
        </w:rPr>
      </w:pPr>
    </w:p>
    <w:p w14:paraId="783380F7" w14:textId="286AA107" w:rsidR="00147650" w:rsidRPr="00EB291A" w:rsidRDefault="00147650" w:rsidP="00993811">
      <w:pPr>
        <w:spacing w:after="120" w:line="288" w:lineRule="auto"/>
        <w:jc w:val="both"/>
        <w:rPr>
          <w:rFonts w:ascii="Arial" w:hAnsi="Arial" w:cs="Arial"/>
          <w:b w:val="0"/>
          <w:sz w:val="22"/>
          <w:szCs w:val="22"/>
        </w:rPr>
      </w:pPr>
      <w:r w:rsidRPr="006209BA">
        <w:rPr>
          <w:rFonts w:ascii="Arial" w:hAnsi="Arial" w:cs="Arial"/>
          <w:color w:val="000000"/>
          <w:sz w:val="22"/>
          <w:szCs w:val="22"/>
        </w:rPr>
        <w:t xml:space="preserve">Figure </w:t>
      </w:r>
      <w:r w:rsidR="007B1696">
        <w:rPr>
          <w:rFonts w:ascii="Arial" w:hAnsi="Arial" w:cs="Arial"/>
          <w:color w:val="000000"/>
          <w:sz w:val="22"/>
          <w:szCs w:val="22"/>
        </w:rPr>
        <w:t>S</w:t>
      </w:r>
      <w:r w:rsidR="00EA6779">
        <w:rPr>
          <w:rFonts w:ascii="Arial" w:hAnsi="Arial" w:cs="Arial"/>
          <w:color w:val="000000"/>
          <w:sz w:val="22"/>
          <w:szCs w:val="22"/>
        </w:rPr>
        <w:t>2</w:t>
      </w:r>
      <w:r w:rsidRPr="006209BA">
        <w:rPr>
          <w:rFonts w:ascii="Arial" w:hAnsi="Arial" w:cs="Arial"/>
          <w:color w:val="000000"/>
          <w:sz w:val="22"/>
          <w:szCs w:val="22"/>
        </w:rPr>
        <w:t xml:space="preserve">: Modified cost-effectiveness acceptability curve: Probability of cost-effectiveness versus the threshold of effect </w:t>
      </w:r>
      <w:r w:rsidRPr="006209BA">
        <w:rPr>
          <w:rFonts w:ascii="Arial" w:hAnsi="Arial" w:cs="Arial"/>
          <w:sz w:val="22"/>
          <w:szCs w:val="22"/>
        </w:rPr>
        <w:t xml:space="preserve">preserved of </w:t>
      </w:r>
      <w:proofErr w:type="spellStart"/>
      <w:r w:rsidRPr="006209BA">
        <w:rPr>
          <w:rFonts w:ascii="Arial" w:hAnsi="Arial" w:cs="Arial"/>
          <w:sz w:val="22"/>
          <w:szCs w:val="22"/>
        </w:rPr>
        <w:t>rTMS</w:t>
      </w:r>
      <w:proofErr w:type="spellEnd"/>
      <w:r w:rsidRPr="006209BA">
        <w:rPr>
          <w:rFonts w:ascii="Arial" w:hAnsi="Arial" w:cs="Arial"/>
          <w:sz w:val="22"/>
          <w:szCs w:val="22"/>
        </w:rPr>
        <w:t>.</w:t>
      </w:r>
      <w:r w:rsidRPr="00EB291A">
        <w:rPr>
          <w:rFonts w:ascii="Arial" w:hAnsi="Arial" w:cs="Arial"/>
          <w:b w:val="0"/>
          <w:sz w:val="22"/>
          <w:szCs w:val="22"/>
        </w:rPr>
        <w:t xml:space="preserve"> Cost-effectiveness was determined based on two criteria: meeting the threshold of effect</w:t>
      </w:r>
      <w:r w:rsidR="004D1991">
        <w:rPr>
          <w:rFonts w:ascii="Arial" w:hAnsi="Arial" w:cs="Arial"/>
          <w:b w:val="0"/>
          <w:sz w:val="22"/>
          <w:szCs w:val="22"/>
        </w:rPr>
        <w:t>iveness</w:t>
      </w:r>
      <w:r w:rsidRPr="00EB291A">
        <w:rPr>
          <w:rFonts w:ascii="Arial" w:hAnsi="Arial" w:cs="Arial"/>
          <w:b w:val="0"/>
          <w:sz w:val="22"/>
          <w:szCs w:val="22"/>
        </w:rPr>
        <w:t xml:space="preserve"> preserved and a positive net monetary benefit at a given WTP.</w:t>
      </w:r>
    </w:p>
    <w:p w14:paraId="6AE76E47" w14:textId="77777777" w:rsidR="00147650" w:rsidRPr="00EB291A" w:rsidRDefault="00147650" w:rsidP="00993811">
      <w:pPr>
        <w:spacing w:after="120" w:line="288" w:lineRule="auto"/>
        <w:jc w:val="both"/>
        <w:rPr>
          <w:rFonts w:ascii="Arial" w:hAnsi="Arial" w:cs="Arial"/>
          <w:b w:val="0"/>
          <w:sz w:val="22"/>
          <w:szCs w:val="22"/>
        </w:rPr>
      </w:pPr>
      <w:r w:rsidRPr="00EB291A">
        <w:rPr>
          <w:rFonts w:ascii="Arial" w:hAnsi="Arial" w:cs="Arial"/>
          <w:b w:val="0"/>
          <w:sz w:val="22"/>
          <w:szCs w:val="22"/>
        </w:rPr>
        <w:t>Note: When the WTP is $0, cost-effectiveness was determined using two criteria of: meeting the threshold of effect preserved and cost-saving for the new intervention.</w:t>
      </w:r>
    </w:p>
    <w:p w14:paraId="4B7E7F05" w14:textId="77777777" w:rsidR="00147650" w:rsidRPr="00EB291A" w:rsidRDefault="00147650" w:rsidP="00993811">
      <w:pPr>
        <w:spacing w:after="120" w:line="288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B291A">
        <w:rPr>
          <w:rFonts w:ascii="Arial" w:hAnsi="Arial" w:cs="Arial"/>
          <w:b w:val="0"/>
          <w:sz w:val="22"/>
          <w:szCs w:val="22"/>
        </w:rPr>
        <w:t xml:space="preserve">Abbreviations: </w:t>
      </w:r>
      <w:proofErr w:type="spellStart"/>
      <w:r w:rsidRPr="00EB291A">
        <w:rPr>
          <w:rFonts w:ascii="Arial" w:hAnsi="Arial" w:cs="Arial"/>
          <w:b w:val="0"/>
          <w:color w:val="000000"/>
          <w:sz w:val="22"/>
          <w:szCs w:val="22"/>
        </w:rPr>
        <w:t>rTMS</w:t>
      </w:r>
      <w:proofErr w:type="spellEnd"/>
      <w:r w:rsidRPr="00EB291A">
        <w:rPr>
          <w:rFonts w:ascii="Arial" w:hAnsi="Arial" w:cs="Arial"/>
          <w:b w:val="0"/>
          <w:color w:val="000000"/>
          <w:sz w:val="22"/>
          <w:szCs w:val="22"/>
        </w:rPr>
        <w:t xml:space="preserve"> = </w:t>
      </w:r>
      <w:r w:rsidRPr="00EB291A">
        <w:rPr>
          <w:rFonts w:ascii="Arial" w:hAnsi="Arial" w:cs="Arial"/>
          <w:b w:val="0"/>
          <w:sz w:val="22"/>
          <w:szCs w:val="22"/>
        </w:rPr>
        <w:t>repetitive transcranial magnetic stimulation</w:t>
      </w:r>
      <w:r w:rsidRPr="00EB291A">
        <w:rPr>
          <w:rFonts w:ascii="Arial" w:hAnsi="Arial" w:cs="Arial"/>
          <w:b w:val="0"/>
          <w:color w:val="000000"/>
          <w:sz w:val="22"/>
          <w:szCs w:val="22"/>
        </w:rPr>
        <w:t xml:space="preserve">, ECT = </w:t>
      </w:r>
      <w:r w:rsidRPr="00EB291A">
        <w:rPr>
          <w:rFonts w:ascii="Arial" w:hAnsi="Arial" w:cs="Arial"/>
          <w:b w:val="0"/>
          <w:sz w:val="22"/>
          <w:szCs w:val="22"/>
        </w:rPr>
        <w:t>electroconvulsive therapy</w:t>
      </w:r>
      <w:r w:rsidRPr="00EB291A">
        <w:rPr>
          <w:rFonts w:ascii="Arial" w:hAnsi="Arial" w:cs="Arial"/>
          <w:b w:val="0"/>
          <w:color w:val="000000"/>
          <w:sz w:val="22"/>
          <w:szCs w:val="22"/>
        </w:rPr>
        <w:t>, WTP = willingness to pay, QALY = quality-adjusted life-year.</w:t>
      </w:r>
    </w:p>
    <w:p w14:paraId="7C2917B4" w14:textId="7305E123" w:rsidR="001879F8" w:rsidRDefault="001879F8" w:rsidP="00F72B89">
      <w:pPr>
        <w:spacing w:after="160" w:line="259" w:lineRule="auto"/>
        <w:rPr>
          <w:rFonts w:ascii="Arial" w:hAnsi="Arial" w:cs="Arial"/>
          <w:color w:val="000000"/>
          <w:szCs w:val="24"/>
        </w:rPr>
      </w:pPr>
    </w:p>
    <w:p w14:paraId="439AFF37" w14:textId="4C49F0C6" w:rsidR="00993811" w:rsidRDefault="00993811" w:rsidP="00F72B89">
      <w:pPr>
        <w:spacing w:after="160" w:line="259" w:lineRule="auto"/>
        <w:rPr>
          <w:rFonts w:ascii="Arial" w:hAnsi="Arial" w:cs="Arial"/>
          <w:color w:val="000000"/>
          <w:szCs w:val="24"/>
        </w:rPr>
      </w:pPr>
    </w:p>
    <w:p w14:paraId="4BA6BB9D" w14:textId="56784E26" w:rsidR="00993811" w:rsidRDefault="00993811" w:rsidP="00F72B89">
      <w:pPr>
        <w:spacing w:after="160" w:line="259" w:lineRule="auto"/>
        <w:rPr>
          <w:rFonts w:ascii="Arial" w:hAnsi="Arial" w:cs="Arial"/>
          <w:color w:val="000000"/>
          <w:szCs w:val="24"/>
        </w:rPr>
      </w:pPr>
    </w:p>
    <w:p w14:paraId="605AF905" w14:textId="50C42C92" w:rsidR="00993811" w:rsidRDefault="00993811" w:rsidP="00F72B89">
      <w:pPr>
        <w:spacing w:after="160" w:line="259" w:lineRule="auto"/>
        <w:rPr>
          <w:rFonts w:ascii="Arial" w:hAnsi="Arial" w:cs="Arial"/>
          <w:color w:val="000000"/>
          <w:szCs w:val="24"/>
        </w:rPr>
      </w:pPr>
    </w:p>
    <w:p w14:paraId="10EEBAA1" w14:textId="77777777" w:rsidR="00465944" w:rsidRDefault="00465944" w:rsidP="00F72B89">
      <w:pPr>
        <w:spacing w:after="160" w:line="259" w:lineRule="auto"/>
        <w:rPr>
          <w:rFonts w:ascii="Arial" w:hAnsi="Arial" w:cs="Arial"/>
          <w:color w:val="000000"/>
          <w:szCs w:val="24"/>
        </w:rPr>
      </w:pPr>
    </w:p>
    <w:p w14:paraId="0EB29651" w14:textId="77777777" w:rsidR="00993811" w:rsidRPr="00F72B89" w:rsidRDefault="00993811" w:rsidP="00F72B89">
      <w:pPr>
        <w:spacing w:after="160" w:line="259" w:lineRule="auto"/>
        <w:rPr>
          <w:rFonts w:ascii="Arial" w:hAnsi="Arial" w:cs="Arial"/>
          <w:color w:val="000000"/>
          <w:szCs w:val="24"/>
        </w:rPr>
      </w:pPr>
    </w:p>
    <w:p w14:paraId="4BB65607" w14:textId="6C786B8E" w:rsidR="00F72B89" w:rsidRPr="00F72B89" w:rsidRDefault="00F72B89" w:rsidP="00F72B89">
      <w:pPr>
        <w:spacing w:line="360" w:lineRule="auto"/>
        <w:jc w:val="both"/>
        <w:rPr>
          <w:rFonts w:ascii="Arial" w:hAnsi="Arial" w:cs="Arial"/>
          <w:sz w:val="20"/>
        </w:rPr>
      </w:pPr>
      <w:r w:rsidRPr="001E3B5B">
        <w:rPr>
          <w:rFonts w:ascii="Arial" w:eastAsia="SimSun" w:hAnsi="Arial" w:cs="Arial"/>
          <w:sz w:val="20"/>
        </w:rPr>
        <w:lastRenderedPageBreak/>
        <w:t xml:space="preserve">Table </w:t>
      </w:r>
      <w:r w:rsidR="007B1696" w:rsidRPr="001E3B5B">
        <w:rPr>
          <w:rFonts w:ascii="Arial" w:eastAsia="SimSun" w:hAnsi="Arial" w:cs="Arial"/>
          <w:sz w:val="20"/>
        </w:rPr>
        <w:t>S2</w:t>
      </w:r>
      <w:r w:rsidRPr="001E3B5B">
        <w:rPr>
          <w:rFonts w:ascii="Arial" w:eastAsia="SimSun" w:hAnsi="Arial" w:cs="Arial"/>
          <w:sz w:val="20"/>
        </w:rPr>
        <w:t xml:space="preserve">: </w:t>
      </w:r>
      <w:r w:rsidR="00993811" w:rsidRPr="001E3B5B">
        <w:rPr>
          <w:rFonts w:ascii="Arial" w:hAnsi="Arial" w:cs="Arial"/>
          <w:sz w:val="20"/>
        </w:rPr>
        <w:t>Additional</w:t>
      </w:r>
      <w:r w:rsidRPr="001E3B5B">
        <w:rPr>
          <w:rFonts w:ascii="Arial" w:hAnsi="Arial" w:cs="Arial"/>
          <w:sz w:val="20"/>
        </w:rPr>
        <w:t xml:space="preserve"> Results from New Non-Inferiority and Cost-Effectiveness Framework</w:t>
      </w:r>
      <w:r w:rsidRPr="00F72B89">
        <w:rPr>
          <w:rFonts w:ascii="Arial" w:hAnsi="Arial" w:cs="Arial"/>
          <w:sz w:val="20"/>
        </w:rPr>
        <w:t xml:space="preserve"> </w:t>
      </w:r>
    </w:p>
    <w:tbl>
      <w:tblPr>
        <w:tblW w:w="86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2"/>
        <w:gridCol w:w="2070"/>
        <w:gridCol w:w="2430"/>
        <w:gridCol w:w="2430"/>
      </w:tblGrid>
      <w:tr w:rsidR="00F72B89" w:rsidRPr="00F72B89" w14:paraId="2E55AC20" w14:textId="77777777" w:rsidTr="008D6F38">
        <w:trPr>
          <w:trHeight w:val="340"/>
        </w:trPr>
        <w:tc>
          <w:tcPr>
            <w:tcW w:w="1692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C0C0C0"/>
          </w:tcPr>
          <w:p w14:paraId="2D0F35FE" w14:textId="207E549C" w:rsidR="00F72B89" w:rsidRPr="00F72B89" w:rsidRDefault="00F72B89" w:rsidP="008D6F38">
            <w:pPr>
              <w:spacing w:before="60" w:after="40"/>
              <w:jc w:val="center"/>
              <w:rPr>
                <w:rFonts w:ascii="Arial" w:eastAsia="SimSun" w:hAnsi="Arial" w:cs="Arial"/>
                <w:b w:val="0"/>
                <w:sz w:val="20"/>
              </w:rPr>
            </w:pPr>
            <w:r w:rsidRPr="00F72B89">
              <w:rPr>
                <w:rFonts w:ascii="Arial" w:eastAsia="SimSun" w:hAnsi="Arial" w:cs="Arial"/>
                <w:b w:val="0"/>
                <w:sz w:val="20"/>
              </w:rPr>
              <w:t>Threshold of effect</w:t>
            </w:r>
            <w:r w:rsidR="004D1991">
              <w:rPr>
                <w:rFonts w:ascii="Arial" w:eastAsia="SimSun" w:hAnsi="Arial" w:cs="Arial"/>
                <w:b w:val="0"/>
                <w:sz w:val="20"/>
              </w:rPr>
              <w:t>iveness</w:t>
            </w:r>
            <w:r w:rsidRPr="00F72B89">
              <w:rPr>
                <w:rFonts w:ascii="Arial" w:eastAsia="SimSun" w:hAnsi="Arial" w:cs="Arial"/>
                <w:b w:val="0"/>
                <w:sz w:val="20"/>
              </w:rPr>
              <w:t xml:space="preserve"> preserved (%)</w:t>
            </w:r>
          </w:p>
        </w:tc>
        <w:tc>
          <w:tcPr>
            <w:tcW w:w="6930" w:type="dxa"/>
            <w:gridSpan w:val="3"/>
            <w:tcBorders>
              <w:top w:val="single" w:sz="12" w:space="0" w:color="000000"/>
              <w:left w:val="nil"/>
              <w:right w:val="nil"/>
            </w:tcBorders>
            <w:shd w:val="clear" w:color="auto" w:fill="C0C0C0"/>
          </w:tcPr>
          <w:p w14:paraId="3B9716E2" w14:textId="77777777" w:rsidR="00F72B89" w:rsidRPr="00F72B89" w:rsidRDefault="00F72B89" w:rsidP="008D6F38">
            <w:pPr>
              <w:spacing w:before="60" w:after="40"/>
              <w:jc w:val="center"/>
              <w:rPr>
                <w:rFonts w:ascii="Arial" w:eastAsia="SimSun" w:hAnsi="Arial" w:cs="Arial"/>
                <w:b w:val="0"/>
                <w:sz w:val="20"/>
              </w:rPr>
            </w:pPr>
            <w:r w:rsidRPr="00F72B89">
              <w:rPr>
                <w:rFonts w:ascii="Arial" w:eastAsia="SimSun" w:hAnsi="Arial" w:cs="Arial"/>
                <w:b w:val="0"/>
                <w:sz w:val="20"/>
              </w:rPr>
              <w:t>Probability of ECT being cost-effective (%)</w:t>
            </w:r>
          </w:p>
        </w:tc>
      </w:tr>
      <w:tr w:rsidR="00F72B89" w:rsidRPr="00F72B89" w14:paraId="02CC2461" w14:textId="77777777" w:rsidTr="008D6F38">
        <w:trPr>
          <w:trHeight w:val="340"/>
        </w:trPr>
        <w:tc>
          <w:tcPr>
            <w:tcW w:w="1692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27B9212B" w14:textId="77777777" w:rsidR="00F72B89" w:rsidRPr="00F72B89" w:rsidRDefault="00F72B89" w:rsidP="008D6F38">
            <w:pPr>
              <w:spacing w:before="60" w:after="40"/>
              <w:jc w:val="center"/>
              <w:rPr>
                <w:rFonts w:ascii="Arial" w:eastAsia="SimSun" w:hAnsi="Arial" w:cs="Arial"/>
                <w:b w:val="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nil"/>
              <w:right w:val="nil"/>
            </w:tcBorders>
            <w:shd w:val="clear" w:color="auto" w:fill="C0C0C0"/>
          </w:tcPr>
          <w:p w14:paraId="043A246C" w14:textId="77777777" w:rsidR="00F72B89" w:rsidRPr="00F72B89" w:rsidRDefault="00F72B89" w:rsidP="008D6F38">
            <w:pPr>
              <w:spacing w:before="60" w:after="40"/>
              <w:jc w:val="center"/>
              <w:rPr>
                <w:rFonts w:ascii="Arial" w:eastAsia="SimSun" w:hAnsi="Arial" w:cs="Arial"/>
                <w:b w:val="0"/>
                <w:sz w:val="20"/>
              </w:rPr>
            </w:pPr>
            <w:r w:rsidRPr="00F72B89">
              <w:rPr>
                <w:rFonts w:ascii="Arial" w:eastAsia="SimSun" w:hAnsi="Arial" w:cs="Arial"/>
                <w:b w:val="0"/>
                <w:sz w:val="20"/>
              </w:rPr>
              <w:t>WTP = $0/QALY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C0C0C0"/>
          </w:tcPr>
          <w:p w14:paraId="459406BF" w14:textId="77777777" w:rsidR="00F72B89" w:rsidRPr="00F72B89" w:rsidRDefault="00F72B89" w:rsidP="008D6F38">
            <w:pPr>
              <w:spacing w:before="60" w:after="40"/>
              <w:jc w:val="center"/>
              <w:rPr>
                <w:rFonts w:ascii="Arial" w:eastAsia="SimSun" w:hAnsi="Arial" w:cs="Arial"/>
                <w:b w:val="0"/>
                <w:sz w:val="20"/>
              </w:rPr>
            </w:pPr>
            <w:r w:rsidRPr="00F72B89">
              <w:rPr>
                <w:rFonts w:ascii="Arial" w:eastAsia="SimSun" w:hAnsi="Arial" w:cs="Arial"/>
                <w:b w:val="0"/>
                <w:sz w:val="20"/>
              </w:rPr>
              <w:t>WTP = $50,000/QALY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C0C0C0"/>
          </w:tcPr>
          <w:p w14:paraId="5AD39A1D" w14:textId="77777777" w:rsidR="00F72B89" w:rsidRPr="00F72B89" w:rsidRDefault="00F72B89" w:rsidP="008D6F38">
            <w:pPr>
              <w:spacing w:before="60" w:after="40"/>
              <w:jc w:val="center"/>
              <w:rPr>
                <w:rFonts w:ascii="Arial" w:eastAsia="SimSun" w:hAnsi="Arial" w:cs="Arial"/>
                <w:b w:val="0"/>
                <w:sz w:val="20"/>
              </w:rPr>
            </w:pPr>
            <w:r w:rsidRPr="00F72B89">
              <w:rPr>
                <w:rFonts w:ascii="Arial" w:eastAsia="SimSun" w:hAnsi="Arial" w:cs="Arial"/>
                <w:b w:val="0"/>
                <w:sz w:val="20"/>
              </w:rPr>
              <w:t>WTP = $100,000/QALY</w:t>
            </w:r>
          </w:p>
        </w:tc>
      </w:tr>
      <w:tr w:rsidR="00F72B89" w:rsidRPr="00F72B89" w14:paraId="4297FC40" w14:textId="77777777" w:rsidTr="008D6F38">
        <w:trPr>
          <w:trHeight w:val="257"/>
        </w:trPr>
        <w:tc>
          <w:tcPr>
            <w:tcW w:w="8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9C488B" w14:textId="77777777" w:rsidR="00F72B89" w:rsidRPr="00F72B89" w:rsidRDefault="00F72B89" w:rsidP="008D6F38">
            <w:pPr>
              <w:spacing w:before="60" w:after="40"/>
              <w:rPr>
                <w:rFonts w:ascii="Arial" w:eastAsia="SimSun" w:hAnsi="Arial" w:cs="Arial"/>
                <w:b w:val="0"/>
                <w:sz w:val="20"/>
              </w:rPr>
            </w:pPr>
          </w:p>
        </w:tc>
      </w:tr>
      <w:tr w:rsidR="00F72B89" w:rsidRPr="00F72B89" w14:paraId="16CB0F91" w14:textId="77777777" w:rsidTr="008D6F38">
        <w:trPr>
          <w:trHeight w:val="257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5087A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eastAsia="SimSun" w:cs="Arial"/>
                <w:sz w:val="20"/>
              </w:rPr>
            </w:pPr>
            <w:r w:rsidRPr="00F72B89">
              <w:rPr>
                <w:rFonts w:eastAsia="SimSun" w:cs="Arial"/>
                <w:sz w:val="20"/>
              </w:rPr>
              <w:t>50%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3195F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eastAsia="SimSun" w:cs="Arial"/>
                <w:sz w:val="20"/>
              </w:rPr>
            </w:pPr>
            <w:r w:rsidRPr="00F72B89">
              <w:rPr>
                <w:rFonts w:eastAsia="SimSun" w:cs="Arial"/>
                <w:sz w:val="20"/>
              </w:rPr>
              <w:t>70%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11E50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eastAsia="SimSun" w:cs="Arial"/>
                <w:sz w:val="20"/>
              </w:rPr>
            </w:pPr>
            <w:r w:rsidRPr="00F72B89">
              <w:rPr>
                <w:rFonts w:eastAsia="SimSun" w:cs="Arial"/>
                <w:sz w:val="20"/>
              </w:rPr>
              <w:t>37%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4C3DF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eastAsia="SimSun" w:cs="Arial"/>
                <w:sz w:val="20"/>
              </w:rPr>
            </w:pPr>
            <w:r w:rsidRPr="00F72B89">
              <w:rPr>
                <w:rFonts w:eastAsia="SimSun" w:cs="Arial"/>
                <w:sz w:val="20"/>
              </w:rPr>
              <w:t>14%</w:t>
            </w:r>
          </w:p>
        </w:tc>
      </w:tr>
      <w:tr w:rsidR="00F72B89" w:rsidRPr="00F72B89" w14:paraId="0681F92C" w14:textId="77777777" w:rsidTr="008D6F38">
        <w:trPr>
          <w:trHeight w:val="257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0E115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eastAsia="SimSun" w:cs="Arial"/>
                <w:sz w:val="20"/>
              </w:rPr>
            </w:pPr>
            <w:r w:rsidRPr="00F72B89">
              <w:rPr>
                <w:rFonts w:eastAsia="SimSun" w:cs="Arial"/>
                <w:sz w:val="20"/>
              </w:rPr>
              <w:t>75%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786F9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eastAsia="SimSun" w:cs="Arial"/>
                <w:sz w:val="20"/>
              </w:rPr>
            </w:pPr>
            <w:r w:rsidRPr="00F72B89">
              <w:rPr>
                <w:rFonts w:eastAsia="SimSun" w:cs="Arial"/>
                <w:sz w:val="20"/>
              </w:rPr>
              <w:t>23%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1B59C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eastAsia="SimSun" w:cs="Arial"/>
                <w:sz w:val="20"/>
              </w:rPr>
            </w:pPr>
            <w:r w:rsidRPr="00F72B89">
              <w:rPr>
                <w:rFonts w:eastAsia="SimSun" w:cs="Arial"/>
                <w:sz w:val="20"/>
              </w:rPr>
              <w:t>21%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0C92A" w14:textId="77777777" w:rsidR="00F72B89" w:rsidRPr="00F72B89" w:rsidRDefault="00F72B89" w:rsidP="008D6F38">
            <w:pPr>
              <w:spacing w:before="60" w:after="40"/>
              <w:jc w:val="center"/>
              <w:rPr>
                <w:rFonts w:ascii="Arial" w:eastAsia="SimSun" w:hAnsi="Arial" w:cs="Arial"/>
                <w:b w:val="0"/>
                <w:sz w:val="20"/>
              </w:rPr>
            </w:pPr>
            <w:r w:rsidRPr="00F72B89">
              <w:rPr>
                <w:rFonts w:ascii="Arial" w:eastAsia="SimSun" w:hAnsi="Arial" w:cs="Arial"/>
                <w:b w:val="0"/>
                <w:sz w:val="20"/>
              </w:rPr>
              <w:t>13%</w:t>
            </w:r>
          </w:p>
        </w:tc>
      </w:tr>
      <w:tr w:rsidR="00F72B89" w:rsidRPr="00F72B89" w14:paraId="43ECA03E" w14:textId="77777777" w:rsidTr="008D6F38">
        <w:trPr>
          <w:trHeight w:val="257"/>
        </w:trPr>
        <w:tc>
          <w:tcPr>
            <w:tcW w:w="169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340C734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eastAsia="SimSun" w:cs="Arial"/>
                <w:sz w:val="20"/>
              </w:rPr>
            </w:pPr>
            <w:r w:rsidRPr="00F72B89">
              <w:rPr>
                <w:rFonts w:eastAsia="SimSun" w:cs="Arial"/>
                <w:sz w:val="20"/>
              </w:rPr>
              <w:t>90%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726F4E7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cs="Arial"/>
                <w:color w:val="000000"/>
                <w:sz w:val="20"/>
              </w:rPr>
            </w:pPr>
            <w:r w:rsidRPr="00F72B89">
              <w:rPr>
                <w:rFonts w:cs="Arial"/>
                <w:color w:val="000000"/>
                <w:sz w:val="20"/>
              </w:rPr>
              <w:t>7%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C8E01AF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cs="Arial"/>
                <w:sz w:val="20"/>
              </w:rPr>
            </w:pPr>
            <w:r w:rsidRPr="00F72B89">
              <w:rPr>
                <w:rFonts w:cs="Arial"/>
                <w:sz w:val="20"/>
              </w:rPr>
              <w:t>7%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EE36028" w14:textId="77777777" w:rsidR="00F72B89" w:rsidRPr="00F72B89" w:rsidRDefault="00F72B89" w:rsidP="008D6F38">
            <w:pPr>
              <w:pStyle w:val="TableText"/>
              <w:spacing w:before="60" w:after="40"/>
              <w:jc w:val="center"/>
              <w:rPr>
                <w:rFonts w:cs="Arial"/>
                <w:color w:val="000000"/>
                <w:sz w:val="20"/>
              </w:rPr>
            </w:pPr>
            <w:r w:rsidRPr="00F72B89">
              <w:rPr>
                <w:rFonts w:cs="Arial"/>
                <w:color w:val="000000"/>
                <w:sz w:val="20"/>
              </w:rPr>
              <w:t>7%</w:t>
            </w:r>
          </w:p>
        </w:tc>
      </w:tr>
    </w:tbl>
    <w:p w14:paraId="67CC4FD3" w14:textId="77777777" w:rsidR="00F72B89" w:rsidRPr="00F72B89" w:rsidRDefault="00F72B89" w:rsidP="00F72B89">
      <w:pPr>
        <w:rPr>
          <w:rFonts w:ascii="Arial" w:hAnsi="Arial" w:cs="Arial"/>
          <w:b w:val="0"/>
          <w:sz w:val="20"/>
          <w:lang w:val="en-CA"/>
        </w:rPr>
      </w:pPr>
      <w:r w:rsidRPr="00F72B89">
        <w:rPr>
          <w:rFonts w:ascii="Arial" w:eastAsia="SimSun" w:hAnsi="Arial" w:cs="Arial"/>
          <w:b w:val="0"/>
          <w:sz w:val="20"/>
        </w:rPr>
        <w:t xml:space="preserve">Abbreviations: ECT, electroconvulsive therapy; QALY, quality-adjusted life-year; </w:t>
      </w:r>
      <w:proofErr w:type="spellStart"/>
      <w:r w:rsidRPr="00F72B89">
        <w:rPr>
          <w:rFonts w:ascii="Arial" w:eastAsia="SimSun" w:hAnsi="Arial" w:cs="Arial"/>
          <w:b w:val="0"/>
          <w:sz w:val="20"/>
        </w:rPr>
        <w:t>rTMS</w:t>
      </w:r>
      <w:proofErr w:type="spellEnd"/>
      <w:r w:rsidRPr="00F72B89">
        <w:rPr>
          <w:rFonts w:ascii="Arial" w:eastAsia="SimSun" w:hAnsi="Arial" w:cs="Arial"/>
          <w:b w:val="0"/>
          <w:sz w:val="20"/>
        </w:rPr>
        <w:t>, repetitive transcranial magnetic stimulation.</w:t>
      </w:r>
      <w:r w:rsidRPr="00F72B89">
        <w:rPr>
          <w:rFonts w:ascii="Arial" w:hAnsi="Arial" w:cs="Arial"/>
          <w:b w:val="0"/>
          <w:sz w:val="20"/>
          <w:lang w:val="en-CA"/>
        </w:rPr>
        <w:t xml:space="preserve"> </w:t>
      </w:r>
    </w:p>
    <w:p w14:paraId="241F41AC" w14:textId="77777777" w:rsidR="00F72B89" w:rsidRPr="00F72B89" w:rsidRDefault="00F72B89" w:rsidP="00F72B89">
      <w:pPr>
        <w:rPr>
          <w:rFonts w:ascii="Arial" w:hAnsi="Arial" w:cs="Arial"/>
          <w:b w:val="0"/>
          <w:sz w:val="20"/>
          <w:lang w:val="en-CA"/>
        </w:rPr>
      </w:pPr>
      <w:r w:rsidRPr="00F72B89">
        <w:rPr>
          <w:rFonts w:ascii="Arial" w:hAnsi="Arial" w:cs="Arial"/>
          <w:b w:val="0"/>
          <w:sz w:val="20"/>
          <w:lang w:val="en-CA"/>
        </w:rPr>
        <w:t>Results were expressed in mean (standard deviation).</w:t>
      </w:r>
    </w:p>
    <w:p w14:paraId="5E272C2A" w14:textId="77777777" w:rsidR="00F72B89" w:rsidRPr="00F72B89" w:rsidRDefault="00F72B89" w:rsidP="00F72B89">
      <w:pPr>
        <w:pStyle w:val="TableFootnote"/>
        <w:rPr>
          <w:rFonts w:cs="Arial"/>
          <w:sz w:val="20"/>
          <w:szCs w:val="20"/>
        </w:rPr>
      </w:pPr>
      <w:proofErr w:type="spellStart"/>
      <w:r w:rsidRPr="00F72B89">
        <w:rPr>
          <w:rFonts w:cs="Arial"/>
          <w:sz w:val="20"/>
          <w:szCs w:val="20"/>
          <w:vertAlign w:val="superscript"/>
        </w:rPr>
        <w:t>a</w:t>
      </w:r>
      <w:r w:rsidRPr="00F72B89">
        <w:rPr>
          <w:rFonts w:cs="Arial"/>
          <w:sz w:val="20"/>
          <w:szCs w:val="20"/>
        </w:rPr>
        <w:t>All</w:t>
      </w:r>
      <w:proofErr w:type="spellEnd"/>
      <w:r w:rsidRPr="00F72B89">
        <w:rPr>
          <w:rFonts w:cs="Arial"/>
          <w:sz w:val="20"/>
          <w:szCs w:val="20"/>
        </w:rPr>
        <w:t xml:space="preserve"> costs are 2016 Canadian dollars.</w:t>
      </w:r>
    </w:p>
    <w:p w14:paraId="6047C592" w14:textId="07007F21" w:rsidR="001D12A0" w:rsidRDefault="001D12A0">
      <w:pPr>
        <w:rPr>
          <w:rFonts w:ascii="Arial" w:hAnsi="Arial" w:cs="Arial"/>
        </w:rPr>
      </w:pPr>
    </w:p>
    <w:p w14:paraId="3919BD9A" w14:textId="209B767B" w:rsidR="00F72B89" w:rsidRDefault="00F72B89">
      <w:pPr>
        <w:rPr>
          <w:rFonts w:ascii="Arial" w:hAnsi="Arial" w:cs="Arial"/>
        </w:rPr>
      </w:pPr>
    </w:p>
    <w:p w14:paraId="30B1BFE9" w14:textId="77777777" w:rsidR="00F44595" w:rsidRPr="00034969" w:rsidRDefault="00F44595" w:rsidP="00F44595">
      <w:pPr>
        <w:spacing w:line="480" w:lineRule="auto"/>
        <w:jc w:val="both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034969">
        <w:rPr>
          <w:rFonts w:ascii="Arial" w:hAnsi="Arial" w:cs="Arial"/>
          <w:b w:val="0"/>
          <w:i/>
          <w:color w:val="000000"/>
          <w:sz w:val="22"/>
          <w:szCs w:val="22"/>
        </w:rPr>
        <w:t xml:space="preserve">Two-way sensitivity analysis in the New Decision Framework </w:t>
      </w:r>
    </w:p>
    <w:p w14:paraId="2E1C0CBC" w14:textId="6B926548" w:rsidR="00F44595" w:rsidRPr="00034969" w:rsidRDefault="00F44595" w:rsidP="00993811">
      <w:pPr>
        <w:spacing w:after="120" w:line="288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034969">
        <w:rPr>
          <w:rFonts w:ascii="Arial" w:hAnsi="Arial" w:cs="Arial"/>
          <w:b w:val="0"/>
          <w:color w:val="000000"/>
          <w:sz w:val="22"/>
          <w:szCs w:val="22"/>
        </w:rPr>
        <w:t>The summary of the two-way sensitivity (WTP of $50,000 per QALY gained at the effect</w:t>
      </w:r>
      <w:r w:rsidR="004D1991">
        <w:rPr>
          <w:rFonts w:ascii="Arial" w:hAnsi="Arial" w:cs="Arial"/>
          <w:b w:val="0"/>
          <w:color w:val="000000"/>
          <w:sz w:val="22"/>
          <w:szCs w:val="22"/>
        </w:rPr>
        <w:t>iveness</w:t>
      </w:r>
      <w:r w:rsidRPr="00034969">
        <w:rPr>
          <w:rFonts w:ascii="Arial" w:hAnsi="Arial" w:cs="Arial"/>
          <w:b w:val="0"/>
          <w:color w:val="000000"/>
          <w:sz w:val="22"/>
          <w:szCs w:val="22"/>
        </w:rPr>
        <w:t xml:space="preserve"> preserved threshold of 75%) was presented in Table </w:t>
      </w:r>
      <w:r w:rsidR="00993811">
        <w:rPr>
          <w:rFonts w:ascii="Arial" w:hAnsi="Arial" w:cs="Arial"/>
          <w:b w:val="0"/>
          <w:color w:val="000000"/>
          <w:sz w:val="22"/>
          <w:szCs w:val="22"/>
        </w:rPr>
        <w:t>S3</w:t>
      </w:r>
      <w:r w:rsidRPr="00034969">
        <w:rPr>
          <w:rFonts w:ascii="Arial" w:hAnsi="Arial" w:cs="Arial"/>
          <w:b w:val="0"/>
          <w:color w:val="000000"/>
          <w:sz w:val="22"/>
          <w:szCs w:val="22"/>
        </w:rPr>
        <w:t xml:space="preserve">. When the odds ratios of response and remission for </w:t>
      </w:r>
      <w:proofErr w:type="spellStart"/>
      <w:r w:rsidRPr="00034969">
        <w:rPr>
          <w:rFonts w:ascii="Arial" w:hAnsi="Arial" w:cs="Arial"/>
          <w:b w:val="0"/>
          <w:color w:val="000000"/>
          <w:sz w:val="22"/>
          <w:szCs w:val="22"/>
        </w:rPr>
        <w:t>rTMS</w:t>
      </w:r>
      <w:proofErr w:type="spellEnd"/>
      <w:r w:rsidRPr="00034969">
        <w:rPr>
          <w:rFonts w:ascii="Arial" w:hAnsi="Arial" w:cs="Arial"/>
          <w:b w:val="0"/>
          <w:color w:val="000000"/>
          <w:sz w:val="22"/>
          <w:szCs w:val="22"/>
        </w:rPr>
        <w:t xml:space="preserve"> vs. ECT (uniform distribution [min, max]) were (0.65, 0.75), (0.75, 0.85) and (0.85, 0.95), the probabilities of being cost-effectiveness in </w:t>
      </w:r>
      <w:proofErr w:type="spellStart"/>
      <w:r w:rsidRPr="00034969">
        <w:rPr>
          <w:rFonts w:ascii="Arial" w:hAnsi="Arial" w:cs="Arial"/>
          <w:b w:val="0"/>
          <w:color w:val="000000"/>
          <w:sz w:val="22"/>
          <w:szCs w:val="22"/>
        </w:rPr>
        <w:t>rTMS</w:t>
      </w:r>
      <w:proofErr w:type="spellEnd"/>
      <w:r w:rsidRPr="00034969">
        <w:rPr>
          <w:rFonts w:ascii="Arial" w:hAnsi="Arial" w:cs="Arial"/>
          <w:b w:val="0"/>
          <w:color w:val="000000"/>
          <w:sz w:val="22"/>
          <w:szCs w:val="22"/>
        </w:rPr>
        <w:t xml:space="preserve"> group were 0.8740, 0.9959 and 0.9999, respectively. Note: besides the expected value, the variability of the parameters largely impact</w:t>
      </w:r>
      <w:r w:rsidR="00484BF0">
        <w:rPr>
          <w:rFonts w:ascii="Arial" w:hAnsi="Arial" w:cs="Arial"/>
          <w:b w:val="0"/>
          <w:color w:val="000000"/>
          <w:sz w:val="22"/>
          <w:szCs w:val="22"/>
        </w:rPr>
        <w:t>s</w:t>
      </w:r>
      <w:r w:rsidRPr="00034969">
        <w:rPr>
          <w:rFonts w:ascii="Arial" w:hAnsi="Arial" w:cs="Arial"/>
          <w:b w:val="0"/>
          <w:color w:val="000000"/>
          <w:sz w:val="22"/>
          <w:szCs w:val="22"/>
        </w:rPr>
        <w:t xml:space="preserve"> the probability of being cost-effectiveness in PSA. In the sensitivity analysis, we assigned the narrow range of 0.1 of the uniform distributed odds ratios of response and remission in each analysis to compare </w:t>
      </w:r>
      <w:proofErr w:type="spellStart"/>
      <w:r w:rsidRPr="00034969">
        <w:rPr>
          <w:rFonts w:ascii="Arial" w:hAnsi="Arial" w:cs="Arial"/>
          <w:b w:val="0"/>
          <w:color w:val="000000"/>
          <w:sz w:val="22"/>
          <w:szCs w:val="22"/>
        </w:rPr>
        <w:t>rTMS</w:t>
      </w:r>
      <w:proofErr w:type="spellEnd"/>
      <w:r w:rsidRPr="00034969">
        <w:rPr>
          <w:rFonts w:ascii="Arial" w:hAnsi="Arial" w:cs="Arial"/>
          <w:b w:val="0"/>
          <w:color w:val="000000"/>
          <w:sz w:val="22"/>
          <w:szCs w:val="22"/>
        </w:rPr>
        <w:t xml:space="preserve"> versus ECT. </w:t>
      </w:r>
    </w:p>
    <w:p w14:paraId="4CF5CBF5" w14:textId="7D5B08A2" w:rsidR="00F44595" w:rsidRDefault="00F44595">
      <w:pPr>
        <w:rPr>
          <w:rFonts w:ascii="Arial" w:hAnsi="Arial" w:cs="Arial"/>
        </w:rPr>
      </w:pPr>
    </w:p>
    <w:p w14:paraId="28671847" w14:textId="161B2527" w:rsidR="00F44595" w:rsidRDefault="00F44595">
      <w:pPr>
        <w:rPr>
          <w:rFonts w:ascii="Arial" w:hAnsi="Arial" w:cs="Arial"/>
        </w:rPr>
      </w:pPr>
    </w:p>
    <w:p w14:paraId="3C58442E" w14:textId="77777777" w:rsidR="00F44595" w:rsidRDefault="00F44595">
      <w:pPr>
        <w:rPr>
          <w:rFonts w:ascii="Arial" w:hAnsi="Arial" w:cs="Arial"/>
          <w:color w:val="000000"/>
          <w:sz w:val="20"/>
        </w:rPr>
        <w:sectPr w:rsidR="00F445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FC06C71" w14:textId="77777777" w:rsidR="00F44595" w:rsidRDefault="00F44595">
      <w:pPr>
        <w:rPr>
          <w:rFonts w:ascii="Arial" w:hAnsi="Arial" w:cs="Arial"/>
          <w:color w:val="000000"/>
          <w:sz w:val="20"/>
        </w:rPr>
      </w:pPr>
    </w:p>
    <w:p w14:paraId="2A6CF5FA" w14:textId="427C2A49" w:rsidR="00F44595" w:rsidRDefault="00F44595">
      <w:pPr>
        <w:rPr>
          <w:rFonts w:ascii="Arial" w:hAnsi="Arial" w:cs="Arial"/>
        </w:rPr>
      </w:pPr>
      <w:r w:rsidRPr="001E3B5B">
        <w:rPr>
          <w:rFonts w:ascii="Arial" w:hAnsi="Arial" w:cs="Arial"/>
          <w:color w:val="000000"/>
          <w:sz w:val="20"/>
        </w:rPr>
        <w:t xml:space="preserve">Table </w:t>
      </w:r>
      <w:r w:rsidR="003F5A91" w:rsidRPr="001E3B5B">
        <w:rPr>
          <w:rFonts w:ascii="Arial" w:hAnsi="Arial" w:cs="Arial"/>
          <w:color w:val="000000"/>
          <w:sz w:val="20"/>
        </w:rPr>
        <w:t>S3</w:t>
      </w:r>
      <w:r w:rsidRPr="001E3B5B">
        <w:rPr>
          <w:rFonts w:ascii="Arial" w:hAnsi="Arial" w:cs="Arial"/>
          <w:color w:val="000000"/>
          <w:sz w:val="20"/>
        </w:rPr>
        <w:t xml:space="preserve">: Results of Two-way Sensitivity Analysis, Probability of Being </w:t>
      </w:r>
      <w:r w:rsidR="006041B9" w:rsidRPr="001E3B5B">
        <w:rPr>
          <w:rFonts w:ascii="Arial" w:hAnsi="Arial" w:cs="Arial"/>
          <w:color w:val="000000"/>
          <w:sz w:val="20"/>
        </w:rPr>
        <w:t xml:space="preserve">Non-inferior And </w:t>
      </w:r>
      <w:r w:rsidRPr="001E3B5B">
        <w:rPr>
          <w:rFonts w:ascii="Arial" w:hAnsi="Arial" w:cs="Arial"/>
          <w:color w:val="000000"/>
          <w:sz w:val="20"/>
        </w:rPr>
        <w:t xml:space="preserve">Cost-effective for </w:t>
      </w:r>
      <w:proofErr w:type="spellStart"/>
      <w:r w:rsidRPr="001E3B5B">
        <w:rPr>
          <w:rFonts w:ascii="Arial" w:hAnsi="Arial" w:cs="Arial"/>
          <w:color w:val="000000"/>
          <w:sz w:val="20"/>
        </w:rPr>
        <w:t>rTMS</w:t>
      </w:r>
      <w:proofErr w:type="spellEnd"/>
      <w:r w:rsidRPr="001E3B5B">
        <w:rPr>
          <w:rFonts w:ascii="Arial" w:hAnsi="Arial" w:cs="Arial"/>
          <w:color w:val="000000"/>
          <w:sz w:val="20"/>
        </w:rPr>
        <w:t xml:space="preserve"> Group at Willingness to Pay of $50,000 per QALY Gained and the Threshold of Effect</w:t>
      </w:r>
      <w:r w:rsidR="00484BF0">
        <w:rPr>
          <w:rFonts w:ascii="Arial" w:hAnsi="Arial" w:cs="Arial"/>
          <w:color w:val="000000"/>
          <w:sz w:val="20"/>
        </w:rPr>
        <w:t>iveness</w:t>
      </w:r>
      <w:r w:rsidRPr="001E3B5B">
        <w:rPr>
          <w:rFonts w:ascii="Arial" w:hAnsi="Arial" w:cs="Arial"/>
          <w:color w:val="000000"/>
          <w:sz w:val="20"/>
        </w:rPr>
        <w:t xml:space="preserve"> Preserved of 75%</w:t>
      </w:r>
    </w:p>
    <w:p w14:paraId="4904B11B" w14:textId="77777777" w:rsidR="00F44595" w:rsidRDefault="00F44595">
      <w:pPr>
        <w:rPr>
          <w:rFonts w:ascii="Arial" w:hAnsi="Arial" w:cs="Arial"/>
        </w:rPr>
      </w:pPr>
    </w:p>
    <w:tbl>
      <w:tblPr>
        <w:tblW w:w="12860" w:type="dxa"/>
        <w:tblLayout w:type="fixed"/>
        <w:tblLook w:val="04A0" w:firstRow="1" w:lastRow="0" w:firstColumn="1" w:lastColumn="0" w:noHBand="0" w:noVBand="1"/>
      </w:tblPr>
      <w:tblGrid>
        <w:gridCol w:w="1980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F44595" w:rsidRPr="00EB291A" w14:paraId="06F7E2EE" w14:textId="77777777" w:rsidTr="003D726E">
        <w:trPr>
          <w:trHeight w:val="305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2EC903" w14:textId="77777777" w:rsidR="00F44595" w:rsidRPr="00EB291A" w:rsidRDefault="00F44595" w:rsidP="008E6803">
            <w:pPr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</w:rPr>
              <w:t xml:space="preserve">Uniform distribution </w:t>
            </w: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</w:t>
            </w:r>
            <w:r w:rsidRPr="00EB291A">
              <w:rPr>
                <w:rFonts w:ascii="Arial" w:hAnsi="Arial" w:cs="Arial"/>
                <w:b w:val="0"/>
                <w:color w:val="000000"/>
                <w:sz w:val="20"/>
              </w:rPr>
              <w:t>min, max</w:t>
            </w: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 xml:space="preserve">) of odds ratio of response, </w:t>
            </w:r>
            <w:proofErr w:type="spellStart"/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rTMS</w:t>
            </w:r>
            <w:proofErr w:type="spellEnd"/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 xml:space="preserve"> vs. ECT*</w:t>
            </w:r>
          </w:p>
        </w:tc>
        <w:tc>
          <w:tcPr>
            <w:tcW w:w="108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E25586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</w:rPr>
              <w:t xml:space="preserve">Uniform distribution </w:t>
            </w: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</w:t>
            </w:r>
            <w:r w:rsidRPr="00EB291A">
              <w:rPr>
                <w:rFonts w:ascii="Arial" w:hAnsi="Arial" w:cs="Arial"/>
                <w:b w:val="0"/>
                <w:color w:val="000000"/>
                <w:sz w:val="20"/>
              </w:rPr>
              <w:t>min, max</w:t>
            </w: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)</w:t>
            </w:r>
            <w:r w:rsidRPr="00EB291A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 xml:space="preserve">of odds ratio of remission, </w:t>
            </w:r>
            <w:proofErr w:type="spellStart"/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rTMS</w:t>
            </w:r>
            <w:proofErr w:type="spellEnd"/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 xml:space="preserve"> vs. ECT*</w:t>
            </w:r>
          </w:p>
        </w:tc>
      </w:tr>
      <w:tr w:rsidR="00F44595" w:rsidRPr="00EB291A" w14:paraId="2DF9A37F" w14:textId="77777777" w:rsidTr="003D726E">
        <w:trPr>
          <w:trHeight w:val="48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6EC971A4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198EB9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(0.25, 0.35)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8529A6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(0.35, 0.45)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9B81FF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(0.45, 0.55)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D6F26C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(0.55, 0.65)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1EEA89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(0.65, 0.75)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184051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(0.75, 0.85)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684641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(0.85, 0.95)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C1BDB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(0.95, 1.05)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A57E25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(1.05, 1.15)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E52642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(1.15, 1.25)</w:t>
            </w:r>
          </w:p>
        </w:tc>
      </w:tr>
      <w:tr w:rsidR="00F44595" w:rsidRPr="00EB291A" w14:paraId="08DB3981" w14:textId="77777777" w:rsidTr="008E6803">
        <w:trPr>
          <w:trHeight w:val="30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01F9CE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(0.25, 0.35)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D9364B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04A8A6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C6B422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DF94F4C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63F35F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0.0003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7C5868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0.0013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585FE7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0.0037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63FDC2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0.009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0AB0FB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0.0188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3434D2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0.0214</w:t>
            </w:r>
          </w:p>
        </w:tc>
      </w:tr>
      <w:tr w:rsidR="00F44595" w:rsidRPr="00EB291A" w14:paraId="17828DE8" w14:textId="77777777" w:rsidTr="008E6803">
        <w:trPr>
          <w:trHeight w:val="300"/>
        </w:trPr>
        <w:tc>
          <w:tcPr>
            <w:tcW w:w="1980" w:type="dxa"/>
            <w:shd w:val="clear" w:color="auto" w:fill="auto"/>
            <w:vAlign w:val="center"/>
            <w:hideMark/>
          </w:tcPr>
          <w:p w14:paraId="5D39BBD7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(0.35, 0.45)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0AE806DE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025C2B60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24F8A23F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1751058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3300FF6C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0.0026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853AB06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0.016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CD4E862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0.0454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1EE3E453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0.0888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27BB0D22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0.1199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DF3A80B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0.1645</w:t>
            </w:r>
          </w:p>
        </w:tc>
      </w:tr>
      <w:tr w:rsidR="00F44595" w:rsidRPr="00EB291A" w14:paraId="414504E4" w14:textId="77777777" w:rsidTr="008E6803">
        <w:trPr>
          <w:trHeight w:val="300"/>
        </w:trPr>
        <w:tc>
          <w:tcPr>
            <w:tcW w:w="1980" w:type="dxa"/>
            <w:shd w:val="clear" w:color="auto" w:fill="auto"/>
            <w:vAlign w:val="center"/>
            <w:hideMark/>
          </w:tcPr>
          <w:p w14:paraId="068AC3F1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(0.45, 0.55)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148BB30B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E607334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530734C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0EC4098C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0.0045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11AEF8A8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0.0424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008612BC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0.1535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328977A3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0.2825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5EBF6AAD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0.4076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06C589B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0.47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07902E18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0.5144</w:t>
            </w:r>
          </w:p>
        </w:tc>
      </w:tr>
      <w:tr w:rsidR="00F44595" w:rsidRPr="00EB291A" w14:paraId="5052C4B3" w14:textId="77777777" w:rsidTr="008E6803">
        <w:trPr>
          <w:trHeight w:val="300"/>
        </w:trPr>
        <w:tc>
          <w:tcPr>
            <w:tcW w:w="1980" w:type="dxa"/>
            <w:shd w:val="clear" w:color="auto" w:fill="auto"/>
            <w:vAlign w:val="center"/>
            <w:hideMark/>
          </w:tcPr>
          <w:p w14:paraId="0FD9852F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(0.55, 0.65)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26D71433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0.0016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242E9DE1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0.0073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2B6B80CE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0.0248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56391DED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0.1125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83DE4B0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0.3853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297B1ABE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0.6296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2BDA697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0.7561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0ACD834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0.8073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31EF2BB7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0.8311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3F6CE9D1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0.8426</w:t>
            </w:r>
          </w:p>
        </w:tc>
      </w:tr>
      <w:tr w:rsidR="00F44595" w:rsidRPr="00EB291A" w14:paraId="3EC5BBA3" w14:textId="77777777" w:rsidTr="008E6803">
        <w:trPr>
          <w:trHeight w:val="300"/>
        </w:trPr>
        <w:tc>
          <w:tcPr>
            <w:tcW w:w="1980" w:type="dxa"/>
            <w:shd w:val="clear" w:color="auto" w:fill="auto"/>
            <w:vAlign w:val="center"/>
            <w:hideMark/>
          </w:tcPr>
          <w:p w14:paraId="1250F5B3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(0.65, 0.75)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6EE925E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0.016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971FEC8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0.0624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3548284E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0.2207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2C3F1686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0.5814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0B4FD286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0.874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104C08DE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0.9581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FFCEA3D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0.9799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34B30BD7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0.9845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53D9FD3D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0.9902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CD4E799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0.9922</w:t>
            </w:r>
          </w:p>
        </w:tc>
      </w:tr>
      <w:tr w:rsidR="00F44595" w:rsidRPr="00EB291A" w14:paraId="2DE766F3" w14:textId="77777777" w:rsidTr="008E6803">
        <w:trPr>
          <w:trHeight w:val="300"/>
        </w:trPr>
        <w:tc>
          <w:tcPr>
            <w:tcW w:w="1980" w:type="dxa"/>
            <w:shd w:val="clear" w:color="auto" w:fill="auto"/>
            <w:vAlign w:val="center"/>
            <w:hideMark/>
          </w:tcPr>
          <w:p w14:paraId="42BC3B26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(0.75, 0.85)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A35FFF7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0.0697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14A9746F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0.2252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3E487A9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0.5966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31354738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0.8951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3FA0D9A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0.9854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0AE8BA1F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0.9959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1D38DD54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0.9988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298F9D7C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0.999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059959D8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0.9997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71864FF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0.9999</w:t>
            </w:r>
          </w:p>
        </w:tc>
      </w:tr>
      <w:tr w:rsidR="00F44595" w:rsidRPr="00EB291A" w14:paraId="78EF9FB9" w14:textId="77777777" w:rsidTr="008E6803">
        <w:trPr>
          <w:trHeight w:val="300"/>
        </w:trPr>
        <w:tc>
          <w:tcPr>
            <w:tcW w:w="1980" w:type="dxa"/>
            <w:shd w:val="clear" w:color="auto" w:fill="auto"/>
            <w:vAlign w:val="center"/>
            <w:hideMark/>
          </w:tcPr>
          <w:p w14:paraId="216549BA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(0.85, 0.95)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5CA290E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0.1721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795D8AC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0.4733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AA62F7A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0.8342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47831DC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0.979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21DBD41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0.9985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9F25BDF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0.9998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1BB848D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0.9999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1D90FE1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0.9998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2F4311D7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3B103C8C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1</w:t>
            </w:r>
          </w:p>
        </w:tc>
      </w:tr>
      <w:tr w:rsidR="00F44595" w:rsidRPr="00EB291A" w14:paraId="273A530A" w14:textId="77777777" w:rsidTr="008E6803">
        <w:trPr>
          <w:trHeight w:val="300"/>
        </w:trPr>
        <w:tc>
          <w:tcPr>
            <w:tcW w:w="1980" w:type="dxa"/>
            <w:shd w:val="clear" w:color="auto" w:fill="auto"/>
            <w:vAlign w:val="center"/>
            <w:hideMark/>
          </w:tcPr>
          <w:p w14:paraId="1BCF6662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(0.95, 1.05)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E977FE9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0.2984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15130455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0.6481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1599FFEE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FFC1923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0.994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155D3F17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0.9999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354A13FF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0.9999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5EDF1C7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4615ED2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67F7E1F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4165150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1</w:t>
            </w:r>
          </w:p>
        </w:tc>
      </w:tr>
      <w:tr w:rsidR="00F44595" w:rsidRPr="00EB291A" w14:paraId="63EA4BA1" w14:textId="77777777" w:rsidTr="008E6803">
        <w:trPr>
          <w:trHeight w:val="300"/>
        </w:trPr>
        <w:tc>
          <w:tcPr>
            <w:tcW w:w="1980" w:type="dxa"/>
            <w:shd w:val="clear" w:color="auto" w:fill="auto"/>
            <w:vAlign w:val="center"/>
            <w:hideMark/>
          </w:tcPr>
          <w:p w14:paraId="03906C78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(1.05, 1.15)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569DF628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0.4036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04F95013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0.7709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B819FD3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0.9665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6DD40F6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0.9972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5111F901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0.9999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398A7AD3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1096B3DE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007EFC82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22A9A4D3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12502D3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1</w:t>
            </w:r>
          </w:p>
        </w:tc>
      </w:tr>
      <w:tr w:rsidR="00F44595" w:rsidRPr="00EB291A" w14:paraId="29C0FAE9" w14:textId="77777777" w:rsidTr="008E6803">
        <w:trPr>
          <w:trHeight w:val="31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644218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bCs/>
                <w:color w:val="000000"/>
                <w:sz w:val="20"/>
                <w:lang w:val="en-CA" w:eastAsia="zh-CN"/>
              </w:rPr>
              <w:t>(1.15, 1.25)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486E0E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0.5015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B2F90A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0.8321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08A1F7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0.9803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3A5674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0.9987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134BD3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1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50B386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1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03D54E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1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1AB899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1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28A651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1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814F04" w14:textId="77777777" w:rsidR="00F44595" w:rsidRPr="00EB291A" w:rsidRDefault="00F44595" w:rsidP="008E680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</w:pPr>
            <w:r w:rsidRPr="00EB291A">
              <w:rPr>
                <w:rFonts w:ascii="Arial" w:hAnsi="Arial" w:cs="Arial"/>
                <w:b w:val="0"/>
                <w:color w:val="000000"/>
                <w:sz w:val="20"/>
                <w:lang w:val="en-CA" w:eastAsia="zh-CN"/>
              </w:rPr>
              <w:t>1</w:t>
            </w:r>
          </w:p>
        </w:tc>
      </w:tr>
    </w:tbl>
    <w:p w14:paraId="6B6687CC" w14:textId="77777777" w:rsidR="00F44595" w:rsidRPr="005578C9" w:rsidRDefault="00F44595" w:rsidP="00F44595">
      <w:pPr>
        <w:rPr>
          <w:rFonts w:ascii="Arial" w:hAnsi="Arial" w:cs="Arial"/>
          <w:b w:val="0"/>
          <w:sz w:val="20"/>
          <w:lang w:val="en-CA"/>
        </w:rPr>
      </w:pPr>
      <w:r w:rsidRPr="00EB291A">
        <w:rPr>
          <w:rFonts w:ascii="Arial" w:eastAsia="SimSun" w:hAnsi="Arial" w:cs="Arial"/>
          <w:b w:val="0"/>
          <w:sz w:val="20"/>
        </w:rPr>
        <w:t xml:space="preserve">Abbreviations: ECT, electroconvulsive therapy; QALY, quality-adjusted life-year; </w:t>
      </w:r>
      <w:proofErr w:type="spellStart"/>
      <w:r w:rsidRPr="00EB291A">
        <w:rPr>
          <w:rFonts w:ascii="Arial" w:eastAsia="SimSun" w:hAnsi="Arial" w:cs="Arial"/>
          <w:b w:val="0"/>
          <w:sz w:val="20"/>
        </w:rPr>
        <w:t>rTMS</w:t>
      </w:r>
      <w:proofErr w:type="spellEnd"/>
      <w:r w:rsidRPr="00EB291A">
        <w:rPr>
          <w:rFonts w:ascii="Arial" w:eastAsia="SimSun" w:hAnsi="Arial" w:cs="Arial"/>
          <w:b w:val="0"/>
          <w:sz w:val="20"/>
        </w:rPr>
        <w:t>, repetitive transcranial magnetic stimulation</w:t>
      </w:r>
      <w:r w:rsidRPr="005578C9">
        <w:rPr>
          <w:rFonts w:ascii="Arial" w:eastAsia="SimSun" w:hAnsi="Arial" w:cs="Arial"/>
          <w:b w:val="0"/>
          <w:sz w:val="20"/>
        </w:rPr>
        <w:t>.</w:t>
      </w:r>
      <w:r w:rsidRPr="005578C9">
        <w:rPr>
          <w:rFonts w:ascii="Arial" w:hAnsi="Arial" w:cs="Arial"/>
          <w:b w:val="0"/>
          <w:sz w:val="20"/>
          <w:lang w:val="en-CA"/>
        </w:rPr>
        <w:t xml:space="preserve"> </w:t>
      </w:r>
    </w:p>
    <w:p w14:paraId="24237E01" w14:textId="540B2C6D" w:rsidR="00F44595" w:rsidRDefault="00F44595">
      <w:pPr>
        <w:rPr>
          <w:rFonts w:ascii="Arial" w:hAnsi="Arial" w:cs="Arial"/>
        </w:rPr>
        <w:sectPr w:rsidR="00F44595" w:rsidSect="00F44595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EB05FF1" w14:textId="213C5F5F" w:rsidR="00F44595" w:rsidRDefault="00F44595">
      <w:pPr>
        <w:rPr>
          <w:rFonts w:ascii="Arial" w:hAnsi="Arial" w:cs="Arial"/>
        </w:rPr>
      </w:pPr>
    </w:p>
    <w:p w14:paraId="55FFA40F" w14:textId="77777777" w:rsidR="00F44595" w:rsidRDefault="00F44595">
      <w:pPr>
        <w:rPr>
          <w:rFonts w:ascii="Arial" w:hAnsi="Arial" w:cs="Arial"/>
        </w:rPr>
      </w:pPr>
    </w:p>
    <w:p w14:paraId="618F9FB9" w14:textId="5DEF65DB" w:rsidR="00F72B89" w:rsidRDefault="00F72B89">
      <w:pPr>
        <w:rPr>
          <w:rFonts w:ascii="Arial" w:hAnsi="Arial" w:cs="Arial"/>
        </w:rPr>
      </w:pPr>
    </w:p>
    <w:p w14:paraId="442360BE" w14:textId="77777777" w:rsidR="00F72B89" w:rsidRDefault="00F72B89">
      <w:pPr>
        <w:rPr>
          <w:rFonts w:ascii="Arial" w:hAnsi="Arial" w:cs="Arial"/>
        </w:rPr>
      </w:pPr>
    </w:p>
    <w:p w14:paraId="21F9D32A" w14:textId="1B4C9D25" w:rsidR="00F72B89" w:rsidRDefault="00F72B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References: </w:t>
      </w:r>
    </w:p>
    <w:p w14:paraId="5BEB6709" w14:textId="77777777" w:rsidR="00F72B89" w:rsidRDefault="00F72B89">
      <w:pPr>
        <w:rPr>
          <w:rFonts w:ascii="Arial" w:hAnsi="Arial" w:cs="Arial"/>
        </w:rPr>
      </w:pPr>
    </w:p>
    <w:p w14:paraId="56A21A2F" w14:textId="6D61D47F" w:rsidR="00E013F6" w:rsidRPr="00E013F6" w:rsidRDefault="00F72B89" w:rsidP="00E013F6">
      <w:pPr>
        <w:pStyle w:val="EndNoteBibliography"/>
        <w:spacing w:after="120" w:line="288" w:lineRule="auto"/>
        <w:rPr>
          <w:rFonts w:ascii="Arial" w:hAnsi="Arial" w:cs="Arial"/>
          <w:b w:val="0"/>
          <w:sz w:val="22"/>
          <w:szCs w:val="22"/>
        </w:rPr>
      </w:pPr>
      <w:r w:rsidRPr="00E013F6">
        <w:rPr>
          <w:rFonts w:ascii="Arial" w:hAnsi="Arial" w:cs="Arial"/>
          <w:b w:val="0"/>
          <w:sz w:val="22"/>
          <w:szCs w:val="22"/>
        </w:rPr>
        <w:fldChar w:fldCharType="begin"/>
      </w:r>
      <w:r w:rsidRPr="00E013F6">
        <w:rPr>
          <w:rFonts w:ascii="Arial" w:hAnsi="Arial" w:cs="Arial"/>
          <w:b w:val="0"/>
          <w:sz w:val="22"/>
          <w:szCs w:val="22"/>
        </w:rPr>
        <w:instrText xml:space="preserve"> ADDIN EN.REFLIST </w:instrText>
      </w:r>
      <w:r w:rsidRPr="00E013F6">
        <w:rPr>
          <w:rFonts w:ascii="Arial" w:hAnsi="Arial" w:cs="Arial"/>
          <w:b w:val="0"/>
          <w:sz w:val="22"/>
          <w:szCs w:val="22"/>
        </w:rPr>
        <w:fldChar w:fldCharType="separate"/>
      </w:r>
      <w:r w:rsidR="00E013F6" w:rsidRPr="00E013F6">
        <w:rPr>
          <w:rFonts w:ascii="Arial" w:hAnsi="Arial" w:cs="Arial"/>
          <w:b w:val="0"/>
          <w:sz w:val="22"/>
          <w:szCs w:val="22"/>
        </w:rPr>
        <w:t>1.</w:t>
      </w:r>
      <w:r w:rsidR="00E013F6" w:rsidRPr="00E013F6">
        <w:rPr>
          <w:rFonts w:ascii="Arial" w:hAnsi="Arial" w:cs="Arial"/>
          <w:b w:val="0"/>
          <w:sz w:val="22"/>
          <w:szCs w:val="22"/>
        </w:rPr>
        <w:tab/>
        <w:t xml:space="preserve">The Food and Drug Administration of the United States. 2016. Non-Inferiority Clinical Trials to Establish Effectiveness: Guidance for Industry. Available at: </w:t>
      </w:r>
      <w:hyperlink r:id="rId14" w:history="1">
        <w:r w:rsidR="00E013F6" w:rsidRPr="00E013F6">
          <w:rPr>
            <w:rStyle w:val="Hyperlink"/>
            <w:rFonts w:ascii="Arial" w:hAnsi="Arial" w:cs="Arial"/>
            <w:b w:val="0"/>
            <w:sz w:val="22"/>
            <w:szCs w:val="22"/>
          </w:rPr>
          <w:t>https://www.fda.gov/downloads/Drugs/Guidances/UCM202140.pdf</w:t>
        </w:r>
      </w:hyperlink>
      <w:r w:rsidR="00E013F6" w:rsidRPr="00E013F6">
        <w:rPr>
          <w:rFonts w:ascii="Arial" w:hAnsi="Arial" w:cs="Arial"/>
          <w:b w:val="0"/>
          <w:sz w:val="22"/>
          <w:szCs w:val="22"/>
        </w:rPr>
        <w:t xml:space="preserve"> (accessed 7 October 2017).</w:t>
      </w:r>
    </w:p>
    <w:p w14:paraId="7BD5765B" w14:textId="77777777" w:rsidR="00E013F6" w:rsidRPr="00E013F6" w:rsidRDefault="00E013F6" w:rsidP="00E013F6">
      <w:pPr>
        <w:pStyle w:val="EndNoteBibliography"/>
        <w:spacing w:after="120" w:line="288" w:lineRule="auto"/>
        <w:rPr>
          <w:rFonts w:ascii="Arial" w:hAnsi="Arial" w:cs="Arial"/>
          <w:b w:val="0"/>
          <w:sz w:val="22"/>
          <w:szCs w:val="22"/>
        </w:rPr>
      </w:pPr>
      <w:r w:rsidRPr="00E013F6">
        <w:rPr>
          <w:rFonts w:ascii="Arial" w:hAnsi="Arial" w:cs="Arial"/>
          <w:b w:val="0"/>
          <w:sz w:val="22"/>
          <w:szCs w:val="22"/>
        </w:rPr>
        <w:t>2.</w:t>
      </w:r>
      <w:r w:rsidRPr="00E013F6">
        <w:rPr>
          <w:rFonts w:ascii="Arial" w:hAnsi="Arial" w:cs="Arial"/>
          <w:b w:val="0"/>
          <w:sz w:val="22"/>
          <w:szCs w:val="22"/>
        </w:rPr>
        <w:tab/>
        <w:t>Wangge G, Roes KC, de Boer A, Hoes AW, Knol MJ. The challenges of determining noninferiority margins: a case study of noninferiority randomized controlled trials of novel oral anticoagulants. CMAJ. 2013;185(3):222-7.</w:t>
      </w:r>
      <w:bookmarkStart w:id="1" w:name="_GoBack"/>
      <w:bookmarkEnd w:id="1"/>
    </w:p>
    <w:p w14:paraId="65354EA9" w14:textId="00A2AD0D" w:rsidR="00F72B89" w:rsidRPr="00F72B89" w:rsidRDefault="00F72B89" w:rsidP="00E013F6">
      <w:pPr>
        <w:spacing w:after="120" w:line="288" w:lineRule="auto"/>
        <w:rPr>
          <w:rFonts w:ascii="Arial" w:hAnsi="Arial" w:cs="Arial"/>
        </w:rPr>
      </w:pPr>
      <w:r w:rsidRPr="00E013F6">
        <w:rPr>
          <w:rFonts w:ascii="Arial" w:hAnsi="Arial" w:cs="Arial"/>
          <w:b w:val="0"/>
          <w:sz w:val="22"/>
          <w:szCs w:val="22"/>
        </w:rPr>
        <w:fldChar w:fldCharType="end"/>
      </w:r>
    </w:p>
    <w:sectPr w:rsidR="00F72B89" w:rsidRPr="00F72B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27287" w14:textId="77777777" w:rsidR="00536973" w:rsidRDefault="00536973" w:rsidP="00491251">
      <w:r>
        <w:separator/>
      </w:r>
    </w:p>
  </w:endnote>
  <w:endnote w:type="continuationSeparator" w:id="0">
    <w:p w14:paraId="5E22C475" w14:textId="77777777" w:rsidR="00536973" w:rsidRDefault="00536973" w:rsidP="0049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26C5" w14:textId="77777777" w:rsidR="00491251" w:rsidRDefault="00491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DA994" w14:textId="77777777" w:rsidR="00491251" w:rsidRDefault="00491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60A40" w14:textId="77777777" w:rsidR="00491251" w:rsidRDefault="0049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189E6" w14:textId="77777777" w:rsidR="00536973" w:rsidRDefault="00536973" w:rsidP="00491251">
      <w:r>
        <w:separator/>
      </w:r>
    </w:p>
  </w:footnote>
  <w:footnote w:type="continuationSeparator" w:id="0">
    <w:p w14:paraId="7EDDC8EB" w14:textId="77777777" w:rsidR="00536973" w:rsidRDefault="00536973" w:rsidP="0049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2F32" w14:textId="77777777" w:rsidR="00491251" w:rsidRDefault="00491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397E" w14:textId="1D3650BB" w:rsidR="00491251" w:rsidRPr="00491251" w:rsidRDefault="00491251" w:rsidP="00491251">
    <w:pPr>
      <w:pStyle w:val="Header"/>
      <w:jc w:val="right"/>
      <w:rPr>
        <w:rFonts w:ascii="Arial" w:hAnsi="Arial" w:cs="Arial"/>
        <w:b w:val="0"/>
        <w:sz w:val="22"/>
        <w:szCs w:val="22"/>
      </w:rPr>
    </w:pPr>
    <w:r w:rsidRPr="00491251">
      <w:rPr>
        <w:rFonts w:ascii="Arial" w:hAnsi="Arial" w:cs="Arial"/>
        <w:b w:val="0"/>
        <w:sz w:val="22"/>
        <w:szCs w:val="22"/>
      </w:rPr>
      <w:t>A non-inferiority framework for CEA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1666" w14:textId="77777777" w:rsidR="00491251" w:rsidRDefault="00491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fzrrtzzw0eaeeddv3p5r9h0vr55wedrt0a&quot;&gt;NI_Economics&lt;record-ids&gt;&lt;item&gt;1&lt;/item&gt;&lt;item&gt;36&lt;/item&gt;&lt;/record-ids&gt;&lt;/item&gt;&lt;/Libraries&gt;"/>
  </w:docVars>
  <w:rsids>
    <w:rsidRoot w:val="00F72B89"/>
    <w:rsid w:val="00093C98"/>
    <w:rsid w:val="000A7E50"/>
    <w:rsid w:val="000E1E61"/>
    <w:rsid w:val="00147650"/>
    <w:rsid w:val="0015557E"/>
    <w:rsid w:val="00174B91"/>
    <w:rsid w:val="001879F8"/>
    <w:rsid w:val="00187D9E"/>
    <w:rsid w:val="001A71D6"/>
    <w:rsid w:val="001D0951"/>
    <w:rsid w:val="001D12A0"/>
    <w:rsid w:val="001E3B5B"/>
    <w:rsid w:val="002A492B"/>
    <w:rsid w:val="002E431F"/>
    <w:rsid w:val="002F038C"/>
    <w:rsid w:val="0030774E"/>
    <w:rsid w:val="00317FA7"/>
    <w:rsid w:val="003531B5"/>
    <w:rsid w:val="003D726E"/>
    <w:rsid w:val="003E702D"/>
    <w:rsid w:val="003F5A91"/>
    <w:rsid w:val="00401382"/>
    <w:rsid w:val="00451ED9"/>
    <w:rsid w:val="00465944"/>
    <w:rsid w:val="00484BF0"/>
    <w:rsid w:val="00491251"/>
    <w:rsid w:val="004B2619"/>
    <w:rsid w:val="004D1991"/>
    <w:rsid w:val="00536973"/>
    <w:rsid w:val="0054034D"/>
    <w:rsid w:val="005D0CB6"/>
    <w:rsid w:val="006041B9"/>
    <w:rsid w:val="006209BA"/>
    <w:rsid w:val="00645A0F"/>
    <w:rsid w:val="0065652F"/>
    <w:rsid w:val="007A7D19"/>
    <w:rsid w:val="007B1696"/>
    <w:rsid w:val="00817BEB"/>
    <w:rsid w:val="0084471D"/>
    <w:rsid w:val="00891E90"/>
    <w:rsid w:val="008A325F"/>
    <w:rsid w:val="008B5CB7"/>
    <w:rsid w:val="008E20AB"/>
    <w:rsid w:val="008E50CF"/>
    <w:rsid w:val="0096110F"/>
    <w:rsid w:val="00976F07"/>
    <w:rsid w:val="00993811"/>
    <w:rsid w:val="00A879B0"/>
    <w:rsid w:val="00AA114E"/>
    <w:rsid w:val="00AC0F31"/>
    <w:rsid w:val="00AD69EB"/>
    <w:rsid w:val="00B41E67"/>
    <w:rsid w:val="00B719FE"/>
    <w:rsid w:val="00B72E79"/>
    <w:rsid w:val="00BF3936"/>
    <w:rsid w:val="00C36B15"/>
    <w:rsid w:val="00C72B0F"/>
    <w:rsid w:val="00CC4676"/>
    <w:rsid w:val="00D56F49"/>
    <w:rsid w:val="00D771E5"/>
    <w:rsid w:val="00DD12D0"/>
    <w:rsid w:val="00E013F6"/>
    <w:rsid w:val="00E46E9E"/>
    <w:rsid w:val="00E717D5"/>
    <w:rsid w:val="00EA6779"/>
    <w:rsid w:val="00F44595"/>
    <w:rsid w:val="00F72B89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7DCF"/>
  <w15:chartTrackingRefBased/>
  <w15:docId w15:val="{C27A4B46-4392-4F88-8597-A205D4ED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link w:val="TableTitleChar"/>
    <w:uiPriority w:val="99"/>
    <w:rsid w:val="00F72B89"/>
    <w:pPr>
      <w:spacing w:after="120"/>
      <w:ind w:left="794" w:hanging="794"/>
    </w:pPr>
    <w:rPr>
      <w:rFonts w:ascii="Arial" w:hAnsi="Arial"/>
      <w:sz w:val="20"/>
      <w:szCs w:val="24"/>
      <w:lang w:val="en-CA"/>
    </w:rPr>
  </w:style>
  <w:style w:type="character" w:customStyle="1" w:styleId="TableTitleChar">
    <w:name w:val="Table Title Char"/>
    <w:link w:val="TableTitle"/>
    <w:uiPriority w:val="99"/>
    <w:locked/>
    <w:rsid w:val="00F72B89"/>
    <w:rPr>
      <w:rFonts w:ascii="Arial" w:eastAsia="Times New Roman" w:hAnsi="Arial" w:cs="Times New Roman"/>
      <w:b/>
      <w:sz w:val="20"/>
      <w:szCs w:val="24"/>
    </w:rPr>
  </w:style>
  <w:style w:type="paragraph" w:customStyle="1" w:styleId="TableFootnote">
    <w:name w:val="Table Footnote"/>
    <w:basedOn w:val="Normal"/>
    <w:next w:val="Normal"/>
    <w:uiPriority w:val="99"/>
    <w:rsid w:val="00F72B89"/>
    <w:pPr>
      <w:spacing w:after="20"/>
    </w:pPr>
    <w:rPr>
      <w:rFonts w:ascii="Arial" w:hAnsi="Arial"/>
      <w:b w:val="0"/>
      <w:sz w:val="14"/>
      <w:szCs w:val="24"/>
      <w:lang w:val="en-CA"/>
    </w:rPr>
  </w:style>
  <w:style w:type="paragraph" w:customStyle="1" w:styleId="TableText">
    <w:name w:val="Table Text"/>
    <w:basedOn w:val="BodyText2"/>
    <w:uiPriority w:val="99"/>
    <w:rsid w:val="00F72B89"/>
    <w:pPr>
      <w:widowControl w:val="0"/>
      <w:spacing w:after="0" w:line="240" w:lineRule="auto"/>
    </w:pPr>
    <w:rPr>
      <w:rFonts w:ascii="Arial" w:hAnsi="Arial"/>
      <w:b w:val="0"/>
      <w:sz w:val="18"/>
      <w:lang w:val="en-C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72B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2B8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F72B89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2B89"/>
    <w:rPr>
      <w:rFonts w:ascii="Times New Roman" w:eastAsia="Times New Roman" w:hAnsi="Times New Roman" w:cs="Times New Roman"/>
      <w:b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72B89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72B89"/>
    <w:rPr>
      <w:rFonts w:ascii="Times New Roman" w:eastAsia="Times New Roman" w:hAnsi="Times New Roman" w:cs="Times New Roman"/>
      <w:b/>
      <w:noProof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1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251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1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25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01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3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B7"/>
    <w:rPr>
      <w:rFonts w:ascii="Segoe UI" w:eastAsia="Times New Roman" w:hAnsi="Segoe UI" w:cs="Segoe UI"/>
      <w:b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s://www.fda.gov/downloads/Drugs/Guidances/UCM20214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Xie, Shawn</dc:creator>
  <cp:keywords/>
  <dc:description/>
  <cp:lastModifiedBy>Xie, Shawn</cp:lastModifiedBy>
  <cp:revision>2</cp:revision>
  <dcterms:created xsi:type="dcterms:W3CDTF">2019-05-13T22:13:00Z</dcterms:created>
  <dcterms:modified xsi:type="dcterms:W3CDTF">2019-05-13T22:13:00Z</dcterms:modified>
</cp:coreProperties>
</file>