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45" w:rsidRPr="00CC3545" w:rsidRDefault="00CC3545" w:rsidP="00CC3545">
      <w:pPr>
        <w:pStyle w:val="Caption"/>
        <w:keepNext/>
      </w:pPr>
      <w:r>
        <w:rPr>
          <w:i w:val="0"/>
          <w:sz w:val="22"/>
          <w:szCs w:val="22"/>
        </w:rPr>
        <w:t xml:space="preserve">Supplemental </w:t>
      </w:r>
      <w:r w:rsidRPr="00CC3545">
        <w:rPr>
          <w:i w:val="0"/>
          <w:sz w:val="22"/>
          <w:szCs w:val="22"/>
        </w:rPr>
        <w:t xml:space="preserve">Table </w:t>
      </w:r>
      <w:r w:rsidRPr="00CC3545">
        <w:rPr>
          <w:i w:val="0"/>
          <w:sz w:val="22"/>
          <w:szCs w:val="22"/>
        </w:rPr>
        <w:fldChar w:fldCharType="begin"/>
      </w:r>
      <w:r w:rsidRPr="00CC3545">
        <w:rPr>
          <w:i w:val="0"/>
          <w:sz w:val="22"/>
          <w:szCs w:val="22"/>
        </w:rPr>
        <w:instrText xml:space="preserve"> SEQ Table \* ARABIC </w:instrText>
      </w:r>
      <w:r w:rsidRPr="00CC3545">
        <w:rPr>
          <w:i w:val="0"/>
          <w:sz w:val="22"/>
          <w:szCs w:val="22"/>
        </w:rPr>
        <w:fldChar w:fldCharType="separate"/>
      </w:r>
      <w:r>
        <w:rPr>
          <w:i w:val="0"/>
          <w:noProof/>
          <w:sz w:val="22"/>
          <w:szCs w:val="22"/>
        </w:rPr>
        <w:t>1</w:t>
      </w:r>
      <w:r w:rsidRPr="00CC3545">
        <w:rPr>
          <w:i w:val="0"/>
          <w:sz w:val="22"/>
          <w:szCs w:val="22"/>
        </w:rPr>
        <w:fldChar w:fldCharType="end"/>
      </w:r>
      <w:r>
        <w:rPr>
          <w:i w:val="0"/>
          <w:sz w:val="22"/>
          <w:szCs w:val="22"/>
        </w:rPr>
        <w:t xml:space="preserve">. Past TAU reports included in our pilot exercise and for identifying relevant decision criteria (Full reports available at </w:t>
      </w:r>
      <w:hyperlink r:id="rId4" w:history="1">
        <w:r w:rsidRPr="00DD2157">
          <w:rPr>
            <w:rStyle w:val="Hyperlink"/>
            <w:i w:val="0"/>
            <w:sz w:val="22"/>
            <w:szCs w:val="22"/>
          </w:rPr>
          <w:t>https://muhc.ca/tau/page/tau-reports</w:t>
        </w:r>
      </w:hyperlink>
      <w:r>
        <w:rPr>
          <w:i w:val="0"/>
          <w:sz w:val="22"/>
          <w:szCs w:val="22"/>
        </w:rPr>
        <w:t>)</w:t>
      </w:r>
    </w:p>
    <w:tbl>
      <w:tblPr>
        <w:tblStyle w:val="ListTable3-Accent1"/>
        <w:tblW w:w="10592" w:type="dxa"/>
        <w:tblLook w:val="04A0" w:firstRow="1" w:lastRow="0" w:firstColumn="1" w:lastColumn="0" w:noHBand="0" w:noVBand="1"/>
      </w:tblPr>
      <w:tblGrid>
        <w:gridCol w:w="3156"/>
        <w:gridCol w:w="5595"/>
        <w:gridCol w:w="1841"/>
      </w:tblGrid>
      <w:tr w:rsidR="00451B7B" w:rsidTr="00CC35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56" w:type="dxa"/>
          </w:tcPr>
          <w:p w:rsidR="00451B7B" w:rsidRPr="005A3E7C" w:rsidRDefault="00451B7B" w:rsidP="005A3E7C">
            <w:pPr>
              <w:rPr>
                <w:b w:val="0"/>
              </w:rPr>
            </w:pPr>
            <w:r w:rsidRPr="005A3E7C">
              <w:rPr>
                <w:b w:val="0"/>
              </w:rPr>
              <w:t>Name</w:t>
            </w:r>
          </w:p>
        </w:tc>
        <w:tc>
          <w:tcPr>
            <w:tcW w:w="5595" w:type="dxa"/>
          </w:tcPr>
          <w:p w:rsidR="00451B7B" w:rsidRPr="00E81630" w:rsidRDefault="00451B7B" w:rsidP="005A3E7C">
            <w:pPr>
              <w:cnfStyle w:val="100000000000" w:firstRow="1" w:lastRow="0" w:firstColumn="0" w:lastColumn="0" w:oddVBand="0" w:evenVBand="0" w:oddHBand="0" w:evenHBand="0" w:firstRowFirstColumn="0" w:firstRowLastColumn="0" w:lastRowFirstColumn="0" w:lastRowLastColumn="0"/>
            </w:pPr>
            <w:r w:rsidRPr="00E81630">
              <w:t>Objective</w:t>
            </w:r>
          </w:p>
        </w:tc>
        <w:tc>
          <w:tcPr>
            <w:tcW w:w="1841" w:type="dxa"/>
          </w:tcPr>
          <w:p w:rsidR="00451B7B" w:rsidRPr="00E81630" w:rsidRDefault="00B375F3" w:rsidP="005A3E7C">
            <w:pPr>
              <w:cnfStyle w:val="100000000000" w:firstRow="1" w:lastRow="0" w:firstColumn="0" w:lastColumn="0" w:oddVBand="0" w:evenVBand="0" w:oddHBand="0" w:evenHBand="0" w:firstRowFirstColumn="0" w:firstRowLastColumn="0" w:lastRowFirstColumn="0" w:lastRowLastColumn="0"/>
            </w:pPr>
            <w:r>
              <w:t>Recommendation issued</w:t>
            </w:r>
          </w:p>
        </w:tc>
      </w:tr>
      <w:tr w:rsidR="00451B7B"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451B7B" w:rsidRPr="0000085D" w:rsidRDefault="00B375F3" w:rsidP="005A3E7C">
            <w:pPr>
              <w:rPr>
                <w:b w:val="0"/>
              </w:rPr>
            </w:pPr>
            <w:r w:rsidRPr="0000085D">
              <w:rPr>
                <w:b w:val="0"/>
              </w:rPr>
              <w:t>Islet transplantation in patients with Type 1 Diabetes Mellitus</w:t>
            </w:r>
          </w:p>
        </w:tc>
        <w:tc>
          <w:tcPr>
            <w:tcW w:w="5595" w:type="dxa"/>
          </w:tcPr>
          <w:p w:rsidR="00451B7B" w:rsidRPr="00E81630" w:rsidRDefault="00451B7B" w:rsidP="00B375F3">
            <w:pPr>
              <w:cnfStyle w:val="000000100000" w:firstRow="0" w:lastRow="0" w:firstColumn="0" w:lastColumn="0" w:oddVBand="0" w:evenVBand="0" w:oddHBand="1" w:evenHBand="0" w:firstRowFirstColumn="0" w:firstRowLastColumn="0" w:lastRowFirstColumn="0" w:lastRowLastColumn="0"/>
            </w:pPr>
            <w:r w:rsidRPr="00E81630">
              <w:t>To assess th</w:t>
            </w:r>
            <w:r w:rsidR="00B375F3">
              <w:t>e effectiveness and safety of i</w:t>
            </w:r>
            <w:r w:rsidR="00B375F3" w:rsidRPr="00B375F3">
              <w:t>slet transplantation</w:t>
            </w:r>
            <w:r w:rsidRPr="00E81630">
              <w:t xml:space="preserve"> in </w:t>
            </w:r>
            <w:r w:rsidR="00B375F3">
              <w:t>patient</w:t>
            </w:r>
            <w:r w:rsidRPr="00E81630">
              <w:t xml:space="preserve">s who have undergone kidney transplant;  To ascertain the budget impact of </w:t>
            </w:r>
            <w:r w:rsidR="00B375F3">
              <w:t>i</w:t>
            </w:r>
            <w:r w:rsidR="00B375F3" w:rsidRPr="00B375F3">
              <w:t>slet transplantation</w:t>
            </w:r>
            <w:r w:rsidRPr="00E81630">
              <w:t xml:space="preserve"> vs</w:t>
            </w:r>
            <w:r w:rsidR="00B375F3">
              <w:t>.</w:t>
            </w:r>
            <w:r w:rsidRPr="00E81630">
              <w:t xml:space="preserve"> </w:t>
            </w:r>
            <w:r w:rsidR="00B375F3">
              <w:t xml:space="preserve">pancreas transplantation </w:t>
            </w:r>
            <w:r w:rsidRPr="00E81630">
              <w:t xml:space="preserve">and </w:t>
            </w:r>
            <w:r w:rsidR="00B375F3" w:rsidRPr="00B375F3">
              <w:t>intensive insulin treatment</w:t>
            </w:r>
            <w:r w:rsidRPr="00E81630">
              <w:t xml:space="preserve"> in p</w:t>
            </w:r>
            <w:r w:rsidR="00B375F3">
              <w:t>a</w:t>
            </w:r>
            <w:r w:rsidRPr="00E81630">
              <w:t>t</w:t>
            </w:r>
            <w:r w:rsidR="00B375F3">
              <w:t>ient</w:t>
            </w:r>
            <w:r w:rsidRPr="00E81630">
              <w:t>s with kidney transplant</w:t>
            </w:r>
          </w:p>
        </w:tc>
        <w:tc>
          <w:tcPr>
            <w:tcW w:w="1841" w:type="dxa"/>
          </w:tcPr>
          <w:p w:rsidR="00451B7B" w:rsidRPr="00E81630" w:rsidRDefault="00B375F3" w:rsidP="005A3E7C">
            <w:pPr>
              <w:cnfStyle w:val="000000100000" w:firstRow="0" w:lastRow="0" w:firstColumn="0" w:lastColumn="0" w:oddVBand="0" w:evenVBand="0" w:oddHBand="1" w:evenHBand="0" w:firstRowFirstColumn="0" w:firstRowLastColumn="0" w:lastRowFirstColumn="0" w:lastRowLastColumn="0"/>
            </w:pPr>
            <w:r>
              <w:t>Approved for evaluation</w:t>
            </w:r>
          </w:p>
        </w:tc>
      </w:tr>
      <w:tr w:rsidR="00451B7B" w:rsidTr="00CC3545">
        <w:tc>
          <w:tcPr>
            <w:cnfStyle w:val="001000000000" w:firstRow="0" w:lastRow="0" w:firstColumn="1" w:lastColumn="0" w:oddVBand="0" w:evenVBand="0" w:oddHBand="0" w:evenHBand="0" w:firstRowFirstColumn="0" w:firstRowLastColumn="0" w:lastRowFirstColumn="0" w:lastRowLastColumn="0"/>
            <w:tcW w:w="3156" w:type="dxa"/>
          </w:tcPr>
          <w:p w:rsidR="00451B7B" w:rsidRPr="0000085D" w:rsidRDefault="00451B7B" w:rsidP="00B375F3">
            <w:pPr>
              <w:rPr>
                <w:b w:val="0"/>
              </w:rPr>
            </w:pPr>
            <w:r w:rsidRPr="0000085D">
              <w:rPr>
                <w:b w:val="0"/>
              </w:rPr>
              <w:t>Pulsatile Machine Perfusion</w:t>
            </w:r>
            <w:r w:rsidR="00B375F3" w:rsidRPr="0000085D">
              <w:rPr>
                <w:b w:val="0"/>
              </w:rPr>
              <w:t xml:space="preserve"> compared to cold storage in kidney preservation</w:t>
            </w:r>
          </w:p>
        </w:tc>
        <w:tc>
          <w:tcPr>
            <w:tcW w:w="5595" w:type="dxa"/>
          </w:tcPr>
          <w:p w:rsidR="00451B7B" w:rsidRPr="00E81630" w:rsidRDefault="00451B7B" w:rsidP="00B375F3">
            <w:pPr>
              <w:cnfStyle w:val="000000000000" w:firstRow="0" w:lastRow="0" w:firstColumn="0" w:lastColumn="0" w:oddVBand="0" w:evenVBand="0" w:oddHBand="0" w:evenHBand="0" w:firstRowFirstColumn="0" w:firstRowLastColumn="0" w:lastRowFirstColumn="0" w:lastRowLastColumn="0"/>
            </w:pPr>
            <w:r w:rsidRPr="00E81630">
              <w:t xml:space="preserve">To assess the </w:t>
            </w:r>
            <w:r w:rsidR="00B375F3" w:rsidRPr="00E81630">
              <w:t>effectiveness</w:t>
            </w:r>
            <w:r w:rsidRPr="00E81630">
              <w:t xml:space="preserve"> of machine perfusion in reducing risk of delayed graft function vs</w:t>
            </w:r>
            <w:r w:rsidR="00B375F3">
              <w:t>.</w:t>
            </w:r>
            <w:r w:rsidRPr="00E81630">
              <w:t xml:space="preserve"> cold storage; To assess budget impact</w:t>
            </w:r>
          </w:p>
        </w:tc>
        <w:tc>
          <w:tcPr>
            <w:tcW w:w="1841" w:type="dxa"/>
          </w:tcPr>
          <w:p w:rsidR="00451B7B" w:rsidRPr="00E81630" w:rsidRDefault="00B375F3" w:rsidP="005A3E7C">
            <w:pPr>
              <w:cnfStyle w:val="000000000000" w:firstRow="0" w:lastRow="0" w:firstColumn="0" w:lastColumn="0" w:oddVBand="0" w:evenVBand="0" w:oddHBand="0" w:evenHBand="0" w:firstRowFirstColumn="0" w:firstRowLastColumn="0" w:lastRowFirstColumn="0" w:lastRowLastColumn="0"/>
            </w:pPr>
            <w:r>
              <w:t>Approved</w:t>
            </w:r>
          </w:p>
        </w:tc>
      </w:tr>
      <w:tr w:rsidR="00B375F3"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B375F3" w:rsidRPr="0000085D" w:rsidRDefault="00B375F3" w:rsidP="00B375F3">
            <w:pPr>
              <w:rPr>
                <w:b w:val="0"/>
              </w:rPr>
            </w:pPr>
            <w:r w:rsidRPr="0000085D">
              <w:rPr>
                <w:b w:val="0"/>
              </w:rPr>
              <w:t>Single-dose Intraoperative Radiotherapy Using Intrabeam® for Early-stage Breast cancer</w:t>
            </w:r>
          </w:p>
        </w:tc>
        <w:tc>
          <w:tcPr>
            <w:tcW w:w="5595" w:type="dxa"/>
          </w:tcPr>
          <w:p w:rsidR="00B375F3" w:rsidRPr="00E81630" w:rsidRDefault="00B375F3" w:rsidP="00B375F3">
            <w:pPr>
              <w:cnfStyle w:val="000000100000" w:firstRow="0" w:lastRow="0" w:firstColumn="0" w:lastColumn="0" w:oddVBand="0" w:evenVBand="0" w:oddHBand="1" w:evenHBand="0" w:firstRowFirstColumn="0" w:firstRowLastColumn="0" w:lastRowFirstColumn="0" w:lastRowLastColumn="0"/>
            </w:pPr>
            <w:r w:rsidRPr="00E81630">
              <w:t>To evaluate the effectiveness and safety of Intrabeam radiotherapy for early-stage breast cancer; To estimate the budget impact</w:t>
            </w:r>
          </w:p>
        </w:tc>
        <w:tc>
          <w:tcPr>
            <w:tcW w:w="1841" w:type="dxa"/>
          </w:tcPr>
          <w:p w:rsidR="00B375F3" w:rsidRPr="00E81630" w:rsidRDefault="00B375F3" w:rsidP="00B375F3">
            <w:pPr>
              <w:cnfStyle w:val="000000100000" w:firstRow="0" w:lastRow="0" w:firstColumn="0" w:lastColumn="0" w:oddVBand="0" w:evenVBand="0" w:oddHBand="1" w:evenHBand="0" w:firstRowFirstColumn="0" w:firstRowLastColumn="0" w:lastRowFirstColumn="0" w:lastRowLastColumn="0"/>
            </w:pPr>
            <w:r>
              <w:t>Approved for evaluation</w:t>
            </w:r>
          </w:p>
        </w:tc>
      </w:tr>
      <w:tr w:rsidR="00B375F3" w:rsidTr="00CC3545">
        <w:tc>
          <w:tcPr>
            <w:cnfStyle w:val="001000000000" w:firstRow="0" w:lastRow="0" w:firstColumn="1" w:lastColumn="0" w:oddVBand="0" w:evenVBand="0" w:oddHBand="0" w:evenHBand="0" w:firstRowFirstColumn="0" w:firstRowLastColumn="0" w:lastRowFirstColumn="0" w:lastRowLastColumn="0"/>
            <w:tcW w:w="3156" w:type="dxa"/>
          </w:tcPr>
          <w:p w:rsidR="00B375F3" w:rsidRPr="0000085D" w:rsidRDefault="00B375F3" w:rsidP="00B375F3">
            <w:pPr>
              <w:rPr>
                <w:b w:val="0"/>
              </w:rPr>
            </w:pPr>
            <w:r w:rsidRPr="0000085D">
              <w:rPr>
                <w:b w:val="0"/>
              </w:rPr>
              <w:t>The Impella® percutaneous ventricular assist device</w:t>
            </w:r>
          </w:p>
        </w:tc>
        <w:tc>
          <w:tcPr>
            <w:tcW w:w="5595" w:type="dxa"/>
          </w:tcPr>
          <w:p w:rsidR="00B375F3" w:rsidRPr="00E81630" w:rsidRDefault="00B375F3" w:rsidP="00B375F3">
            <w:pPr>
              <w:cnfStyle w:val="000000000000" w:firstRow="0" w:lastRow="0" w:firstColumn="0" w:lastColumn="0" w:oddVBand="0" w:evenVBand="0" w:oddHBand="0" w:evenHBand="0" w:firstRowFirstColumn="0" w:firstRowLastColumn="0" w:lastRowFirstColumn="0" w:lastRowLastColumn="0"/>
            </w:pPr>
            <w:r w:rsidRPr="00E81630">
              <w:t>To assess the effectiveness and safety of the Impella® percutaneous ventricular assist device compared to alternatives</w:t>
            </w:r>
          </w:p>
        </w:tc>
        <w:tc>
          <w:tcPr>
            <w:tcW w:w="1841" w:type="dxa"/>
          </w:tcPr>
          <w:p w:rsidR="00B375F3" w:rsidRPr="00E81630" w:rsidRDefault="00B375F3" w:rsidP="00B375F3">
            <w:pPr>
              <w:cnfStyle w:val="000000000000" w:firstRow="0" w:lastRow="0" w:firstColumn="0" w:lastColumn="0" w:oddVBand="0" w:evenVBand="0" w:oddHBand="0" w:evenHBand="0" w:firstRowFirstColumn="0" w:firstRowLastColumn="0" w:lastRowFirstColumn="0" w:lastRowLastColumn="0"/>
            </w:pPr>
            <w:r>
              <w:t>Approved</w:t>
            </w:r>
          </w:p>
        </w:tc>
      </w:tr>
      <w:tr w:rsidR="00B375F3"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B375F3" w:rsidRPr="0000085D" w:rsidRDefault="00B375F3" w:rsidP="00B375F3">
            <w:pPr>
              <w:rPr>
                <w:b w:val="0"/>
              </w:rPr>
            </w:pPr>
            <w:r w:rsidRPr="0000085D">
              <w:rPr>
                <w:b w:val="0"/>
              </w:rPr>
              <w:t>BinaxNow</w:t>
            </w:r>
          </w:p>
        </w:tc>
        <w:tc>
          <w:tcPr>
            <w:tcW w:w="5595" w:type="dxa"/>
          </w:tcPr>
          <w:p w:rsidR="00B375F3" w:rsidRDefault="00B375F3" w:rsidP="00B375F3">
            <w:pPr>
              <w:cnfStyle w:val="000000100000" w:firstRow="0" w:lastRow="0" w:firstColumn="0" w:lastColumn="0" w:oddVBand="0" w:evenVBand="0" w:oddHBand="1" w:evenHBand="0" w:firstRowFirstColumn="0" w:firstRowLastColumn="0" w:lastRowFirstColumn="0" w:lastRowLastColumn="0"/>
            </w:pPr>
            <w:r>
              <w:t xml:space="preserve"> To assess the effectiveness and cost of a</w:t>
            </w:r>
          </w:p>
          <w:p w:rsidR="00B375F3" w:rsidRPr="00E81630" w:rsidRDefault="00B375F3" w:rsidP="00B375F3">
            <w:pPr>
              <w:cnfStyle w:val="000000100000" w:firstRow="0" w:lastRow="0" w:firstColumn="0" w:lastColumn="0" w:oddVBand="0" w:evenVBand="0" w:oddHBand="1" w:evenHBand="0" w:firstRowFirstColumn="0" w:firstRowLastColumn="0" w:lastRowFirstColumn="0" w:lastRowLastColumn="0"/>
            </w:pPr>
            <w:r>
              <w:t xml:space="preserve">pneumococcal urine antigen immunochromatographic test </w:t>
            </w:r>
            <w:r w:rsidRPr="00B375F3">
              <w:t xml:space="preserve">(BinaxNOW Streptococcus pneumoniae) </w:t>
            </w:r>
            <w:r>
              <w:t>in the diagnosis of community acquired Streptococcus pneumoniae pneumonia in patients admitted to hospital</w:t>
            </w:r>
          </w:p>
        </w:tc>
        <w:tc>
          <w:tcPr>
            <w:tcW w:w="1841" w:type="dxa"/>
          </w:tcPr>
          <w:p w:rsidR="00B375F3" w:rsidRPr="00E81630" w:rsidRDefault="00B375F3" w:rsidP="00B375F3">
            <w:pPr>
              <w:cnfStyle w:val="000000100000" w:firstRow="0" w:lastRow="0" w:firstColumn="0" w:lastColumn="0" w:oddVBand="0" w:evenVBand="0" w:oddHBand="1" w:evenHBand="0" w:firstRowFirstColumn="0" w:firstRowLastColumn="0" w:lastRowFirstColumn="0" w:lastRowLastColumn="0"/>
            </w:pPr>
            <w:r>
              <w:t>Not approved</w:t>
            </w:r>
          </w:p>
        </w:tc>
      </w:tr>
      <w:tr w:rsidR="00536149" w:rsidTr="00CC3545">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536149" w:rsidP="00536149">
            <w:pPr>
              <w:rPr>
                <w:b w:val="0"/>
              </w:rPr>
            </w:pPr>
            <w:r w:rsidRPr="0000085D">
              <w:rPr>
                <w:b w:val="0"/>
              </w:rPr>
              <w:t>Evaluation of acellular dermal matrix for breast reconstruction</w:t>
            </w:r>
          </w:p>
        </w:tc>
        <w:tc>
          <w:tcPr>
            <w:tcW w:w="5595" w:type="dxa"/>
          </w:tcPr>
          <w:p w:rsidR="00536149" w:rsidRPr="00E81630" w:rsidRDefault="00536149" w:rsidP="00536149">
            <w:pPr>
              <w:cnfStyle w:val="000000000000" w:firstRow="0" w:lastRow="0" w:firstColumn="0" w:lastColumn="0" w:oddVBand="0" w:evenVBand="0" w:oddHBand="0" w:evenHBand="0" w:firstRowFirstColumn="0" w:firstRowLastColumn="0" w:lastRowFirstColumn="0" w:lastRowLastColumn="0"/>
            </w:pPr>
            <w:r w:rsidRPr="00E81630">
              <w:t xml:space="preserve">To assess the aesthetic outcomes, and complication rate associated with </w:t>
            </w:r>
            <w:r w:rsidRPr="00536149">
              <w:t xml:space="preserve">acellular dermal matrix </w:t>
            </w:r>
            <w:r w:rsidRPr="00E81630">
              <w:t>use</w:t>
            </w:r>
          </w:p>
        </w:tc>
        <w:tc>
          <w:tcPr>
            <w:tcW w:w="1841" w:type="dxa"/>
          </w:tcPr>
          <w:p w:rsidR="00536149" w:rsidRPr="00E81630" w:rsidRDefault="00536149" w:rsidP="00536149">
            <w:pPr>
              <w:cnfStyle w:val="000000000000" w:firstRow="0" w:lastRow="0" w:firstColumn="0" w:lastColumn="0" w:oddVBand="0" w:evenVBand="0" w:oddHBand="0" w:evenHBand="0" w:firstRowFirstColumn="0" w:firstRowLastColumn="0" w:lastRowFirstColumn="0" w:lastRowLastColumn="0"/>
            </w:pPr>
            <w:r>
              <w:t>Approved for evaluation</w:t>
            </w:r>
          </w:p>
        </w:tc>
      </w:tr>
      <w:tr w:rsidR="00536149"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536149" w:rsidP="00536149">
            <w:pPr>
              <w:rPr>
                <w:b w:val="0"/>
              </w:rPr>
            </w:pPr>
            <w:r w:rsidRPr="0000085D">
              <w:rPr>
                <w:b w:val="0"/>
              </w:rPr>
              <w:t> Video capsule endoscopy for obscure GI bleeding and Crohn's Disease</w:t>
            </w:r>
          </w:p>
        </w:tc>
        <w:tc>
          <w:tcPr>
            <w:tcW w:w="5595" w:type="dxa"/>
          </w:tcPr>
          <w:p w:rsidR="00536149" w:rsidRPr="00E81630" w:rsidRDefault="00536149" w:rsidP="00536149">
            <w:pPr>
              <w:cnfStyle w:val="000000100000" w:firstRow="0" w:lastRow="0" w:firstColumn="0" w:lastColumn="0" w:oddVBand="0" w:evenVBand="0" w:oddHBand="1" w:evenHBand="0" w:firstRowFirstColumn="0" w:firstRowLastColumn="0" w:lastRowFirstColumn="0" w:lastRowLastColumn="0"/>
            </w:pPr>
            <w:r w:rsidRPr="00E81630">
              <w:t xml:space="preserve">To assess the effectiveness and safety of </w:t>
            </w:r>
            <w:r>
              <w:t xml:space="preserve">video capsule endoscopy to detect occult </w:t>
            </w:r>
            <w:r w:rsidRPr="00E81630">
              <w:t>GI</w:t>
            </w:r>
            <w:r>
              <w:t xml:space="preserve"> bleeding</w:t>
            </w:r>
            <w:r w:rsidRPr="00E81630">
              <w:t xml:space="preserve"> and Crohn's disease</w:t>
            </w:r>
          </w:p>
        </w:tc>
        <w:tc>
          <w:tcPr>
            <w:tcW w:w="1841" w:type="dxa"/>
          </w:tcPr>
          <w:p w:rsidR="00536149" w:rsidRPr="00E81630" w:rsidRDefault="00536149" w:rsidP="00536149">
            <w:pPr>
              <w:cnfStyle w:val="000000100000" w:firstRow="0" w:lastRow="0" w:firstColumn="0" w:lastColumn="0" w:oddVBand="0" w:evenVBand="0" w:oddHBand="1" w:evenHBand="0" w:firstRowFirstColumn="0" w:firstRowLastColumn="0" w:lastRowFirstColumn="0" w:lastRowLastColumn="0"/>
            </w:pPr>
            <w:r>
              <w:t>Approved</w:t>
            </w:r>
          </w:p>
        </w:tc>
      </w:tr>
      <w:tr w:rsidR="00536149" w:rsidTr="00CC3545">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536149" w:rsidP="00536149">
            <w:pPr>
              <w:rPr>
                <w:b w:val="0"/>
              </w:rPr>
            </w:pPr>
            <w:r w:rsidRPr="0000085D">
              <w:rPr>
                <w:b w:val="0"/>
              </w:rPr>
              <w:t>The use of Lactobacillus probiotics in the Prevention of Antibiotic Associated Clostridium Difficile Diarrhea</w:t>
            </w:r>
          </w:p>
        </w:tc>
        <w:tc>
          <w:tcPr>
            <w:tcW w:w="5595" w:type="dxa"/>
          </w:tcPr>
          <w:p w:rsidR="00536149" w:rsidRPr="00E81630" w:rsidRDefault="00536149" w:rsidP="00536149">
            <w:pPr>
              <w:cnfStyle w:val="000000000000" w:firstRow="0" w:lastRow="0" w:firstColumn="0" w:lastColumn="0" w:oddVBand="0" w:evenVBand="0" w:oddHBand="0" w:evenHBand="0" w:firstRowFirstColumn="0" w:firstRowLastColumn="0" w:lastRowFirstColumn="0" w:lastRowLastColumn="0"/>
            </w:pPr>
            <w:r w:rsidRPr="00E81630">
              <w:t xml:space="preserve">To assess the effectiveness of Lactobacillus-based probiotics for the prevention of </w:t>
            </w:r>
            <w:r>
              <w:t xml:space="preserve">Clostridium Difficile </w:t>
            </w:r>
            <w:r w:rsidRPr="00E81630">
              <w:t xml:space="preserve">associated </w:t>
            </w:r>
            <w:r>
              <w:t>diarrhea after</w:t>
            </w:r>
            <w:r w:rsidRPr="00E81630">
              <w:t xml:space="preserve"> administration of antibiotics</w:t>
            </w:r>
          </w:p>
        </w:tc>
        <w:tc>
          <w:tcPr>
            <w:tcW w:w="1841" w:type="dxa"/>
          </w:tcPr>
          <w:p w:rsidR="00536149" w:rsidRPr="00E81630" w:rsidRDefault="00536149" w:rsidP="00536149">
            <w:pPr>
              <w:cnfStyle w:val="000000000000" w:firstRow="0" w:lastRow="0" w:firstColumn="0" w:lastColumn="0" w:oddVBand="0" w:evenVBand="0" w:oddHBand="0" w:evenHBand="0" w:firstRowFirstColumn="0" w:firstRowLastColumn="0" w:lastRowFirstColumn="0" w:lastRowLastColumn="0"/>
            </w:pPr>
            <w:r>
              <w:t>Not approved</w:t>
            </w:r>
          </w:p>
        </w:tc>
      </w:tr>
      <w:tr w:rsidR="00536149"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536149" w:rsidP="00536149">
            <w:pPr>
              <w:rPr>
                <w:b w:val="0"/>
              </w:rPr>
            </w:pPr>
            <w:r w:rsidRPr="0000085D">
              <w:rPr>
                <w:b w:val="0"/>
              </w:rPr>
              <w:t>Surgical aortic valve replacement with the ATS Enable® sutureless aortic valve for aortic stenosis </w:t>
            </w:r>
          </w:p>
        </w:tc>
        <w:tc>
          <w:tcPr>
            <w:tcW w:w="5595" w:type="dxa"/>
          </w:tcPr>
          <w:p w:rsidR="00536149" w:rsidRPr="00E81630" w:rsidRDefault="00536149" w:rsidP="00536149">
            <w:pPr>
              <w:cnfStyle w:val="000000100000" w:firstRow="0" w:lastRow="0" w:firstColumn="0" w:lastColumn="0" w:oddVBand="0" w:evenVBand="0" w:oddHBand="1" w:evenHBand="0" w:firstRowFirstColumn="0" w:firstRowLastColumn="0" w:lastRowFirstColumn="0" w:lastRowLastColumn="0"/>
            </w:pPr>
            <w:r w:rsidRPr="00E81630">
              <w:t>To assess the efficacy and safety of aortic valve replacement with a sutureless aortic valve (SuAVR) in patients with aortic valve stenosis</w:t>
            </w:r>
          </w:p>
        </w:tc>
        <w:tc>
          <w:tcPr>
            <w:tcW w:w="1841" w:type="dxa"/>
          </w:tcPr>
          <w:p w:rsidR="00536149" w:rsidRPr="00E81630" w:rsidRDefault="00536149" w:rsidP="00536149">
            <w:pPr>
              <w:cnfStyle w:val="000000100000" w:firstRow="0" w:lastRow="0" w:firstColumn="0" w:lastColumn="0" w:oddVBand="0" w:evenVBand="0" w:oddHBand="1" w:evenHBand="0" w:firstRowFirstColumn="0" w:firstRowLastColumn="0" w:lastRowFirstColumn="0" w:lastRowLastColumn="0"/>
            </w:pPr>
            <w:r>
              <w:t>Approved for evaluation</w:t>
            </w:r>
          </w:p>
        </w:tc>
      </w:tr>
      <w:tr w:rsidR="00536149" w:rsidTr="00CC3545">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536149" w:rsidP="00536149">
            <w:pPr>
              <w:rPr>
                <w:b w:val="0"/>
              </w:rPr>
            </w:pPr>
            <w:r w:rsidRPr="0000085D">
              <w:rPr>
                <w:b w:val="0"/>
              </w:rPr>
              <w:t>Percutaneous Radiofrequency Ablation for treatment of hepatocellular carcinoma</w:t>
            </w:r>
          </w:p>
        </w:tc>
        <w:tc>
          <w:tcPr>
            <w:tcW w:w="5595" w:type="dxa"/>
          </w:tcPr>
          <w:p w:rsidR="00536149" w:rsidRPr="00E81630" w:rsidRDefault="00536149" w:rsidP="00536149">
            <w:pPr>
              <w:cnfStyle w:val="000000000000" w:firstRow="0" w:lastRow="0" w:firstColumn="0" w:lastColumn="0" w:oddVBand="0" w:evenVBand="0" w:oddHBand="0" w:evenHBand="0" w:firstRowFirstColumn="0" w:firstRowLastColumn="0" w:lastRowFirstColumn="0" w:lastRowLastColumn="0"/>
            </w:pPr>
            <w:r w:rsidRPr="00E81630">
              <w:t>To assess the effectiveness and safety of (PRFA) vs surgical resection (SRS)for early stage hepatocellular carcinoma patients</w:t>
            </w:r>
          </w:p>
        </w:tc>
        <w:tc>
          <w:tcPr>
            <w:tcW w:w="1841" w:type="dxa"/>
          </w:tcPr>
          <w:p w:rsidR="00536149" w:rsidRPr="00E81630" w:rsidRDefault="00536149" w:rsidP="00536149">
            <w:pPr>
              <w:cnfStyle w:val="000000000000" w:firstRow="0" w:lastRow="0" w:firstColumn="0" w:lastColumn="0" w:oddVBand="0" w:evenVBand="0" w:oddHBand="0" w:evenHBand="0" w:firstRowFirstColumn="0" w:firstRowLastColumn="0" w:lastRowFirstColumn="0" w:lastRowLastColumn="0"/>
            </w:pPr>
            <w:r>
              <w:t>Approved</w:t>
            </w:r>
          </w:p>
        </w:tc>
      </w:tr>
      <w:tr w:rsidR="00536149"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536149" w:rsidP="00536149">
            <w:pPr>
              <w:rPr>
                <w:b w:val="0"/>
              </w:rPr>
            </w:pPr>
            <w:r w:rsidRPr="0000085D">
              <w:rPr>
                <w:b w:val="0"/>
              </w:rPr>
              <w:t>Comparison of Coblation Tonsillectomy and Electrocautery Tonsillectomy in Pediatric Patients</w:t>
            </w:r>
          </w:p>
        </w:tc>
        <w:tc>
          <w:tcPr>
            <w:tcW w:w="5595" w:type="dxa"/>
          </w:tcPr>
          <w:p w:rsidR="00536149" w:rsidRPr="00E81630" w:rsidRDefault="00536149" w:rsidP="00536149">
            <w:pPr>
              <w:cnfStyle w:val="000000100000" w:firstRow="0" w:lastRow="0" w:firstColumn="0" w:lastColumn="0" w:oddVBand="0" w:evenVBand="0" w:oddHBand="1" w:evenHBand="0" w:firstRowFirstColumn="0" w:firstRowLastColumn="0" w:lastRowFirstColumn="0" w:lastRowLastColumn="0"/>
            </w:pPr>
            <w:r w:rsidRPr="00E81630">
              <w:t>To assess the  effectiveness and safety of coblation vs electrocautery tonsillectomy in children</w:t>
            </w:r>
          </w:p>
        </w:tc>
        <w:tc>
          <w:tcPr>
            <w:tcW w:w="1841" w:type="dxa"/>
          </w:tcPr>
          <w:p w:rsidR="00536149" w:rsidRPr="00E81630" w:rsidRDefault="00536149" w:rsidP="00536149">
            <w:pPr>
              <w:cnfStyle w:val="000000100000" w:firstRow="0" w:lastRow="0" w:firstColumn="0" w:lastColumn="0" w:oddVBand="0" w:evenVBand="0" w:oddHBand="1" w:evenHBand="0" w:firstRowFirstColumn="0" w:firstRowLastColumn="0" w:lastRowFirstColumn="0" w:lastRowLastColumn="0"/>
            </w:pPr>
            <w:r>
              <w:t>Not approved</w:t>
            </w:r>
          </w:p>
        </w:tc>
      </w:tr>
      <w:tr w:rsidR="00536149" w:rsidTr="00CC3545">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87752C" w:rsidP="00536149">
            <w:pPr>
              <w:rPr>
                <w:b w:val="0"/>
              </w:rPr>
            </w:pPr>
            <w:r w:rsidRPr="0000085D">
              <w:rPr>
                <w:b w:val="0"/>
              </w:rPr>
              <w:t>Renal Denervation for Resistant Hypertension</w:t>
            </w:r>
          </w:p>
        </w:tc>
        <w:tc>
          <w:tcPr>
            <w:tcW w:w="5595" w:type="dxa"/>
          </w:tcPr>
          <w:p w:rsidR="00536149" w:rsidRPr="00E81630" w:rsidRDefault="00536149" w:rsidP="00536149">
            <w:pPr>
              <w:cnfStyle w:val="000000000000" w:firstRow="0" w:lastRow="0" w:firstColumn="0" w:lastColumn="0" w:oddVBand="0" w:evenVBand="0" w:oddHBand="0" w:evenHBand="0" w:firstRowFirstColumn="0" w:firstRowLastColumn="0" w:lastRowFirstColumn="0" w:lastRowLastColumn="0"/>
            </w:pPr>
            <w:r w:rsidRPr="00E81630">
              <w:t xml:space="preserve">To assess the efficacy, effectiveness and safety of renal denervation for treatment of resistant hypertension, and to </w:t>
            </w:r>
            <w:r w:rsidRPr="00E81630">
              <w:lastRenderedPageBreak/>
              <w:t>estimate the budget impact of this technology from the perspective of the MUHC.</w:t>
            </w:r>
          </w:p>
        </w:tc>
        <w:tc>
          <w:tcPr>
            <w:tcW w:w="1841" w:type="dxa"/>
          </w:tcPr>
          <w:p w:rsidR="00536149" w:rsidRPr="00E81630" w:rsidRDefault="0087752C" w:rsidP="00536149">
            <w:pPr>
              <w:cnfStyle w:val="000000000000" w:firstRow="0" w:lastRow="0" w:firstColumn="0" w:lastColumn="0" w:oddVBand="0" w:evenVBand="0" w:oddHBand="0" w:evenHBand="0" w:firstRowFirstColumn="0" w:firstRowLastColumn="0" w:lastRowFirstColumn="0" w:lastRowLastColumn="0"/>
            </w:pPr>
            <w:r w:rsidRPr="0087752C">
              <w:lastRenderedPageBreak/>
              <w:t>Approved for evaluation</w:t>
            </w:r>
          </w:p>
        </w:tc>
      </w:tr>
      <w:tr w:rsidR="00536149"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87752C" w:rsidP="00536149">
            <w:pPr>
              <w:rPr>
                <w:b w:val="0"/>
              </w:rPr>
            </w:pPr>
            <w:r w:rsidRPr="0000085D">
              <w:rPr>
                <w:b w:val="0"/>
              </w:rPr>
              <w:lastRenderedPageBreak/>
              <w:t>Transcatheter aortic valve implantation (TAVI) in patients with aortic stenosis</w:t>
            </w:r>
            <w:r w:rsidR="00536149" w:rsidRPr="0000085D">
              <w:rPr>
                <w:b w:val="0"/>
              </w:rPr>
              <w:t>: Inoperable patients</w:t>
            </w:r>
          </w:p>
        </w:tc>
        <w:tc>
          <w:tcPr>
            <w:tcW w:w="5595" w:type="dxa"/>
            <w:vMerge w:val="restart"/>
          </w:tcPr>
          <w:p w:rsidR="00536149" w:rsidRPr="00E81630" w:rsidRDefault="00536149" w:rsidP="0000085D">
            <w:pPr>
              <w:cnfStyle w:val="000000100000" w:firstRow="0" w:lastRow="0" w:firstColumn="0" w:lastColumn="0" w:oddVBand="0" w:evenVBand="0" w:oddHBand="1" w:evenHBand="0" w:firstRowFirstColumn="0" w:firstRowLastColumn="0" w:lastRowFirstColumn="0" w:lastRowLastColumn="0"/>
            </w:pPr>
            <w:r w:rsidRPr="00451B7B">
              <w:t>To assess the effectiveness, safety and costs of TAVI for aortic valve stenosis;  To review the use and outcomes of TAVI at the MUHC.</w:t>
            </w:r>
          </w:p>
        </w:tc>
        <w:tc>
          <w:tcPr>
            <w:tcW w:w="1841" w:type="dxa"/>
          </w:tcPr>
          <w:p w:rsidR="00536149" w:rsidRPr="00E81630" w:rsidRDefault="0087752C" w:rsidP="00536149">
            <w:pPr>
              <w:cnfStyle w:val="000000100000" w:firstRow="0" w:lastRow="0" w:firstColumn="0" w:lastColumn="0" w:oddVBand="0" w:evenVBand="0" w:oddHBand="1" w:evenHBand="0" w:firstRowFirstColumn="0" w:firstRowLastColumn="0" w:lastRowFirstColumn="0" w:lastRowLastColumn="0"/>
            </w:pPr>
            <w:r w:rsidRPr="0087752C">
              <w:t>Approved</w:t>
            </w:r>
          </w:p>
        </w:tc>
      </w:tr>
      <w:tr w:rsidR="00536149" w:rsidTr="00CC3545">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87752C" w:rsidP="00536149">
            <w:pPr>
              <w:rPr>
                <w:b w:val="0"/>
              </w:rPr>
            </w:pPr>
            <w:r w:rsidRPr="0000085D">
              <w:rPr>
                <w:b w:val="0"/>
              </w:rPr>
              <w:t>Transcatheter aortic valve implantation (TAVI) in patients with aortic stenosis</w:t>
            </w:r>
            <w:r w:rsidR="00536149" w:rsidRPr="0000085D">
              <w:rPr>
                <w:b w:val="0"/>
              </w:rPr>
              <w:t>: Operable patients</w:t>
            </w:r>
          </w:p>
        </w:tc>
        <w:tc>
          <w:tcPr>
            <w:tcW w:w="5595" w:type="dxa"/>
            <w:vMerge/>
          </w:tcPr>
          <w:p w:rsidR="00536149" w:rsidRPr="00E81630" w:rsidRDefault="00536149" w:rsidP="00536149">
            <w:pPr>
              <w:cnfStyle w:val="000000000000" w:firstRow="0" w:lastRow="0" w:firstColumn="0" w:lastColumn="0" w:oddVBand="0" w:evenVBand="0" w:oddHBand="0" w:evenHBand="0" w:firstRowFirstColumn="0" w:firstRowLastColumn="0" w:lastRowFirstColumn="0" w:lastRowLastColumn="0"/>
            </w:pPr>
          </w:p>
        </w:tc>
        <w:tc>
          <w:tcPr>
            <w:tcW w:w="1841" w:type="dxa"/>
          </w:tcPr>
          <w:p w:rsidR="00536149" w:rsidRPr="00E81630" w:rsidRDefault="0087752C" w:rsidP="00536149">
            <w:pPr>
              <w:cnfStyle w:val="000000000000" w:firstRow="0" w:lastRow="0" w:firstColumn="0" w:lastColumn="0" w:oddVBand="0" w:evenVBand="0" w:oddHBand="0" w:evenHBand="0" w:firstRowFirstColumn="0" w:firstRowLastColumn="0" w:lastRowFirstColumn="0" w:lastRowLastColumn="0"/>
            </w:pPr>
            <w:r w:rsidRPr="0087752C">
              <w:t>Not approved</w:t>
            </w:r>
          </w:p>
        </w:tc>
      </w:tr>
      <w:tr w:rsidR="00536149"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14021A" w:rsidP="00536149">
            <w:pPr>
              <w:rPr>
                <w:b w:val="0"/>
              </w:rPr>
            </w:pPr>
            <w:r w:rsidRPr="0000085D">
              <w:rPr>
                <w:b w:val="0"/>
              </w:rPr>
              <w:t>The effectiveness and safety of rituximab (anti-CD20) in neurologic autoimmune diseases</w:t>
            </w:r>
            <w:r w:rsidR="00536149" w:rsidRPr="0000085D">
              <w:rPr>
                <w:b w:val="0"/>
              </w:rPr>
              <w:t xml:space="preserve">: </w:t>
            </w:r>
            <w:r w:rsidRPr="0000085D">
              <w:rPr>
                <w:b w:val="0"/>
              </w:rPr>
              <w:t>Myasthenia gravis</w:t>
            </w:r>
          </w:p>
        </w:tc>
        <w:tc>
          <w:tcPr>
            <w:tcW w:w="5595" w:type="dxa"/>
            <w:vMerge w:val="restart"/>
          </w:tcPr>
          <w:p w:rsidR="00536149" w:rsidRPr="00E81630" w:rsidRDefault="00536149" w:rsidP="0000085D">
            <w:pPr>
              <w:cnfStyle w:val="000000100000" w:firstRow="0" w:lastRow="0" w:firstColumn="0" w:lastColumn="0" w:oddVBand="0" w:evenVBand="0" w:oddHBand="1" w:evenHBand="0" w:firstRowFirstColumn="0" w:firstRowLastColumn="0" w:lastRowFirstColumn="0" w:lastRowLastColumn="0"/>
            </w:pPr>
            <w:r w:rsidRPr="00E81630">
              <w:t>To review the efficacy and cost impact of the use of rituximab in patients with Myasthenia gravis (MG), neuromyelitis optica (NMO), dermatomyositis (DM), and chronic inflammatory demyelinating polyneuropathy</w:t>
            </w:r>
            <w:r>
              <w:t xml:space="preserve"> (CIPD)</w:t>
            </w:r>
          </w:p>
        </w:tc>
        <w:tc>
          <w:tcPr>
            <w:tcW w:w="1841" w:type="dxa"/>
          </w:tcPr>
          <w:p w:rsidR="00536149" w:rsidRPr="00E81630" w:rsidRDefault="0087752C" w:rsidP="00536149">
            <w:pPr>
              <w:cnfStyle w:val="000000100000" w:firstRow="0" w:lastRow="0" w:firstColumn="0" w:lastColumn="0" w:oddVBand="0" w:evenVBand="0" w:oddHBand="1" w:evenHBand="0" w:firstRowFirstColumn="0" w:firstRowLastColumn="0" w:lastRowFirstColumn="0" w:lastRowLastColumn="0"/>
            </w:pPr>
            <w:r w:rsidRPr="0087752C">
              <w:t>Approved for evaluation</w:t>
            </w:r>
          </w:p>
        </w:tc>
      </w:tr>
      <w:tr w:rsidR="00536149" w:rsidTr="00CC3545">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14021A" w:rsidP="00536149">
            <w:pPr>
              <w:rPr>
                <w:b w:val="0"/>
              </w:rPr>
            </w:pPr>
            <w:r w:rsidRPr="0000085D">
              <w:rPr>
                <w:b w:val="0"/>
              </w:rPr>
              <w:t>The effectiveness and safety of rituximab (anti-CD20) in neurologic autoimmune diseases: neuromyelitis optica</w:t>
            </w:r>
          </w:p>
        </w:tc>
        <w:tc>
          <w:tcPr>
            <w:tcW w:w="5595" w:type="dxa"/>
            <w:vMerge/>
          </w:tcPr>
          <w:p w:rsidR="00536149" w:rsidRPr="00E81630" w:rsidRDefault="00536149" w:rsidP="00536149">
            <w:pPr>
              <w:cnfStyle w:val="000000000000" w:firstRow="0" w:lastRow="0" w:firstColumn="0" w:lastColumn="0" w:oddVBand="0" w:evenVBand="0" w:oddHBand="0" w:evenHBand="0" w:firstRowFirstColumn="0" w:firstRowLastColumn="0" w:lastRowFirstColumn="0" w:lastRowLastColumn="0"/>
            </w:pPr>
          </w:p>
        </w:tc>
        <w:tc>
          <w:tcPr>
            <w:tcW w:w="1841" w:type="dxa"/>
          </w:tcPr>
          <w:p w:rsidR="00536149" w:rsidRPr="00E81630" w:rsidRDefault="0087752C" w:rsidP="00536149">
            <w:pPr>
              <w:cnfStyle w:val="000000000000" w:firstRow="0" w:lastRow="0" w:firstColumn="0" w:lastColumn="0" w:oddVBand="0" w:evenVBand="0" w:oddHBand="0" w:evenHBand="0" w:firstRowFirstColumn="0" w:firstRowLastColumn="0" w:lastRowFirstColumn="0" w:lastRowLastColumn="0"/>
            </w:pPr>
            <w:r w:rsidRPr="0087752C">
              <w:t>Approved for evaluation</w:t>
            </w:r>
          </w:p>
        </w:tc>
      </w:tr>
      <w:tr w:rsidR="00536149"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14021A" w:rsidP="00536149">
            <w:pPr>
              <w:rPr>
                <w:b w:val="0"/>
              </w:rPr>
            </w:pPr>
            <w:r w:rsidRPr="0000085D">
              <w:rPr>
                <w:b w:val="0"/>
              </w:rPr>
              <w:t>The effectiveness and safety of rituximab (anti-CD20) in neurologic autoimmune diseases</w:t>
            </w:r>
            <w:r w:rsidR="00536149" w:rsidRPr="0000085D">
              <w:rPr>
                <w:b w:val="0"/>
              </w:rPr>
              <w:t xml:space="preserve">: </w:t>
            </w:r>
            <w:r w:rsidRPr="0000085D">
              <w:rPr>
                <w:b w:val="0"/>
              </w:rPr>
              <w:t>dermatomyositis</w:t>
            </w:r>
          </w:p>
        </w:tc>
        <w:tc>
          <w:tcPr>
            <w:tcW w:w="5595" w:type="dxa"/>
            <w:vMerge/>
          </w:tcPr>
          <w:p w:rsidR="00536149" w:rsidRPr="00E81630" w:rsidRDefault="00536149" w:rsidP="00536149">
            <w:pPr>
              <w:cnfStyle w:val="000000100000" w:firstRow="0" w:lastRow="0" w:firstColumn="0" w:lastColumn="0" w:oddVBand="0" w:evenVBand="0" w:oddHBand="1" w:evenHBand="0" w:firstRowFirstColumn="0" w:firstRowLastColumn="0" w:lastRowFirstColumn="0" w:lastRowLastColumn="0"/>
            </w:pPr>
          </w:p>
        </w:tc>
        <w:tc>
          <w:tcPr>
            <w:tcW w:w="1841" w:type="dxa"/>
          </w:tcPr>
          <w:p w:rsidR="00536149" w:rsidRPr="00E81630" w:rsidRDefault="0087752C" w:rsidP="00536149">
            <w:pPr>
              <w:cnfStyle w:val="000000100000" w:firstRow="0" w:lastRow="0" w:firstColumn="0" w:lastColumn="0" w:oddVBand="0" w:evenVBand="0" w:oddHBand="1" w:evenHBand="0" w:firstRowFirstColumn="0" w:firstRowLastColumn="0" w:lastRowFirstColumn="0" w:lastRowLastColumn="0"/>
            </w:pPr>
            <w:r w:rsidRPr="0087752C">
              <w:t>Not approved</w:t>
            </w:r>
          </w:p>
        </w:tc>
      </w:tr>
      <w:tr w:rsidR="00536149" w:rsidTr="00CC3545">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14021A" w:rsidP="0014021A">
            <w:pPr>
              <w:rPr>
                <w:b w:val="0"/>
              </w:rPr>
            </w:pPr>
            <w:r w:rsidRPr="0000085D">
              <w:rPr>
                <w:b w:val="0"/>
              </w:rPr>
              <w:t>The effectiveness and safety of rituximab (anti-CD20) in neurologic autoimmune diseases: chronic inflammatory demyelinating polyneuropathy</w:t>
            </w:r>
          </w:p>
        </w:tc>
        <w:tc>
          <w:tcPr>
            <w:tcW w:w="5595" w:type="dxa"/>
            <w:vMerge/>
          </w:tcPr>
          <w:p w:rsidR="00536149" w:rsidRPr="00E81630" w:rsidRDefault="00536149" w:rsidP="00536149">
            <w:pPr>
              <w:cnfStyle w:val="000000000000" w:firstRow="0" w:lastRow="0" w:firstColumn="0" w:lastColumn="0" w:oddVBand="0" w:evenVBand="0" w:oddHBand="0" w:evenHBand="0" w:firstRowFirstColumn="0" w:firstRowLastColumn="0" w:lastRowFirstColumn="0" w:lastRowLastColumn="0"/>
            </w:pPr>
          </w:p>
        </w:tc>
        <w:tc>
          <w:tcPr>
            <w:tcW w:w="1841" w:type="dxa"/>
          </w:tcPr>
          <w:p w:rsidR="00536149" w:rsidRPr="00E81630" w:rsidRDefault="0087752C" w:rsidP="00536149">
            <w:pPr>
              <w:cnfStyle w:val="000000000000" w:firstRow="0" w:lastRow="0" w:firstColumn="0" w:lastColumn="0" w:oddVBand="0" w:evenVBand="0" w:oddHBand="0" w:evenHBand="0" w:firstRowFirstColumn="0" w:firstRowLastColumn="0" w:lastRowFirstColumn="0" w:lastRowLastColumn="0"/>
            </w:pPr>
            <w:r w:rsidRPr="0087752C">
              <w:t>Not approved</w:t>
            </w:r>
          </w:p>
        </w:tc>
      </w:tr>
      <w:tr w:rsidR="00536149"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4F2E01" w:rsidP="00536149">
            <w:pPr>
              <w:rPr>
                <w:b w:val="0"/>
              </w:rPr>
            </w:pPr>
            <w:r w:rsidRPr="0000085D">
              <w:rPr>
                <w:b w:val="0"/>
              </w:rPr>
              <w:t>Excimer laser atherectomy for uncrossable coronary lesions and improperly deployed coronary stents</w:t>
            </w:r>
          </w:p>
        </w:tc>
        <w:tc>
          <w:tcPr>
            <w:tcW w:w="5595" w:type="dxa"/>
          </w:tcPr>
          <w:p w:rsidR="00536149" w:rsidRPr="00E81630" w:rsidRDefault="00536149" w:rsidP="004F2E01">
            <w:pPr>
              <w:cnfStyle w:val="000000100000" w:firstRow="0" w:lastRow="0" w:firstColumn="0" w:lastColumn="0" w:oddVBand="0" w:evenVBand="0" w:oddHBand="1" w:evenHBand="0" w:firstRowFirstColumn="0" w:firstRowLastColumn="0" w:lastRowFirstColumn="0" w:lastRowLastColumn="0"/>
            </w:pPr>
            <w:r w:rsidRPr="00E81630">
              <w:t xml:space="preserve">To review the use of excimer laser for atherectomy using the Spectranetics CVX-300 xenon-chlorine excimer laser and associated catheters in two specific uncommon situations: </w:t>
            </w:r>
            <w:r w:rsidR="004F2E01">
              <w:t>(</w:t>
            </w:r>
            <w:r w:rsidRPr="00E81630">
              <w:t>i)</w:t>
            </w:r>
            <w:r w:rsidR="004F2E01">
              <w:t xml:space="preserve"> </w:t>
            </w:r>
            <w:r w:rsidRPr="00E81630">
              <w:t>uncrossable lesion: ii) underexpanded stent</w:t>
            </w:r>
          </w:p>
        </w:tc>
        <w:tc>
          <w:tcPr>
            <w:tcW w:w="1841" w:type="dxa"/>
          </w:tcPr>
          <w:p w:rsidR="00536149" w:rsidRPr="00E81630" w:rsidRDefault="0087752C" w:rsidP="00536149">
            <w:pPr>
              <w:cnfStyle w:val="000000100000" w:firstRow="0" w:lastRow="0" w:firstColumn="0" w:lastColumn="0" w:oddVBand="0" w:evenVBand="0" w:oddHBand="1" w:evenHBand="0" w:firstRowFirstColumn="0" w:firstRowLastColumn="0" w:lastRowFirstColumn="0" w:lastRowLastColumn="0"/>
            </w:pPr>
            <w:r w:rsidRPr="0087752C">
              <w:t>Not approved</w:t>
            </w:r>
          </w:p>
        </w:tc>
      </w:tr>
      <w:tr w:rsidR="00536149" w:rsidTr="00CC3545">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4F2E01" w:rsidP="00536149">
            <w:pPr>
              <w:rPr>
                <w:b w:val="0"/>
              </w:rPr>
            </w:pPr>
            <w:r w:rsidRPr="0000085D">
              <w:rPr>
                <w:b w:val="0"/>
              </w:rPr>
              <w:t>532 nm KTP Laser for vocal fold</w:t>
            </w:r>
          </w:p>
        </w:tc>
        <w:tc>
          <w:tcPr>
            <w:tcW w:w="5595" w:type="dxa"/>
          </w:tcPr>
          <w:p w:rsidR="00536149" w:rsidRPr="00E81630" w:rsidRDefault="00536149" w:rsidP="00536149">
            <w:pPr>
              <w:cnfStyle w:val="000000000000" w:firstRow="0" w:lastRow="0" w:firstColumn="0" w:lastColumn="0" w:oddVBand="0" w:evenVBand="0" w:oddHBand="0" w:evenHBand="0" w:firstRowFirstColumn="0" w:firstRowLastColumn="0" w:lastRowFirstColumn="0" w:lastRowLastColumn="0"/>
            </w:pPr>
            <w:r w:rsidRPr="00E81630">
              <w:t>To evaluate the clinical effectiveness and budget impact of using the KTP 532 nm Aura XP laser for vocal fold surgery at the MUHC</w:t>
            </w:r>
          </w:p>
        </w:tc>
        <w:tc>
          <w:tcPr>
            <w:tcW w:w="1841" w:type="dxa"/>
          </w:tcPr>
          <w:p w:rsidR="00536149" w:rsidRPr="00E81630" w:rsidRDefault="0087752C" w:rsidP="00536149">
            <w:pPr>
              <w:cnfStyle w:val="000000000000" w:firstRow="0" w:lastRow="0" w:firstColumn="0" w:lastColumn="0" w:oddVBand="0" w:evenVBand="0" w:oddHBand="0" w:evenHBand="0" w:firstRowFirstColumn="0" w:firstRowLastColumn="0" w:lastRowFirstColumn="0" w:lastRowLastColumn="0"/>
            </w:pPr>
            <w:r w:rsidRPr="0087752C">
              <w:t>Not approved</w:t>
            </w:r>
          </w:p>
        </w:tc>
      </w:tr>
      <w:tr w:rsidR="00536149"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4F2E01" w:rsidP="00536149">
            <w:pPr>
              <w:rPr>
                <w:b w:val="0"/>
              </w:rPr>
            </w:pPr>
            <w:r w:rsidRPr="0000085D">
              <w:rPr>
                <w:b w:val="0"/>
              </w:rPr>
              <w:t>Subglottic Secretion Drainage Endotracheal Tubes for Prevention of Ventilator-Associated Pneumonia</w:t>
            </w:r>
          </w:p>
        </w:tc>
        <w:tc>
          <w:tcPr>
            <w:tcW w:w="5595" w:type="dxa"/>
          </w:tcPr>
          <w:p w:rsidR="00536149" w:rsidRPr="00E81630" w:rsidRDefault="00536149" w:rsidP="00536149">
            <w:pPr>
              <w:cnfStyle w:val="000000100000" w:firstRow="0" w:lastRow="0" w:firstColumn="0" w:lastColumn="0" w:oddVBand="0" w:evenVBand="0" w:oddHBand="1" w:evenHBand="0" w:firstRowFirstColumn="0" w:firstRowLastColumn="0" w:lastRowFirstColumn="0" w:lastRowLastColumn="0"/>
            </w:pPr>
            <w:r w:rsidRPr="00E81630">
              <w:t>To evaluate the efficacy, cost and cost-effectiveness of  a modified endotracheal tube for subglottic secretion drainage (SSD ETT) in reducing the risk of Ventilator-associated pneumonia (VAP) in the adult intensive care unit</w:t>
            </w:r>
          </w:p>
        </w:tc>
        <w:tc>
          <w:tcPr>
            <w:tcW w:w="1841" w:type="dxa"/>
          </w:tcPr>
          <w:p w:rsidR="00536149" w:rsidRPr="00E81630" w:rsidRDefault="0087752C" w:rsidP="00536149">
            <w:pPr>
              <w:cnfStyle w:val="000000100000" w:firstRow="0" w:lastRow="0" w:firstColumn="0" w:lastColumn="0" w:oddVBand="0" w:evenVBand="0" w:oddHBand="1" w:evenHBand="0" w:firstRowFirstColumn="0" w:firstRowLastColumn="0" w:lastRowFirstColumn="0" w:lastRowLastColumn="0"/>
            </w:pPr>
            <w:r w:rsidRPr="0087752C">
              <w:t>Approved</w:t>
            </w:r>
          </w:p>
        </w:tc>
      </w:tr>
      <w:tr w:rsidR="00536149" w:rsidTr="00CC3545">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4F2E01" w:rsidP="00536149">
            <w:pPr>
              <w:rPr>
                <w:b w:val="0"/>
              </w:rPr>
            </w:pPr>
            <w:r w:rsidRPr="0000085D">
              <w:rPr>
                <w:b w:val="0"/>
              </w:rPr>
              <w:t>Aortic valve bypass (apicoaortic conduit) in adult degenerative aortic stenosis</w:t>
            </w:r>
          </w:p>
        </w:tc>
        <w:tc>
          <w:tcPr>
            <w:tcW w:w="5595" w:type="dxa"/>
          </w:tcPr>
          <w:p w:rsidR="00536149" w:rsidRPr="00E81630" w:rsidRDefault="00536149" w:rsidP="00536149">
            <w:pPr>
              <w:cnfStyle w:val="000000000000" w:firstRow="0" w:lastRow="0" w:firstColumn="0" w:lastColumn="0" w:oddVBand="0" w:evenVBand="0" w:oddHBand="0" w:evenHBand="0" w:firstRowFirstColumn="0" w:firstRowLastColumn="0" w:lastRowFirstColumn="0" w:lastRowLastColumn="0"/>
            </w:pPr>
            <w:r w:rsidRPr="00451B7B">
              <w:t>To determine the health benefits and risks of aortic valve bypass (AVB) in adults, and to compare the experience and costs with recent MUHC experience and published results for TAVI</w:t>
            </w:r>
          </w:p>
        </w:tc>
        <w:tc>
          <w:tcPr>
            <w:tcW w:w="1841" w:type="dxa"/>
          </w:tcPr>
          <w:p w:rsidR="00536149" w:rsidRPr="00E81630" w:rsidRDefault="0087752C" w:rsidP="00536149">
            <w:pPr>
              <w:cnfStyle w:val="000000000000" w:firstRow="0" w:lastRow="0" w:firstColumn="0" w:lastColumn="0" w:oddVBand="0" w:evenVBand="0" w:oddHBand="0" w:evenHBand="0" w:firstRowFirstColumn="0" w:firstRowLastColumn="0" w:lastRowFirstColumn="0" w:lastRowLastColumn="0"/>
            </w:pPr>
            <w:r w:rsidRPr="0087752C">
              <w:t>Not approved</w:t>
            </w:r>
          </w:p>
        </w:tc>
      </w:tr>
      <w:tr w:rsidR="00536149"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536149" w:rsidRPr="0000085D" w:rsidRDefault="004F2E01" w:rsidP="00536149">
            <w:pPr>
              <w:rPr>
                <w:b w:val="0"/>
              </w:rPr>
            </w:pPr>
            <w:r w:rsidRPr="0000085D">
              <w:rPr>
                <w:b w:val="0"/>
              </w:rPr>
              <w:t>Radiofrequency ablation for treatment of Barrett's esophagus: A systematic review and cost analysis</w:t>
            </w:r>
          </w:p>
        </w:tc>
        <w:tc>
          <w:tcPr>
            <w:tcW w:w="5595" w:type="dxa"/>
          </w:tcPr>
          <w:p w:rsidR="00536149" w:rsidRPr="00E81630" w:rsidRDefault="00536149" w:rsidP="00536149">
            <w:pPr>
              <w:cnfStyle w:val="000000100000" w:firstRow="0" w:lastRow="0" w:firstColumn="0" w:lastColumn="0" w:oddVBand="0" w:evenVBand="0" w:oddHBand="1" w:evenHBand="0" w:firstRowFirstColumn="0" w:firstRowLastColumn="0" w:lastRowFirstColumn="0" w:lastRowLastColumn="0"/>
            </w:pPr>
            <w:r w:rsidRPr="00451B7B">
              <w:t>To assess the effectiveness of RFA for BE patients with high‐grade dysplasia, and to compare the cost of RFA and esophagectomy from the point of view of the MUHC</w:t>
            </w:r>
          </w:p>
        </w:tc>
        <w:tc>
          <w:tcPr>
            <w:tcW w:w="1841" w:type="dxa"/>
          </w:tcPr>
          <w:p w:rsidR="00536149" w:rsidRPr="00E81630" w:rsidRDefault="0087752C" w:rsidP="00536149">
            <w:pPr>
              <w:cnfStyle w:val="000000100000" w:firstRow="0" w:lastRow="0" w:firstColumn="0" w:lastColumn="0" w:oddVBand="0" w:evenVBand="0" w:oddHBand="1" w:evenHBand="0" w:firstRowFirstColumn="0" w:firstRowLastColumn="0" w:lastRowFirstColumn="0" w:lastRowLastColumn="0"/>
            </w:pPr>
            <w:r w:rsidRPr="0087752C">
              <w:t>Approved</w:t>
            </w:r>
          </w:p>
        </w:tc>
      </w:tr>
    </w:tbl>
    <w:p w:rsidR="0027162E" w:rsidRDefault="0027162E"/>
    <w:p w:rsidR="00CC3545" w:rsidRPr="00CC3545" w:rsidRDefault="00CC3545" w:rsidP="00CC3545">
      <w:pPr>
        <w:pStyle w:val="Caption"/>
        <w:keepNext/>
        <w:rPr>
          <w:i w:val="0"/>
          <w:sz w:val="22"/>
          <w:szCs w:val="22"/>
        </w:rPr>
      </w:pPr>
      <w:r>
        <w:rPr>
          <w:i w:val="0"/>
          <w:sz w:val="22"/>
          <w:szCs w:val="22"/>
        </w:rPr>
        <w:lastRenderedPageBreak/>
        <w:t xml:space="preserve">Supplemental </w:t>
      </w:r>
      <w:r w:rsidRPr="00CC3545">
        <w:rPr>
          <w:i w:val="0"/>
          <w:sz w:val="22"/>
          <w:szCs w:val="22"/>
        </w:rPr>
        <w:t xml:space="preserve">Table </w:t>
      </w:r>
      <w:r w:rsidRPr="00CC3545">
        <w:rPr>
          <w:i w:val="0"/>
          <w:sz w:val="22"/>
          <w:szCs w:val="22"/>
        </w:rPr>
        <w:fldChar w:fldCharType="begin"/>
      </w:r>
      <w:r w:rsidRPr="00CC3545">
        <w:rPr>
          <w:i w:val="0"/>
          <w:sz w:val="22"/>
          <w:szCs w:val="22"/>
        </w:rPr>
        <w:instrText xml:space="preserve"> SEQ Table \* ARABIC </w:instrText>
      </w:r>
      <w:r w:rsidRPr="00CC3545">
        <w:rPr>
          <w:i w:val="0"/>
          <w:sz w:val="22"/>
          <w:szCs w:val="22"/>
        </w:rPr>
        <w:fldChar w:fldCharType="separate"/>
      </w:r>
      <w:r w:rsidRPr="00CC3545">
        <w:rPr>
          <w:i w:val="0"/>
          <w:noProof/>
          <w:sz w:val="22"/>
          <w:szCs w:val="22"/>
        </w:rPr>
        <w:t>2</w:t>
      </w:r>
      <w:r w:rsidRPr="00CC3545">
        <w:rPr>
          <w:i w:val="0"/>
          <w:sz w:val="22"/>
          <w:szCs w:val="22"/>
        </w:rPr>
        <w:fldChar w:fldCharType="end"/>
      </w:r>
      <w:r>
        <w:rPr>
          <w:i w:val="0"/>
          <w:sz w:val="22"/>
          <w:szCs w:val="22"/>
        </w:rPr>
        <w:t xml:space="preserve">. </w:t>
      </w:r>
      <w:r w:rsidRPr="00CC3545">
        <w:rPr>
          <w:i w:val="0"/>
          <w:sz w:val="22"/>
          <w:szCs w:val="22"/>
          <w:lang w:val="en-AU"/>
        </w:rPr>
        <w:t xml:space="preserve">The Ontario Health Technology Appraisal Committee </w:t>
      </w:r>
      <w:r>
        <w:rPr>
          <w:i w:val="0"/>
          <w:sz w:val="22"/>
          <w:szCs w:val="22"/>
          <w:lang w:val="en-AU"/>
        </w:rPr>
        <w:t xml:space="preserve">(OHTAC) </w:t>
      </w:r>
      <w:r w:rsidRPr="00CC3545">
        <w:rPr>
          <w:i w:val="0"/>
          <w:sz w:val="22"/>
          <w:szCs w:val="22"/>
          <w:lang w:val="en-AU"/>
        </w:rPr>
        <w:t>decision-making model for evidence-based recommendations</w:t>
      </w:r>
      <w:r w:rsidR="009A6B80">
        <w:rPr>
          <w:i w:val="0"/>
          <w:sz w:val="22"/>
          <w:szCs w:val="22"/>
          <w:lang w:val="en-AU"/>
        </w:rPr>
        <w:t xml:space="preserve"> </w:t>
      </w:r>
      <w:bookmarkStart w:id="0" w:name="_GoBack"/>
      <w:bookmarkEnd w:id="0"/>
      <w:r w:rsidR="009A6B80">
        <w:rPr>
          <w:i w:val="0"/>
          <w:sz w:val="22"/>
          <w:szCs w:val="22"/>
          <w:lang w:val="en-AU"/>
        </w:rPr>
        <w:fldChar w:fldCharType="begin"/>
      </w:r>
      <w:r w:rsidR="009A6B80">
        <w:rPr>
          <w:i w:val="0"/>
          <w:sz w:val="22"/>
          <w:szCs w:val="22"/>
          <w:lang w:val="en-AU"/>
        </w:rPr>
        <w:instrText xml:space="preserve"> ADDIN EN.CITE &lt;EndNote&gt;&lt;Cite&gt;&lt;Author&gt;The Ontario Health Technology Advisory Committee (OHTAC)&lt;/Author&gt;&lt;Year&gt;2010&lt;/Year&gt;&lt;RecNum&gt;658&lt;/RecNum&gt;&lt;DisplayText&gt;(1)&lt;/DisplayText&gt;&lt;record&gt;&lt;rec-number&gt;658&lt;/rec-number&gt;&lt;foreign-keys&gt;&lt;key app="EN" db-id="vpeav2x9hvppzse9swdvref099psd9ztdred"&gt;658&lt;/key&gt;&lt;/foreign-keys&gt;&lt;ref-type name="Report"&gt;27&lt;/ref-type&gt;&lt;contributors&gt;&lt;authors&gt;&lt;author&gt;The Ontario Health Technology Advisory Committee (OHTAC),&lt;/author&gt;&lt;/authors&gt;&lt;/contributors&gt;&lt;titles&gt;&lt;title&gt;The OHTAC Decision-Making Process for the Development of Evidence-Based Recommendations&lt;/title&gt;&lt;/titles&gt;&lt;dates&gt;&lt;year&gt;2010&lt;/year&gt;&lt;/dates&gt;&lt;urls&gt;&lt;related-urls&gt;&lt;url&gt;http://www.hqontario.ca/en/mas/tech/pdfs/2011/guide_decision.pdf&lt;/url&gt;&lt;/related-urls&gt;&lt;/urls&gt;&lt;access-date&gt;July 20, 2018&lt;/access-date&gt;&lt;/record&gt;&lt;/Cite&gt;&lt;/EndNote&gt;</w:instrText>
      </w:r>
      <w:r w:rsidR="009A6B80">
        <w:rPr>
          <w:i w:val="0"/>
          <w:sz w:val="22"/>
          <w:szCs w:val="22"/>
          <w:lang w:val="en-AU"/>
        </w:rPr>
        <w:fldChar w:fldCharType="separate"/>
      </w:r>
      <w:r w:rsidR="009A6B80">
        <w:rPr>
          <w:i w:val="0"/>
          <w:noProof/>
          <w:sz w:val="22"/>
          <w:szCs w:val="22"/>
          <w:lang w:val="en-AU"/>
        </w:rPr>
        <w:t>(</w:t>
      </w:r>
      <w:hyperlink w:anchor="_ENREF_1" w:tooltip="The Ontario Health Technology Advisory Committee (OHTAC), 2010 #658" w:history="1">
        <w:r w:rsidR="009A6B80">
          <w:rPr>
            <w:i w:val="0"/>
            <w:noProof/>
            <w:sz w:val="22"/>
            <w:szCs w:val="22"/>
            <w:lang w:val="en-AU"/>
          </w:rPr>
          <w:t>1</w:t>
        </w:r>
      </w:hyperlink>
      <w:r w:rsidR="009A6B80">
        <w:rPr>
          <w:i w:val="0"/>
          <w:noProof/>
          <w:sz w:val="22"/>
          <w:szCs w:val="22"/>
          <w:lang w:val="en-AU"/>
        </w:rPr>
        <w:t>)</w:t>
      </w:r>
      <w:r w:rsidR="009A6B80">
        <w:rPr>
          <w:i w:val="0"/>
          <w:sz w:val="22"/>
          <w:szCs w:val="22"/>
          <w:lang w:val="en-AU"/>
        </w:rPr>
        <w:fldChar w:fldCharType="end"/>
      </w:r>
    </w:p>
    <w:tbl>
      <w:tblPr>
        <w:tblStyle w:val="LightList-Accent11"/>
        <w:tblW w:w="0" w:type="auto"/>
        <w:tblLook w:val="04A0" w:firstRow="1" w:lastRow="0" w:firstColumn="1" w:lastColumn="0" w:noHBand="0" w:noVBand="1"/>
      </w:tblPr>
      <w:tblGrid>
        <w:gridCol w:w="2153"/>
        <w:gridCol w:w="2270"/>
        <w:gridCol w:w="4917"/>
      </w:tblGrid>
      <w:tr w:rsidR="00CC3545" w:rsidRPr="00CC3545" w:rsidTr="00CC3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hideMark/>
          </w:tcPr>
          <w:p w:rsidR="00CC3545" w:rsidRPr="00CC3545" w:rsidRDefault="00CC3545" w:rsidP="00CC3545">
            <w:pPr>
              <w:spacing w:after="120" w:line="276" w:lineRule="auto"/>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Main criteria</w:t>
            </w:r>
          </w:p>
        </w:tc>
        <w:tc>
          <w:tcPr>
            <w:tcW w:w="2270" w:type="dxa"/>
            <w:hideMark/>
          </w:tcPr>
          <w:p w:rsidR="00CC3545" w:rsidRPr="00CC3545" w:rsidRDefault="00CC3545" w:rsidP="00CC3545">
            <w:pPr>
              <w:spacing w:after="120" w:line="276"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Sub-criteria</w:t>
            </w:r>
          </w:p>
        </w:tc>
        <w:tc>
          <w:tcPr>
            <w:tcW w:w="4917" w:type="dxa"/>
            <w:hideMark/>
          </w:tcPr>
          <w:p w:rsidR="00CC3545" w:rsidRPr="00CC3545" w:rsidRDefault="00CC3545" w:rsidP="00CC3545">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Definitions and considerations</w:t>
            </w:r>
          </w:p>
        </w:tc>
      </w:tr>
      <w:tr w:rsidR="00CC3545" w:rsidRPr="00CC3545"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Borders>
              <w:bottom w:val="nil"/>
            </w:tcBorders>
            <w:hideMark/>
          </w:tcPr>
          <w:p w:rsidR="00CC3545" w:rsidRPr="00CC3545" w:rsidRDefault="00CC3545" w:rsidP="00CC3545">
            <w:pPr>
              <w:spacing w:after="120" w:line="276" w:lineRule="auto"/>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Overall clinical benefit</w:t>
            </w:r>
          </w:p>
        </w:tc>
        <w:tc>
          <w:tcPr>
            <w:tcW w:w="2270" w:type="dxa"/>
            <w:tcBorders>
              <w:bottom w:val="nil"/>
            </w:tcBorders>
            <w:hideMark/>
          </w:tcPr>
          <w:p w:rsidR="00CC3545" w:rsidRPr="00CC3545" w:rsidRDefault="00CC3545" w:rsidP="00CC3545">
            <w:pPr>
              <w:spacing w:after="120"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Effectiveness</w:t>
            </w:r>
          </w:p>
        </w:tc>
        <w:tc>
          <w:tcPr>
            <w:tcW w:w="4917" w:type="dxa"/>
            <w:tcBorders>
              <w:bottom w:val="nil"/>
            </w:tcBorders>
            <w:hideMark/>
          </w:tcPr>
          <w:p w:rsidR="00CC3545" w:rsidRPr="00CC3545" w:rsidRDefault="00CC3545" w:rsidP="00CC3545">
            <w:pPr>
              <w:spacing w:after="200" w:line="276" w:lineRule="auto"/>
              <w:ind w:left="442"/>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Cambria" w:hAnsi="Cambria" w:cs="Times New Roman"/>
                <w:sz w:val="18"/>
                <w:szCs w:val="18"/>
                <w:lang w:val="en-AU" w:eastAsia="en-CA"/>
              </w:rPr>
              <w:t>The potential health impact of the technology compared to the available alternatives.</w:t>
            </w:r>
          </w:p>
          <w:p w:rsidR="00CC3545" w:rsidRPr="00CC3545" w:rsidRDefault="00CC3545" w:rsidP="00CC3545">
            <w:pPr>
              <w:spacing w:after="200" w:line="276" w:lineRule="auto"/>
              <w:ind w:left="442"/>
              <w:contextualSpacing/>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18"/>
                <w:szCs w:val="18"/>
                <w:lang w:val="en-AU" w:eastAsia="en-CA"/>
              </w:rPr>
            </w:pPr>
            <w:r w:rsidRPr="00CC3545">
              <w:rPr>
                <w:rFonts w:ascii="Cambria" w:eastAsia="Cambria" w:hAnsi="Cambria" w:cs="Times New Roman"/>
                <w:sz w:val="18"/>
                <w:szCs w:val="18"/>
                <w:lang w:val="en-AU" w:eastAsia="en-CA"/>
              </w:rPr>
              <w:t>Should be measured in terms of relevant patient outcomes including mortality, morbidity, and quality of life of persons using the technology.</w:t>
            </w:r>
          </w:p>
          <w:p w:rsidR="00CC3545" w:rsidRPr="00CC3545" w:rsidRDefault="00CC3545" w:rsidP="00CC3545">
            <w:pPr>
              <w:spacing w:after="120" w:line="276" w:lineRule="auto"/>
              <w:ind w:left="442"/>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8"/>
                <w:szCs w:val="18"/>
                <w:lang w:val="en-AU" w:eastAsia="en-CA"/>
              </w:rPr>
            </w:pPr>
            <w:r w:rsidRPr="00CC3545">
              <w:rPr>
                <w:rFonts w:ascii="Cambria" w:eastAsia="Cambria" w:hAnsi="Cambria" w:cs="Times New Roman"/>
                <w:sz w:val="18"/>
                <w:szCs w:val="18"/>
                <w:lang w:val="en-AU" w:eastAsia="en-CA"/>
              </w:rPr>
              <w:t>The magnitude and direction (increase/decrease) of the technology’s effect should be considered when evaluating its potential health impact.</w:t>
            </w:r>
          </w:p>
        </w:tc>
      </w:tr>
      <w:tr w:rsidR="00CC3545" w:rsidRPr="00CC3545" w:rsidTr="00CC3545">
        <w:tc>
          <w:tcPr>
            <w:cnfStyle w:val="001000000000" w:firstRow="0" w:lastRow="0" w:firstColumn="1" w:lastColumn="0" w:oddVBand="0" w:evenVBand="0" w:oddHBand="0" w:evenHBand="0" w:firstRowFirstColumn="0" w:firstRowLastColumn="0" w:lastRowFirstColumn="0" w:lastRowLastColumn="0"/>
            <w:tcW w:w="2153" w:type="dxa"/>
            <w:tcBorders>
              <w:top w:val="nil"/>
              <w:bottom w:val="nil"/>
            </w:tcBorders>
          </w:tcPr>
          <w:p w:rsidR="00CC3545" w:rsidRPr="00CC3545" w:rsidRDefault="00CC3545" w:rsidP="00CC3545">
            <w:pPr>
              <w:spacing w:after="120" w:line="276" w:lineRule="auto"/>
              <w:rPr>
                <w:rFonts w:ascii="Cambria" w:eastAsia="Times New Roman" w:hAnsi="Cambria" w:cs="Times New Roman"/>
                <w:sz w:val="18"/>
                <w:szCs w:val="18"/>
                <w:lang w:val="en-AU" w:eastAsia="en-CA"/>
              </w:rPr>
            </w:pPr>
          </w:p>
        </w:tc>
        <w:tc>
          <w:tcPr>
            <w:tcW w:w="2270" w:type="dxa"/>
            <w:tcBorders>
              <w:top w:val="nil"/>
              <w:bottom w:val="nil"/>
            </w:tcBorders>
            <w:hideMark/>
          </w:tcPr>
          <w:p w:rsidR="00CC3545" w:rsidRPr="00CC3545" w:rsidRDefault="00CC3545" w:rsidP="00CC3545">
            <w:pPr>
              <w:spacing w:after="120"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Safety</w:t>
            </w:r>
          </w:p>
        </w:tc>
        <w:tc>
          <w:tcPr>
            <w:tcW w:w="4917" w:type="dxa"/>
            <w:tcBorders>
              <w:top w:val="nil"/>
              <w:bottom w:val="nil"/>
            </w:tcBorders>
            <w:hideMark/>
          </w:tcPr>
          <w:p w:rsidR="00CC3545" w:rsidRPr="00CC3545" w:rsidRDefault="00CC3545" w:rsidP="00CC3545">
            <w:pPr>
              <w:spacing w:after="120" w:line="276" w:lineRule="auto"/>
              <w:ind w:left="442"/>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18"/>
                <w:lang w:val="en-AU" w:eastAsia="en-CA"/>
              </w:rPr>
            </w:pPr>
            <w:r w:rsidRPr="00CC3545">
              <w:rPr>
                <w:rFonts w:ascii="Cambria" w:eastAsia="Cambria" w:hAnsi="Cambria" w:cs="Times New Roman"/>
                <w:sz w:val="18"/>
                <w:szCs w:val="18"/>
                <w:lang w:val="en-AU" w:eastAsia="en-CA"/>
              </w:rPr>
              <w:t>The frequency and severity of adverse effects specific to the new technology compared to the available alternatives.</w:t>
            </w:r>
          </w:p>
        </w:tc>
      </w:tr>
      <w:tr w:rsidR="00CC3545" w:rsidRPr="00CC3545"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Borders>
              <w:top w:val="nil"/>
              <w:bottom w:val="nil"/>
            </w:tcBorders>
          </w:tcPr>
          <w:p w:rsidR="00CC3545" w:rsidRPr="00CC3545" w:rsidRDefault="00CC3545" w:rsidP="00CC3545">
            <w:pPr>
              <w:spacing w:after="120" w:line="276" w:lineRule="auto"/>
              <w:rPr>
                <w:rFonts w:ascii="Cambria" w:eastAsia="Times New Roman" w:hAnsi="Cambria" w:cs="Times New Roman"/>
                <w:sz w:val="18"/>
                <w:szCs w:val="18"/>
                <w:lang w:val="en-AU" w:eastAsia="en-CA"/>
              </w:rPr>
            </w:pPr>
          </w:p>
        </w:tc>
        <w:tc>
          <w:tcPr>
            <w:tcW w:w="2270" w:type="dxa"/>
            <w:tcBorders>
              <w:top w:val="nil"/>
              <w:bottom w:val="nil"/>
            </w:tcBorders>
            <w:hideMark/>
          </w:tcPr>
          <w:p w:rsidR="00CC3545" w:rsidRPr="00CC3545" w:rsidRDefault="00CC3545" w:rsidP="00CC3545">
            <w:pPr>
              <w:spacing w:after="120"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Burden of illness</w:t>
            </w:r>
          </w:p>
        </w:tc>
        <w:tc>
          <w:tcPr>
            <w:tcW w:w="4917" w:type="dxa"/>
            <w:tcBorders>
              <w:top w:val="nil"/>
              <w:bottom w:val="nil"/>
            </w:tcBorders>
            <w:hideMark/>
          </w:tcPr>
          <w:p w:rsidR="00CC3545" w:rsidRPr="00CC3545" w:rsidRDefault="00CC3545" w:rsidP="00CC3545">
            <w:pPr>
              <w:spacing w:after="120" w:line="276" w:lineRule="auto"/>
              <w:ind w:left="442"/>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8"/>
                <w:szCs w:val="18"/>
                <w:lang w:val="en-AU" w:eastAsia="en-CA"/>
              </w:rPr>
            </w:pPr>
            <w:r w:rsidRPr="00CC3545">
              <w:rPr>
                <w:rFonts w:ascii="Cambria" w:eastAsia="Cambria" w:hAnsi="Cambria" w:cs="Times New Roman"/>
                <w:sz w:val="18"/>
                <w:szCs w:val="18"/>
                <w:lang w:val="en-AU" w:eastAsia="en-CA"/>
              </w:rPr>
              <w:t>The burden of illness on society of the target condition to which the technology is applied as evidenced by the incidence, prevalence, or other measure of disease burden on the population.</w:t>
            </w:r>
          </w:p>
        </w:tc>
      </w:tr>
      <w:tr w:rsidR="00CC3545" w:rsidRPr="00CC3545" w:rsidTr="00CC3545">
        <w:tc>
          <w:tcPr>
            <w:cnfStyle w:val="001000000000" w:firstRow="0" w:lastRow="0" w:firstColumn="1" w:lastColumn="0" w:oddVBand="0" w:evenVBand="0" w:oddHBand="0" w:evenHBand="0" w:firstRowFirstColumn="0" w:firstRowLastColumn="0" w:lastRowFirstColumn="0" w:lastRowLastColumn="0"/>
            <w:tcW w:w="2153" w:type="dxa"/>
            <w:tcBorders>
              <w:top w:val="nil"/>
              <w:bottom w:val="single" w:sz="8" w:space="0" w:color="4F81BD"/>
            </w:tcBorders>
          </w:tcPr>
          <w:p w:rsidR="00CC3545" w:rsidRPr="00CC3545" w:rsidRDefault="00CC3545" w:rsidP="00CC3545">
            <w:pPr>
              <w:spacing w:after="120" w:line="276" w:lineRule="auto"/>
              <w:rPr>
                <w:rFonts w:ascii="Cambria" w:eastAsia="Times New Roman" w:hAnsi="Cambria" w:cs="Times New Roman"/>
                <w:sz w:val="18"/>
                <w:szCs w:val="18"/>
                <w:lang w:val="en-AU" w:eastAsia="en-CA"/>
              </w:rPr>
            </w:pPr>
          </w:p>
        </w:tc>
        <w:tc>
          <w:tcPr>
            <w:tcW w:w="2270" w:type="dxa"/>
            <w:tcBorders>
              <w:top w:val="nil"/>
              <w:bottom w:val="single" w:sz="8" w:space="0" w:color="4F81BD"/>
            </w:tcBorders>
            <w:hideMark/>
          </w:tcPr>
          <w:p w:rsidR="00CC3545" w:rsidRPr="00CC3545" w:rsidRDefault="00CC3545" w:rsidP="00CC3545">
            <w:pPr>
              <w:spacing w:after="120"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Need</w:t>
            </w:r>
          </w:p>
        </w:tc>
        <w:tc>
          <w:tcPr>
            <w:tcW w:w="4917" w:type="dxa"/>
            <w:tcBorders>
              <w:top w:val="nil"/>
              <w:bottom w:val="single" w:sz="8" w:space="0" w:color="4F81BD"/>
            </w:tcBorders>
            <w:hideMark/>
          </w:tcPr>
          <w:p w:rsidR="00CC3545" w:rsidRPr="00CC3545" w:rsidRDefault="00CC3545" w:rsidP="00CC3545">
            <w:pPr>
              <w:spacing w:after="200" w:line="276" w:lineRule="auto"/>
              <w:ind w:left="442"/>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Cambria" w:hAnsi="Cambria" w:cs="Times New Roman"/>
                <w:sz w:val="18"/>
                <w:szCs w:val="18"/>
                <w:lang w:val="en-AU" w:eastAsia="en-CA"/>
              </w:rPr>
              <w:t>The need for the technology compared to the availability of an effective alternative technology to manage the target condition.</w:t>
            </w:r>
          </w:p>
          <w:p w:rsidR="00CC3545" w:rsidRPr="00CC3545" w:rsidRDefault="00CC3545" w:rsidP="00CC3545">
            <w:pPr>
              <w:spacing w:after="120" w:line="276" w:lineRule="auto"/>
              <w:ind w:left="442"/>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18"/>
                <w:lang w:val="en-AU" w:eastAsia="en-CA"/>
              </w:rPr>
            </w:pPr>
            <w:r w:rsidRPr="00CC3545">
              <w:rPr>
                <w:rFonts w:ascii="Cambria" w:eastAsia="Cambria" w:hAnsi="Cambria" w:cs="Times New Roman"/>
                <w:sz w:val="18"/>
                <w:szCs w:val="18"/>
                <w:lang w:val="en-AU" w:eastAsia="en-CA"/>
              </w:rPr>
              <w:t>Need may be great if no other alternatives are available for the target condition.</w:t>
            </w:r>
          </w:p>
        </w:tc>
      </w:tr>
      <w:tr w:rsidR="00CC3545" w:rsidRPr="00CC3545" w:rsidTr="00CC354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153" w:type="dxa"/>
            <w:tcBorders>
              <w:bottom w:val="nil"/>
            </w:tcBorders>
            <w:hideMark/>
          </w:tcPr>
          <w:p w:rsidR="00CC3545" w:rsidRPr="00CC3545" w:rsidRDefault="00CC3545" w:rsidP="00CC3545">
            <w:pPr>
              <w:spacing w:after="120" w:line="276" w:lineRule="auto"/>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Consistency with expected societal and ethical values</w:t>
            </w:r>
          </w:p>
        </w:tc>
        <w:tc>
          <w:tcPr>
            <w:tcW w:w="2270" w:type="dxa"/>
            <w:tcBorders>
              <w:bottom w:val="nil"/>
            </w:tcBorders>
          </w:tcPr>
          <w:p w:rsidR="00CC3545" w:rsidRPr="00CC3545" w:rsidRDefault="00CC3545" w:rsidP="00CC3545">
            <w:pPr>
              <w:spacing w:after="120"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Expected societal values</w:t>
            </w:r>
          </w:p>
          <w:p w:rsidR="00CC3545" w:rsidRPr="00CC3545" w:rsidRDefault="00CC3545" w:rsidP="00CC3545">
            <w:pPr>
              <w:spacing w:after="120"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8"/>
                <w:szCs w:val="18"/>
                <w:lang w:val="en-AU" w:eastAsia="en-CA"/>
              </w:rPr>
            </w:pPr>
          </w:p>
        </w:tc>
        <w:tc>
          <w:tcPr>
            <w:tcW w:w="4917" w:type="dxa"/>
            <w:tcBorders>
              <w:bottom w:val="nil"/>
            </w:tcBorders>
            <w:hideMark/>
          </w:tcPr>
          <w:p w:rsidR="00CC3545" w:rsidRPr="00CC3545" w:rsidRDefault="00CC3545" w:rsidP="00CC3545">
            <w:pPr>
              <w:spacing w:after="120" w:line="276" w:lineRule="auto"/>
              <w:ind w:left="442"/>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8"/>
                <w:szCs w:val="18"/>
                <w:lang w:val="en-AU" w:eastAsia="en-CA"/>
              </w:rPr>
            </w:pPr>
            <w:r w:rsidRPr="00CC3545">
              <w:rPr>
                <w:rFonts w:ascii="Cambria" w:eastAsia="Cambria" w:hAnsi="Cambria" w:cs="Times New Roman"/>
                <w:sz w:val="18"/>
                <w:szCs w:val="18"/>
                <w:lang w:val="en-AU" w:eastAsia="en-CA"/>
              </w:rPr>
              <w:t>Broadly shared values in the society and in the MUHC that bear on the appropriate use and impact of the technology</w:t>
            </w:r>
          </w:p>
        </w:tc>
      </w:tr>
      <w:tr w:rsidR="00CC3545" w:rsidRPr="00CC3545" w:rsidTr="00CC3545">
        <w:tc>
          <w:tcPr>
            <w:cnfStyle w:val="001000000000" w:firstRow="0" w:lastRow="0" w:firstColumn="1" w:lastColumn="0" w:oddVBand="0" w:evenVBand="0" w:oddHBand="0" w:evenHBand="0" w:firstRowFirstColumn="0" w:firstRowLastColumn="0" w:lastRowFirstColumn="0" w:lastRowLastColumn="0"/>
            <w:tcW w:w="2153" w:type="dxa"/>
            <w:tcBorders>
              <w:top w:val="nil"/>
              <w:bottom w:val="single" w:sz="8" w:space="0" w:color="4F81BD"/>
            </w:tcBorders>
          </w:tcPr>
          <w:p w:rsidR="00CC3545" w:rsidRPr="00CC3545" w:rsidRDefault="00CC3545" w:rsidP="00CC3545">
            <w:pPr>
              <w:spacing w:after="120" w:line="276" w:lineRule="auto"/>
              <w:rPr>
                <w:rFonts w:ascii="Cambria" w:eastAsia="Times New Roman" w:hAnsi="Cambria" w:cs="Times New Roman"/>
                <w:sz w:val="18"/>
                <w:szCs w:val="18"/>
                <w:lang w:val="en-AU" w:eastAsia="en-CA"/>
              </w:rPr>
            </w:pPr>
          </w:p>
        </w:tc>
        <w:tc>
          <w:tcPr>
            <w:tcW w:w="2270" w:type="dxa"/>
            <w:tcBorders>
              <w:top w:val="nil"/>
              <w:bottom w:val="single" w:sz="8" w:space="0" w:color="4F81BD"/>
            </w:tcBorders>
          </w:tcPr>
          <w:p w:rsidR="00CC3545" w:rsidRPr="00CC3545" w:rsidRDefault="00CC3545" w:rsidP="00CC3545">
            <w:pPr>
              <w:spacing w:after="120"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Expected ethical values</w:t>
            </w:r>
          </w:p>
          <w:p w:rsidR="00CC3545" w:rsidRPr="00CC3545" w:rsidRDefault="00CC3545" w:rsidP="00CC3545">
            <w:pPr>
              <w:spacing w:after="120"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18"/>
                <w:lang w:val="en-AU" w:eastAsia="en-CA"/>
              </w:rPr>
            </w:pPr>
          </w:p>
        </w:tc>
        <w:tc>
          <w:tcPr>
            <w:tcW w:w="4917" w:type="dxa"/>
            <w:tcBorders>
              <w:top w:val="nil"/>
              <w:bottom w:val="single" w:sz="8" w:space="0" w:color="4F81BD"/>
            </w:tcBorders>
            <w:hideMark/>
          </w:tcPr>
          <w:p w:rsidR="00CC3545" w:rsidRPr="00CC3545" w:rsidRDefault="00CC3545" w:rsidP="00CC3545">
            <w:pPr>
              <w:spacing w:after="200" w:line="276" w:lineRule="auto"/>
              <w:ind w:left="442"/>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Cambria" w:hAnsi="Cambria" w:cs="Times New Roman"/>
                <w:sz w:val="18"/>
                <w:szCs w:val="18"/>
                <w:lang w:val="en-AU" w:eastAsia="en-CA"/>
              </w:rPr>
              <w:t>The potential ethical issues inherent in using or not using the technology.</w:t>
            </w:r>
          </w:p>
          <w:p w:rsidR="00CC3545" w:rsidRPr="00CC3545" w:rsidRDefault="00CC3545" w:rsidP="00CC3545">
            <w:pPr>
              <w:spacing w:after="120" w:line="276" w:lineRule="auto"/>
              <w:ind w:left="442"/>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18"/>
                <w:lang w:val="en-AU" w:eastAsia="en-CA"/>
              </w:rPr>
            </w:pPr>
            <w:r w:rsidRPr="00CC3545">
              <w:rPr>
                <w:rFonts w:ascii="Cambria" w:eastAsia="Cambria" w:hAnsi="Cambria" w:cs="Times New Roman"/>
                <w:sz w:val="18"/>
                <w:szCs w:val="18"/>
                <w:lang w:val="en-AU" w:eastAsia="en-CA"/>
              </w:rPr>
              <w:t>Relevant ethical issues should be listed.</w:t>
            </w:r>
          </w:p>
        </w:tc>
      </w:tr>
      <w:tr w:rsidR="00CC3545" w:rsidRPr="00CC3545"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rsidR="00CC3545" w:rsidRPr="00CC3545" w:rsidRDefault="00CC3545" w:rsidP="00CC3545">
            <w:pPr>
              <w:spacing w:after="120" w:line="276" w:lineRule="auto"/>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Value for money</w:t>
            </w:r>
          </w:p>
          <w:p w:rsidR="00CC3545" w:rsidRPr="00CC3545" w:rsidRDefault="00CC3545" w:rsidP="00CC3545">
            <w:pPr>
              <w:spacing w:after="120" w:line="276" w:lineRule="auto"/>
              <w:rPr>
                <w:rFonts w:ascii="Cambria" w:eastAsia="Times New Roman" w:hAnsi="Cambria" w:cs="Times New Roman"/>
                <w:sz w:val="18"/>
                <w:szCs w:val="18"/>
                <w:lang w:val="en-AU" w:eastAsia="en-CA"/>
              </w:rPr>
            </w:pPr>
          </w:p>
        </w:tc>
        <w:tc>
          <w:tcPr>
            <w:tcW w:w="2270" w:type="dxa"/>
          </w:tcPr>
          <w:p w:rsidR="00CC3545" w:rsidRPr="00CC3545" w:rsidRDefault="00CC3545" w:rsidP="00CC3545">
            <w:pPr>
              <w:spacing w:after="120"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Economic evaluations</w:t>
            </w:r>
          </w:p>
          <w:p w:rsidR="00CC3545" w:rsidRPr="00CC3545" w:rsidRDefault="00CC3545" w:rsidP="00CC3545">
            <w:pPr>
              <w:spacing w:after="120"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8"/>
                <w:szCs w:val="18"/>
                <w:lang w:val="en-AU" w:eastAsia="en-CA"/>
              </w:rPr>
            </w:pPr>
          </w:p>
        </w:tc>
        <w:tc>
          <w:tcPr>
            <w:tcW w:w="4917" w:type="dxa"/>
            <w:hideMark/>
          </w:tcPr>
          <w:p w:rsidR="00CC3545" w:rsidRPr="00CC3545" w:rsidRDefault="00CC3545" w:rsidP="00CC3545">
            <w:pPr>
              <w:spacing w:after="200" w:line="276" w:lineRule="auto"/>
              <w:ind w:left="442"/>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Cambria" w:hAnsi="Cambria" w:cs="Times New Roman"/>
                <w:sz w:val="18"/>
                <w:szCs w:val="18"/>
                <w:lang w:val="en-AU" w:eastAsia="en-CA"/>
              </w:rPr>
              <w:t>A measure of the net cost or efficiency of the health technology compared to available alternatives.</w:t>
            </w:r>
          </w:p>
          <w:p w:rsidR="00CC3545" w:rsidRPr="00CC3545" w:rsidRDefault="00CC3545" w:rsidP="00CC3545">
            <w:pPr>
              <w:spacing w:after="200" w:line="276" w:lineRule="auto"/>
              <w:ind w:left="442"/>
              <w:contextualSpacing/>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18"/>
                <w:szCs w:val="18"/>
                <w:lang w:val="en-AU" w:eastAsia="en-CA"/>
              </w:rPr>
            </w:pPr>
            <w:r w:rsidRPr="00CC3545">
              <w:rPr>
                <w:rFonts w:ascii="Cambria" w:eastAsia="Cambria" w:hAnsi="Cambria" w:cs="Times New Roman"/>
                <w:sz w:val="18"/>
                <w:szCs w:val="18"/>
                <w:lang w:val="en-AU" w:eastAsia="en-CA"/>
              </w:rPr>
              <w:t>MUHC does not use a value for money threshold.</w:t>
            </w:r>
          </w:p>
          <w:p w:rsidR="00CC3545" w:rsidRPr="00CC3545" w:rsidRDefault="00CC3545" w:rsidP="00CC3545">
            <w:pPr>
              <w:spacing w:after="120" w:line="276" w:lineRule="auto"/>
              <w:ind w:left="442"/>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8"/>
                <w:szCs w:val="18"/>
                <w:lang w:val="en-AU" w:eastAsia="en-CA"/>
              </w:rPr>
            </w:pPr>
            <w:r w:rsidRPr="00CC3545">
              <w:rPr>
                <w:rFonts w:ascii="Cambria" w:eastAsia="Cambria" w:hAnsi="Cambria" w:cs="Times New Roman"/>
                <w:sz w:val="18"/>
                <w:szCs w:val="18"/>
                <w:lang w:val="en-AU" w:eastAsia="en-CA"/>
              </w:rPr>
              <w:t>Can be assessed by the appropriate economic evaluation including incremental cost effectiveness analysis, incremental cost–utility analysis, net monetary/health benefit, acceptability curves, cost-consequence analysis</w:t>
            </w:r>
          </w:p>
        </w:tc>
      </w:tr>
      <w:tr w:rsidR="00CC3545" w:rsidRPr="00CC3545" w:rsidTr="00CC3545">
        <w:tc>
          <w:tcPr>
            <w:cnfStyle w:val="001000000000" w:firstRow="0" w:lastRow="0" w:firstColumn="1" w:lastColumn="0" w:oddVBand="0" w:evenVBand="0" w:oddHBand="0" w:evenHBand="0" w:firstRowFirstColumn="0" w:firstRowLastColumn="0" w:lastRowFirstColumn="0" w:lastRowLastColumn="0"/>
            <w:tcW w:w="2153" w:type="dxa"/>
            <w:tcBorders>
              <w:bottom w:val="nil"/>
            </w:tcBorders>
            <w:hideMark/>
          </w:tcPr>
          <w:p w:rsidR="00CC3545" w:rsidRPr="00CC3545" w:rsidRDefault="00CC3545" w:rsidP="00CC3545">
            <w:pPr>
              <w:spacing w:after="120" w:line="276" w:lineRule="auto"/>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Feasibility of adoption</w:t>
            </w:r>
          </w:p>
        </w:tc>
        <w:tc>
          <w:tcPr>
            <w:tcW w:w="2270" w:type="dxa"/>
            <w:tcBorders>
              <w:bottom w:val="nil"/>
            </w:tcBorders>
          </w:tcPr>
          <w:p w:rsidR="00CC3545" w:rsidRPr="00CC3545" w:rsidRDefault="00CC3545" w:rsidP="00CC3545">
            <w:pPr>
              <w:spacing w:after="120"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Economic feasibility</w:t>
            </w:r>
          </w:p>
          <w:p w:rsidR="00CC3545" w:rsidRPr="00CC3545" w:rsidRDefault="00CC3545" w:rsidP="00CC3545">
            <w:pPr>
              <w:spacing w:after="120"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18"/>
                <w:lang w:val="en-AU" w:eastAsia="en-CA"/>
              </w:rPr>
            </w:pPr>
          </w:p>
        </w:tc>
        <w:tc>
          <w:tcPr>
            <w:tcW w:w="4917" w:type="dxa"/>
            <w:tcBorders>
              <w:bottom w:val="nil"/>
            </w:tcBorders>
            <w:hideMark/>
          </w:tcPr>
          <w:p w:rsidR="00CC3545" w:rsidRPr="00CC3545" w:rsidRDefault="00CC3545" w:rsidP="00CC3545">
            <w:pPr>
              <w:spacing w:after="200" w:line="276" w:lineRule="auto"/>
              <w:ind w:left="442"/>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Cambria" w:hAnsi="Cambria" w:cs="Times New Roman"/>
                <w:sz w:val="18"/>
                <w:szCs w:val="18"/>
                <w:lang w:val="en-AU" w:eastAsia="en-CA"/>
              </w:rPr>
              <w:t>The net budget impact of the new health technology derived by determining all relevant costs and savings to the health care system.</w:t>
            </w:r>
          </w:p>
          <w:p w:rsidR="00CC3545" w:rsidRPr="00CC3545" w:rsidRDefault="00CC3545" w:rsidP="00CC3545">
            <w:pPr>
              <w:spacing w:after="120" w:line="276" w:lineRule="auto"/>
              <w:ind w:left="442"/>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18"/>
                <w:lang w:val="en-AU" w:eastAsia="en-CA"/>
              </w:rPr>
            </w:pPr>
            <w:r w:rsidRPr="00CC3545">
              <w:rPr>
                <w:rFonts w:ascii="Cambria" w:eastAsia="Cambria" w:hAnsi="Cambria" w:cs="Times New Roman"/>
                <w:sz w:val="18"/>
                <w:szCs w:val="18"/>
                <w:lang w:val="en-AU" w:eastAsia="en-CA"/>
              </w:rPr>
              <w:t>The default perspective for the budget impact analyses will be that of the MUHC.</w:t>
            </w:r>
          </w:p>
        </w:tc>
      </w:tr>
      <w:tr w:rsidR="00CC3545" w:rsidRPr="00CC3545" w:rsidTr="00CC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Borders>
              <w:top w:val="nil"/>
            </w:tcBorders>
          </w:tcPr>
          <w:p w:rsidR="00CC3545" w:rsidRPr="00CC3545" w:rsidRDefault="00CC3545" w:rsidP="00CC3545">
            <w:pPr>
              <w:spacing w:after="120" w:line="276" w:lineRule="auto"/>
              <w:rPr>
                <w:rFonts w:ascii="Cambria" w:eastAsia="Times New Roman" w:hAnsi="Cambria" w:cs="Times New Roman"/>
                <w:sz w:val="18"/>
                <w:szCs w:val="18"/>
                <w:lang w:val="en-AU" w:eastAsia="en-CA"/>
              </w:rPr>
            </w:pPr>
          </w:p>
        </w:tc>
        <w:tc>
          <w:tcPr>
            <w:tcW w:w="2270" w:type="dxa"/>
            <w:tcBorders>
              <w:top w:val="nil"/>
            </w:tcBorders>
          </w:tcPr>
          <w:p w:rsidR="00CC3545" w:rsidRPr="00CC3545" w:rsidRDefault="00CC3545" w:rsidP="00CC3545">
            <w:pPr>
              <w:spacing w:after="120"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8"/>
                <w:szCs w:val="18"/>
                <w:lang w:val="en-AU" w:eastAsia="en-CA"/>
              </w:rPr>
            </w:pPr>
            <w:r w:rsidRPr="00CC3545">
              <w:rPr>
                <w:rFonts w:ascii="Cambria" w:eastAsia="Times New Roman" w:hAnsi="Cambria" w:cs="Times New Roman"/>
                <w:sz w:val="18"/>
                <w:szCs w:val="18"/>
                <w:lang w:val="en-AU" w:eastAsia="en-CA"/>
              </w:rPr>
              <w:t>Organizational feasibility</w:t>
            </w:r>
          </w:p>
          <w:p w:rsidR="00CC3545" w:rsidRPr="00CC3545" w:rsidRDefault="00CC3545" w:rsidP="00CC3545">
            <w:pPr>
              <w:spacing w:after="120"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8"/>
                <w:szCs w:val="18"/>
                <w:lang w:val="en-AU" w:eastAsia="en-CA"/>
              </w:rPr>
            </w:pPr>
          </w:p>
        </w:tc>
        <w:tc>
          <w:tcPr>
            <w:tcW w:w="4917" w:type="dxa"/>
            <w:tcBorders>
              <w:top w:val="nil"/>
            </w:tcBorders>
            <w:hideMark/>
          </w:tcPr>
          <w:p w:rsidR="00CC3545" w:rsidRPr="00CC3545" w:rsidRDefault="00CC3545" w:rsidP="00CC3545">
            <w:pPr>
              <w:spacing w:after="120" w:line="276" w:lineRule="auto"/>
              <w:ind w:left="442"/>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8"/>
                <w:szCs w:val="18"/>
                <w:lang w:val="en-AU" w:eastAsia="en-CA"/>
              </w:rPr>
            </w:pPr>
            <w:r w:rsidRPr="00CC3545">
              <w:rPr>
                <w:rFonts w:ascii="Cambria" w:eastAsia="Cambria" w:hAnsi="Cambria" w:cs="Times New Roman"/>
                <w:sz w:val="18"/>
                <w:szCs w:val="18"/>
                <w:lang w:val="en-AU" w:eastAsia="en-CA"/>
              </w:rPr>
              <w:t>The ease with which the health technology can be adopted will be evaluated by looking at the health system enablers and barriers to diffusion within the health system infrastructure (operational, capital, human resources, legislative and regulatory).</w:t>
            </w:r>
          </w:p>
        </w:tc>
      </w:tr>
    </w:tbl>
    <w:p w:rsidR="009A6B80" w:rsidRDefault="009A6B80">
      <w:pPr>
        <w:rPr>
          <w:lang w:val="en-AU"/>
        </w:rPr>
      </w:pPr>
    </w:p>
    <w:p w:rsidR="009A6B80" w:rsidRDefault="009A6B80">
      <w:pPr>
        <w:rPr>
          <w:lang w:val="en-AU"/>
        </w:rPr>
      </w:pPr>
    </w:p>
    <w:p w:rsidR="009A6B80" w:rsidRPr="009A6B80" w:rsidRDefault="009A6B80" w:rsidP="009A6B80">
      <w:pPr>
        <w:spacing w:line="240" w:lineRule="auto"/>
        <w:rPr>
          <w:rFonts w:ascii="Calibri" w:hAnsi="Calibri"/>
          <w:noProof/>
          <w:lang w:val="en-AU"/>
        </w:rPr>
      </w:pPr>
      <w:r>
        <w:rPr>
          <w:lang w:val="en-AU"/>
        </w:rPr>
        <w:lastRenderedPageBreak/>
        <w:fldChar w:fldCharType="begin"/>
      </w:r>
      <w:r>
        <w:rPr>
          <w:lang w:val="en-AU"/>
        </w:rPr>
        <w:instrText xml:space="preserve"> ADDIN EN.REFLIST </w:instrText>
      </w:r>
      <w:r>
        <w:rPr>
          <w:lang w:val="en-AU"/>
        </w:rPr>
        <w:fldChar w:fldCharType="separate"/>
      </w:r>
      <w:bookmarkStart w:id="1" w:name="_ENREF_1"/>
      <w:r w:rsidRPr="009A6B80">
        <w:rPr>
          <w:rFonts w:ascii="Calibri" w:hAnsi="Calibri"/>
          <w:noProof/>
          <w:lang w:val="en-AU"/>
        </w:rPr>
        <w:t>1.</w:t>
      </w:r>
      <w:r w:rsidRPr="009A6B80">
        <w:rPr>
          <w:rFonts w:ascii="Calibri" w:hAnsi="Calibri"/>
          <w:noProof/>
          <w:lang w:val="en-AU"/>
        </w:rPr>
        <w:tab/>
        <w:t xml:space="preserve">The Ontario Health Technology Advisory Committee (OHTAC). The OHTAC Decision-Making Process for the Development of Evidence-Based Recommendations. 2010. </w:t>
      </w:r>
      <w:hyperlink r:id="rId5" w:history="1">
        <w:r w:rsidRPr="009A6B80">
          <w:rPr>
            <w:rStyle w:val="Hyperlink"/>
            <w:rFonts w:ascii="Calibri" w:hAnsi="Calibri"/>
            <w:noProof/>
            <w:lang w:val="en-AU"/>
          </w:rPr>
          <w:t>http://www.hqontario.ca/en/mas/tech/pdfs/2011/guide_decision.pdf</w:t>
        </w:r>
      </w:hyperlink>
      <w:r w:rsidRPr="009A6B80">
        <w:rPr>
          <w:rFonts w:ascii="Calibri" w:hAnsi="Calibri"/>
          <w:noProof/>
          <w:lang w:val="en-AU"/>
        </w:rPr>
        <w:t xml:space="preserve"> [accessed July 20, 2018]</w:t>
      </w:r>
    </w:p>
    <w:bookmarkEnd w:id="1"/>
    <w:p w:rsidR="009A6B80" w:rsidRPr="009A6B80" w:rsidRDefault="009A6B80" w:rsidP="009A6B80">
      <w:pPr>
        <w:spacing w:line="240" w:lineRule="auto"/>
        <w:rPr>
          <w:rFonts w:ascii="Calibri" w:hAnsi="Calibri"/>
          <w:noProof/>
          <w:lang w:val="en-AU"/>
        </w:rPr>
      </w:pPr>
    </w:p>
    <w:p w:rsidR="009A6B80" w:rsidRDefault="009A6B80" w:rsidP="009A6B80">
      <w:pPr>
        <w:spacing w:line="240" w:lineRule="auto"/>
        <w:rPr>
          <w:noProof/>
          <w:lang w:val="en-AU"/>
        </w:rPr>
      </w:pPr>
    </w:p>
    <w:p w:rsidR="00CC3545" w:rsidRPr="00CC3545" w:rsidRDefault="009A6B80">
      <w:pPr>
        <w:rPr>
          <w:lang w:val="en-AU"/>
        </w:rPr>
      </w:pPr>
      <w:r>
        <w:rPr>
          <w:lang w:val="en-AU"/>
        </w:rPr>
        <w:fldChar w:fldCharType="end"/>
      </w:r>
    </w:p>
    <w:sectPr w:rsidR="00CC3545" w:rsidRPr="00CC3545" w:rsidSect="00000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ernational Journal of Technology Assessm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eav2x9hvppzse9swdvref099psd9ztdred&quot;&gt;Recommendations Library&lt;record-ids&gt;&lt;item&gt;658&lt;/item&gt;&lt;/record-ids&gt;&lt;/item&gt;&lt;/Libraries&gt;"/>
  </w:docVars>
  <w:rsids>
    <w:rsidRoot w:val="005A3E7C"/>
    <w:rsid w:val="0000085D"/>
    <w:rsid w:val="0011277B"/>
    <w:rsid w:val="00126BBC"/>
    <w:rsid w:val="0014021A"/>
    <w:rsid w:val="0027162E"/>
    <w:rsid w:val="00301CEE"/>
    <w:rsid w:val="003D416C"/>
    <w:rsid w:val="00406DF9"/>
    <w:rsid w:val="00451B7B"/>
    <w:rsid w:val="004C2A78"/>
    <w:rsid w:val="004F2E01"/>
    <w:rsid w:val="004F397D"/>
    <w:rsid w:val="00536149"/>
    <w:rsid w:val="00595C27"/>
    <w:rsid w:val="00595EEA"/>
    <w:rsid w:val="005A3E7C"/>
    <w:rsid w:val="005D5BCE"/>
    <w:rsid w:val="00740EB1"/>
    <w:rsid w:val="0087752C"/>
    <w:rsid w:val="00916965"/>
    <w:rsid w:val="009A6B80"/>
    <w:rsid w:val="00AB6CFF"/>
    <w:rsid w:val="00AC5CB4"/>
    <w:rsid w:val="00B375F3"/>
    <w:rsid w:val="00B403D0"/>
    <w:rsid w:val="00BC1959"/>
    <w:rsid w:val="00C23B30"/>
    <w:rsid w:val="00C85267"/>
    <w:rsid w:val="00CC3545"/>
    <w:rsid w:val="00D2546F"/>
    <w:rsid w:val="00D97E8A"/>
    <w:rsid w:val="00EA2416"/>
    <w:rsid w:val="00F8409A"/>
    <w:rsid w:val="00FE4E2C"/>
    <w:rsid w:val="00FE7DD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4C45"/>
  <w15:chartTrackingRefBased/>
  <w15:docId w15:val="{3B41B16C-0735-46F0-AED7-2A9FE57B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6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00085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Caption">
    <w:name w:val="caption"/>
    <w:basedOn w:val="Normal"/>
    <w:next w:val="Normal"/>
    <w:uiPriority w:val="35"/>
    <w:unhideWhenUsed/>
    <w:qFormat/>
    <w:rsid w:val="00CC3545"/>
    <w:pPr>
      <w:spacing w:after="200" w:line="240" w:lineRule="auto"/>
    </w:pPr>
    <w:rPr>
      <w:i/>
      <w:iCs/>
      <w:color w:val="44546A" w:themeColor="text2"/>
      <w:sz w:val="18"/>
      <w:szCs w:val="18"/>
    </w:rPr>
  </w:style>
  <w:style w:type="table" w:customStyle="1" w:styleId="LightList-Accent11">
    <w:name w:val="Light List - Accent 11"/>
    <w:basedOn w:val="TableNormal"/>
    <w:uiPriority w:val="61"/>
    <w:rsid w:val="00CC3545"/>
    <w:pPr>
      <w:spacing w:after="0" w:line="240" w:lineRule="auto"/>
    </w:pPr>
    <w:rPr>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Table3-Accent1">
    <w:name w:val="List Table 3 Accent 1"/>
    <w:basedOn w:val="TableNormal"/>
    <w:uiPriority w:val="48"/>
    <w:rsid w:val="00CC354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Hyperlink">
    <w:name w:val="Hyperlink"/>
    <w:basedOn w:val="DefaultParagraphFont"/>
    <w:uiPriority w:val="99"/>
    <w:unhideWhenUsed/>
    <w:rsid w:val="00CC3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qontario.ca/en/mas/tech/pdfs/2011/guide_decision.pdf" TargetMode="External"/><Relationship Id="rId4" Type="http://schemas.openxmlformats.org/officeDocument/2006/relationships/hyperlink" Target="https://muhc.ca/tau/page/tau-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2644</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Nisha</dc:creator>
  <cp:keywords/>
  <dc:description/>
  <cp:lastModifiedBy>Almeida Nisha</cp:lastModifiedBy>
  <cp:revision>2</cp:revision>
  <dcterms:created xsi:type="dcterms:W3CDTF">2018-10-24T19:12:00Z</dcterms:created>
  <dcterms:modified xsi:type="dcterms:W3CDTF">2018-10-26T21:10:00Z</dcterms:modified>
</cp:coreProperties>
</file>