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B5E" w:rsidRPr="00411422" w:rsidRDefault="003F1B5E" w:rsidP="003F1B5E">
      <w:pPr>
        <w:pStyle w:val="Titel"/>
        <w:rPr>
          <w:lang w:val="en-GB"/>
        </w:rPr>
      </w:pPr>
      <w:bookmarkStart w:id="0" w:name="_Ref431995091"/>
      <w:bookmarkStart w:id="1" w:name="_Toc435544261"/>
      <w:bookmarkStart w:id="2" w:name="_Toc437942479"/>
      <w:r w:rsidRPr="00411422">
        <w:rPr>
          <w:lang w:val="en-GB"/>
        </w:rPr>
        <w:t>Appraisal checklist for moderators and predictors of treatment effects</w:t>
      </w:r>
      <w:bookmarkEnd w:id="0"/>
      <w:bookmarkEnd w:id="1"/>
      <w:bookmarkEnd w:id="2"/>
    </w:p>
    <w:p w:rsidR="003F1B5E" w:rsidRPr="000E54F1" w:rsidRDefault="003F1B5E" w:rsidP="003F1B5E">
      <w:pPr>
        <w:pStyle w:val="Standardtext"/>
        <w:outlineLvl w:val="0"/>
        <w:rPr>
          <w:b/>
          <w:lang w:val="en-GB"/>
        </w:rPr>
      </w:pPr>
      <w:bookmarkStart w:id="3" w:name="_Toc435544262"/>
      <w:r w:rsidRPr="000E54F1">
        <w:rPr>
          <w:b/>
          <w:lang w:val="en-GB"/>
        </w:rPr>
        <w:t>About the checklist</w:t>
      </w:r>
      <w:bookmarkEnd w:id="3"/>
    </w:p>
    <w:p w:rsidR="003F1B5E" w:rsidRPr="005A255F" w:rsidRDefault="003F1B5E" w:rsidP="003F1B5E">
      <w:pPr>
        <w:rPr>
          <w:rFonts w:cs="Arial"/>
          <w:lang w:val="en-GB"/>
        </w:rPr>
      </w:pPr>
      <w:r w:rsidRPr="005A255F">
        <w:rPr>
          <w:rFonts w:cs="Arial"/>
          <w:lang w:val="en-GB"/>
        </w:rPr>
        <w:t>In this document, a checklist is presented for the critical appraisal of claims concerning moderators and predictors of treatment effects.</w:t>
      </w:r>
      <w:r w:rsidR="00202903">
        <w:rPr>
          <w:rFonts w:cs="Arial"/>
          <w:lang w:val="en-GB"/>
        </w:rPr>
        <w:t xml:space="preserve"> Such effects can be used to build prediction models or identify subgroups which may respond differently to treatments.</w:t>
      </w:r>
      <w:r w:rsidRPr="005A255F">
        <w:rPr>
          <w:rFonts w:cs="Arial"/>
          <w:lang w:val="en-GB"/>
        </w:rPr>
        <w:t xml:space="preserve"> The checklist aims to appraise evidence and assess relevance of the evidence for HTAs or guidelines. The document has three sections: an introduction, the appraisal checklist itself, and a background section on how the checklist may be used.</w:t>
      </w:r>
    </w:p>
    <w:p w:rsidR="003F1B5E" w:rsidRPr="005A255F" w:rsidRDefault="003F1B5E" w:rsidP="003F1B5E">
      <w:pPr>
        <w:rPr>
          <w:rFonts w:cs="Arial"/>
          <w:lang w:val="en-GB"/>
        </w:rPr>
      </w:pPr>
      <w:r w:rsidRPr="005A255F">
        <w:rPr>
          <w:rFonts w:cs="Arial"/>
          <w:lang w:val="en-GB"/>
        </w:rPr>
        <w:t xml:space="preserve">The checklist is designed to provide users with a structured way of looking at a set of key quality and relevancy indicators. The checklist is intended to be applicable for various study types such as (randomised) intervention trials, observational studies and systematic reviews. The background information provided at the end of this document is intended to help users answering the items and interpreting the consequences of negative answers for the overall judgment of credibility and relevance of treatment moderation or prediction. </w:t>
      </w:r>
    </w:p>
    <w:p w:rsidR="003F1B5E" w:rsidRPr="000E54F1" w:rsidRDefault="003F1B5E" w:rsidP="003F1B5E">
      <w:pPr>
        <w:rPr>
          <w:rFonts w:cs="Arial"/>
          <w:lang w:val="en-GB"/>
        </w:rPr>
      </w:pPr>
      <w:r w:rsidRPr="005A255F">
        <w:rPr>
          <w:rFonts w:cs="Arial"/>
          <w:lang w:val="en-GB"/>
        </w:rPr>
        <w:t>The checklist requires that overall study quality (unrelated to treatment moderation or prediction) is assessed, using appropriate appraisal tools. The user of this checklist is asked to report the conclusion from this appraisal before proceeding with the appraisal of claims regarding moderation or prediction. The checklist itself consists of fourteen items grouped under the headings of design, analysis, results, and transferability of results. An additional set of five items can be used to appraise claims regarding moderation or prediction of treatment effects based on a body of evidence.</w:t>
      </w:r>
    </w:p>
    <w:p w:rsidR="003F1B5E" w:rsidRPr="000E54F1" w:rsidRDefault="003F1B5E" w:rsidP="003F1B5E">
      <w:pPr>
        <w:pStyle w:val="Standardtext"/>
        <w:outlineLvl w:val="0"/>
        <w:rPr>
          <w:b/>
          <w:lang w:val="en-GB"/>
        </w:rPr>
      </w:pPr>
      <w:bookmarkStart w:id="4" w:name="_Toc435544263"/>
      <w:r w:rsidRPr="000E54F1">
        <w:rPr>
          <w:b/>
          <w:lang w:val="en-GB"/>
        </w:rPr>
        <w:t>Moderators versus predictors: definition</w:t>
      </w:r>
      <w:bookmarkEnd w:id="4"/>
    </w:p>
    <w:p w:rsidR="003F1B5E" w:rsidRPr="000E54F1" w:rsidRDefault="003F1B5E" w:rsidP="003F1B5E">
      <w:pPr>
        <w:rPr>
          <w:rFonts w:cs="Arial"/>
          <w:lang w:val="en-GB"/>
        </w:rPr>
      </w:pPr>
      <w:r w:rsidRPr="000E54F1">
        <w:rPr>
          <w:rFonts w:cs="Arial"/>
          <w:lang w:val="en-GB"/>
        </w:rPr>
        <w:t xml:space="preserve">For moderators and predictors of treatment effects we used the definitions by </w:t>
      </w:r>
      <w:r w:rsidR="00CB71AC" w:rsidRPr="000E54F1">
        <w:rPr>
          <w:rFonts w:cs="Arial"/>
          <w:lang w:val="en-GB"/>
        </w:rPr>
        <w:fldChar w:fldCharType="begin"/>
      </w:r>
      <w:r>
        <w:rPr>
          <w:rFonts w:cs="Arial"/>
          <w:lang w:val="en-GB"/>
        </w:rPr>
        <w:instrText xml:space="preserve"> ADDIN EN.CITE &lt;EndNote&gt;&lt;Cite&gt;&lt;Author&gt;Baron&lt;/Author&gt;&lt;Year&gt;1986&lt;/Year&gt;&lt;RecNum&gt;29&lt;/RecNum&gt;&lt;DisplayText&gt;(Baron &amp;amp; Kenny, 1986)&lt;/DisplayText&gt;&lt;record&gt;&lt;rec-number&gt;29&lt;/rec-number&gt;&lt;foreign-keys&gt;&lt;key app="EN" db-id="eewadav2nz2d94etav4vtr2ff5pftedzte0t" timestamp="1444135018"&gt;29&lt;/key&gt;&lt;/foreign-keys&gt;&lt;ref-type name="Journal Article"&gt;17&lt;/ref-type&gt;&lt;contributors&gt;&lt;authors&gt;&lt;author&gt;Baron, R. M.&lt;/author&gt;&lt;author&gt;Kenny, D. A.&lt;/author&gt;&lt;/authors&gt;&lt;/contributors&gt;&lt;titles&gt;&lt;title&gt;The moderator-mediator variable distinction in social psychological research: conceptual, strategic, and statistical considerations&lt;/title&gt;&lt;secondary-title&gt;Journal of Personality and Social Psychology&lt;/secondary-title&gt;&lt;short-title&gt;The moderator-mediator variable distinction in social psychological research&lt;/short-title&gt;&lt;/titles&gt;&lt;periodical&gt;&lt;full-title&gt;Journal of Personality and Social Psychology&lt;/full-title&gt;&lt;/periodical&gt;&lt;pages&gt;1173-1182&lt;/pages&gt;&lt;volume&gt;51&lt;/volume&gt;&lt;keywords&gt;&lt;keyword&gt;Attitude&lt;/keyword&gt;&lt;keyword&gt;Behavior&lt;/keyword&gt;&lt;keyword&gt;Humans&lt;/keyword&gt;&lt;keyword&gt;Models, Psychological&lt;/keyword&gt;&lt;keyword&gt;Personality&lt;/keyword&gt;&lt;keyword&gt;Psychology, Social&lt;/keyword&gt;&lt;keyword&gt;Research&lt;/keyword&gt;&lt;keyword&gt;Statistics as Topic&lt;/keyword&gt;&lt;/keywords&gt;&lt;dates&gt;&lt;year&gt;1986&lt;/year&gt;&lt;pub-dates&gt;&lt;date&gt;Dec 1986&lt;/date&gt;&lt;/pub-dates&gt;&lt;/dates&gt;&lt;isbn&gt;0022-3514&lt;/isbn&gt;&lt;urls&gt;&lt;/urls&gt;&lt;remote-database-name&gt;NCBI PubMed&lt;/remote-database-name&gt;&lt;language&gt;eng&lt;/language&gt;&lt;/record&gt;&lt;/Cite&gt;&lt;/EndNote&gt;</w:instrText>
      </w:r>
      <w:r w:rsidR="00CB71AC" w:rsidRPr="000E54F1">
        <w:rPr>
          <w:rFonts w:cs="Arial"/>
          <w:lang w:val="en-GB"/>
        </w:rPr>
        <w:fldChar w:fldCharType="separate"/>
      </w:r>
      <w:r>
        <w:rPr>
          <w:rFonts w:cs="Arial"/>
          <w:noProof/>
          <w:lang w:val="en-GB"/>
        </w:rPr>
        <w:t>(Baron &amp; Kenny, 1986)</w:t>
      </w:r>
      <w:r w:rsidR="00CB71AC" w:rsidRPr="000E54F1">
        <w:rPr>
          <w:rFonts w:cs="Arial"/>
          <w:lang w:val="en-GB"/>
        </w:rPr>
        <w:fldChar w:fldCharType="end"/>
      </w:r>
      <w:r w:rsidRPr="000E54F1">
        <w:rPr>
          <w:rFonts w:cs="Arial"/>
          <w:lang w:val="en-GB"/>
        </w:rPr>
        <w:t>. According to their definitions, moderators and predictors are variables such as patient characteristics that influence the effect of a treatment. The difference between moderators and predictors is that a moderator influences the effect of a specific treatment (e.g. the protective effect of aspirin is moderated by gender), while a predictor influences outcomes regardless of any treatment (e.g. old age predicts higher probability of infections). A predictor will show the same effect over all treatment arms within subgroups, while a moderator will show a different effect in each arm. Because of this difference, moderators should be tested using statistics such as interaction tests (e.g. a treatment by characteristic-interaction in a regression model), while predictors are not tested for interaction.</w:t>
      </w:r>
      <w:r w:rsidR="00C3718D">
        <w:rPr>
          <w:rFonts w:cs="Arial"/>
          <w:lang w:val="en-GB"/>
        </w:rPr>
        <w:t xml:space="preserve"> </w:t>
      </w:r>
      <w:r w:rsidRPr="000E54F1">
        <w:rPr>
          <w:rFonts w:cs="Arial"/>
          <w:lang w:val="en-GB"/>
        </w:rPr>
        <w:t xml:space="preserve">With the exception of the interaction term, the analysis of moderator and predictor analyses adhere largely to the same quality criteria. </w:t>
      </w:r>
      <w:r w:rsidR="00E5342D">
        <w:rPr>
          <w:rFonts w:cs="Arial"/>
          <w:lang w:val="en-GB"/>
        </w:rPr>
        <w:t>Quantitative m</w:t>
      </w:r>
      <w:r w:rsidR="00E5342D" w:rsidRPr="000E54F1">
        <w:rPr>
          <w:rFonts w:cs="Arial"/>
          <w:lang w:val="en-GB"/>
        </w:rPr>
        <w:t xml:space="preserve">oderators can only be retrieved from (preferably randomised) intervention studies or systematic reviews as the investigation of moderators should include the evaluation of </w:t>
      </w:r>
      <w:r w:rsidR="00E5342D">
        <w:rPr>
          <w:rFonts w:cs="Arial"/>
          <w:lang w:val="en-GB"/>
        </w:rPr>
        <w:t xml:space="preserve">subgroup differences between a </w:t>
      </w:r>
      <w:r w:rsidR="00E5342D" w:rsidRPr="000E54F1">
        <w:rPr>
          <w:rFonts w:cs="Arial"/>
          <w:lang w:val="en-GB"/>
        </w:rPr>
        <w:t xml:space="preserve">intervention </w:t>
      </w:r>
      <w:r w:rsidR="00E5342D">
        <w:rPr>
          <w:rFonts w:cs="Arial"/>
          <w:lang w:val="en-GB"/>
        </w:rPr>
        <w:t>and a</w:t>
      </w:r>
      <w:r w:rsidR="00E5342D" w:rsidRPr="000E54F1">
        <w:rPr>
          <w:rFonts w:cs="Arial"/>
          <w:lang w:val="en-GB"/>
        </w:rPr>
        <w:t xml:space="preserve"> control group). </w:t>
      </w:r>
      <w:r w:rsidRPr="000E54F1">
        <w:rPr>
          <w:rFonts w:cs="Arial"/>
          <w:lang w:val="en-GB"/>
        </w:rPr>
        <w:t>Predictors on the other hand may be retrieved from many different kinds of studies, including observational studies.</w:t>
      </w:r>
    </w:p>
    <w:p w:rsidR="003F1B5E" w:rsidRPr="00F13455" w:rsidRDefault="003F1B5E" w:rsidP="003F1B5E">
      <w:pPr>
        <w:pStyle w:val="Standardtext"/>
        <w:jc w:val="center"/>
        <w:outlineLvl w:val="0"/>
        <w:rPr>
          <w:b/>
          <w:sz w:val="24"/>
          <w:szCs w:val="24"/>
          <w:lang w:val="en-GB"/>
        </w:rPr>
      </w:pPr>
      <w:r w:rsidRPr="00F13455">
        <w:rPr>
          <w:b/>
          <w:lang w:val="en-GB"/>
        </w:rPr>
        <w:br w:type="page"/>
      </w:r>
      <w:bookmarkStart w:id="5" w:name="_Toc435544264"/>
      <w:r w:rsidRPr="00F13455">
        <w:rPr>
          <w:b/>
          <w:sz w:val="24"/>
          <w:szCs w:val="24"/>
          <w:lang w:val="en-GB"/>
        </w:rPr>
        <w:lastRenderedPageBreak/>
        <w:t>Appraisal of overall study quality</w:t>
      </w:r>
      <w:bookmarkEnd w:id="5"/>
    </w:p>
    <w:p w:rsidR="003F1B5E" w:rsidRPr="00F13455" w:rsidRDefault="003F1B5E" w:rsidP="003F1B5E">
      <w:pPr>
        <w:spacing w:after="240"/>
        <w:rPr>
          <w:lang w:val="en-GB"/>
        </w:rPr>
      </w:pPr>
      <w:r w:rsidRPr="00F13455">
        <w:rPr>
          <w:lang w:val="en-GB"/>
        </w:rPr>
        <w:t xml:space="preserve">A large number of critical appraisal tools is available to assess overall study quality. Widely used appraisal tools for the various study designs include: </w:t>
      </w:r>
    </w:p>
    <w:p w:rsidR="003F1B5E" w:rsidRPr="00F13455" w:rsidRDefault="003F1B5E" w:rsidP="000958BB">
      <w:pPr>
        <w:spacing w:line="264" w:lineRule="auto"/>
        <w:ind w:left="426" w:hanging="142"/>
        <w:jc w:val="left"/>
        <w:rPr>
          <w:lang w:val="en-GB"/>
        </w:rPr>
      </w:pPr>
      <w:r w:rsidRPr="00F13455">
        <w:rPr>
          <w:b/>
          <w:lang w:val="en-GB"/>
        </w:rPr>
        <w:t>-</w:t>
      </w:r>
      <w:r w:rsidRPr="00F13455">
        <w:rPr>
          <w:b/>
          <w:lang w:val="en-GB"/>
        </w:rPr>
        <w:tab/>
        <w:t>Systematic review</w:t>
      </w:r>
      <w:r w:rsidRPr="00F13455">
        <w:rPr>
          <w:lang w:val="en-GB"/>
        </w:rPr>
        <w:t xml:space="preserve"> </w:t>
      </w:r>
      <w:r w:rsidRPr="00F13455">
        <w:rPr>
          <w:b/>
          <w:lang w:val="en-GB"/>
        </w:rPr>
        <w:t>/</w:t>
      </w:r>
      <w:r w:rsidRPr="00F13455">
        <w:rPr>
          <w:lang w:val="en-GB"/>
        </w:rPr>
        <w:t xml:space="preserve"> </w:t>
      </w:r>
      <w:r w:rsidRPr="00F13455">
        <w:rPr>
          <w:b/>
          <w:lang w:val="en-GB"/>
        </w:rPr>
        <w:t xml:space="preserve">meta-analysis: </w:t>
      </w:r>
      <w:r w:rsidRPr="00F13455">
        <w:rPr>
          <w:lang w:val="en-GB"/>
        </w:rPr>
        <w:t xml:space="preserve">AMSTAR checklist (http://amstar.ca); </w:t>
      </w:r>
      <w:hyperlink r:id="rId8" w:history="1">
        <w:r w:rsidRPr="00F13455">
          <w:rPr>
            <w:lang w:val="en-GB"/>
          </w:rPr>
          <w:t>CASP Systematic Review Checklist</w:t>
        </w:r>
      </w:hyperlink>
      <w:bookmarkStart w:id="6" w:name="_Ref426447509"/>
      <w:r w:rsidRPr="00F13455">
        <w:rPr>
          <w:rStyle w:val="Voetnootmarkering"/>
          <w:lang w:val="en-GB"/>
        </w:rPr>
        <w:footnoteReference w:id="1"/>
      </w:r>
      <w:bookmarkEnd w:id="6"/>
      <w:r w:rsidRPr="00F13455">
        <w:rPr>
          <w:lang w:val="en-GB"/>
        </w:rPr>
        <w:t>; Cochrane’s Risk Of Bias</w:t>
      </w:r>
      <w:bookmarkStart w:id="7" w:name="_Ref426447831"/>
      <w:r w:rsidRPr="00F13455">
        <w:rPr>
          <w:rStyle w:val="Voetnootmarkering"/>
          <w:lang w:val="en-GB"/>
        </w:rPr>
        <w:footnoteReference w:id="2"/>
      </w:r>
      <w:bookmarkEnd w:id="7"/>
      <w:r w:rsidRPr="00F13455">
        <w:rPr>
          <w:lang w:val="en-GB"/>
        </w:rPr>
        <w:t xml:space="preserve"> tool (used on the individual studies included in the review).If the systematic review is based on individual patient data (IPD), the guidance by Tierney et al. may be useful (</w:t>
      </w:r>
      <w:r w:rsidR="00DB3684" w:rsidRPr="00DB3684">
        <w:rPr>
          <w:lang w:val="en-GB"/>
        </w:rPr>
        <w:t>doi:10.1371/journal.pmed.1001855</w:t>
      </w:r>
      <w:r w:rsidRPr="00F13455">
        <w:rPr>
          <w:lang w:val="en-GB"/>
        </w:rPr>
        <w:t>).</w:t>
      </w:r>
      <w:r w:rsidR="000958BB">
        <w:rPr>
          <w:lang w:val="en-GB"/>
        </w:rPr>
        <w:t xml:space="preserve"> Lastly, there is the CHARMS checklist for systematic reviews of prediction modelling studies by Moons et al. (</w:t>
      </w:r>
      <w:r w:rsidR="00DB3684">
        <w:rPr>
          <w:lang w:val="en-GB"/>
        </w:rPr>
        <w:t>doi:1</w:t>
      </w:r>
      <w:r w:rsidR="00DB3684" w:rsidRPr="00DB3684">
        <w:rPr>
          <w:lang w:val="en-GB"/>
        </w:rPr>
        <w:t>0.1371/journal.pmed.1001744</w:t>
      </w:r>
      <w:r w:rsidR="000958BB">
        <w:rPr>
          <w:lang w:val="en-GB"/>
        </w:rPr>
        <w:t>)</w:t>
      </w:r>
      <w:r w:rsidR="00DB3684">
        <w:rPr>
          <w:lang w:val="en-GB"/>
        </w:rPr>
        <w:t>.</w:t>
      </w:r>
    </w:p>
    <w:p w:rsidR="003F1B5E" w:rsidRPr="00F13455" w:rsidRDefault="003F1B5E" w:rsidP="000958BB">
      <w:pPr>
        <w:spacing w:line="264" w:lineRule="auto"/>
        <w:ind w:left="426" w:hanging="142"/>
        <w:jc w:val="left"/>
        <w:rPr>
          <w:lang w:val="en-GB"/>
        </w:rPr>
      </w:pPr>
      <w:r w:rsidRPr="00F13455">
        <w:rPr>
          <w:b/>
          <w:lang w:val="en-GB"/>
        </w:rPr>
        <w:t>-</w:t>
      </w:r>
      <w:r w:rsidRPr="00F13455">
        <w:rPr>
          <w:b/>
          <w:lang w:val="en-GB"/>
        </w:rPr>
        <w:tab/>
        <w:t xml:space="preserve">Randomised controlled trial: </w:t>
      </w:r>
      <w:hyperlink r:id="rId9" w:history="1">
        <w:r w:rsidRPr="00F13455">
          <w:rPr>
            <w:lang w:val="en-GB"/>
          </w:rPr>
          <w:t>Cochrane's Risk of Bia</w:t>
        </w:r>
      </w:hyperlink>
      <w:r w:rsidRPr="00F13455">
        <w:rPr>
          <w:lang w:val="en-GB"/>
        </w:rPr>
        <w:t>s tool</w:t>
      </w:r>
      <w:fldSimple w:instr=" NOTEREF _Ref426447831 \h  \* MERGEFORMAT ">
        <w:r w:rsidR="000958BB" w:rsidRPr="00A67803">
          <w:rPr>
            <w:vertAlign w:val="superscript"/>
            <w:lang w:val="en-GB"/>
          </w:rPr>
          <w:t>2</w:t>
        </w:r>
      </w:fldSimple>
      <w:r w:rsidRPr="00F13455">
        <w:rPr>
          <w:lang w:val="en-GB"/>
        </w:rPr>
        <w:t xml:space="preserve">; </w:t>
      </w:r>
      <w:hyperlink r:id="rId10" w:history="1">
        <w:r w:rsidRPr="00F13455">
          <w:rPr>
            <w:lang w:val="en-GB"/>
          </w:rPr>
          <w:t>CASP Randomised Controlled Trial</w:t>
        </w:r>
        <w:fldSimple w:instr=" NOTEREF _Ref426447509 \h  \* MERGEFORMAT ">
          <w:r w:rsidRPr="00A67803">
            <w:rPr>
              <w:vertAlign w:val="superscript"/>
              <w:lang w:val="en-GB"/>
            </w:rPr>
            <w:t>1</w:t>
          </w:r>
        </w:fldSimple>
        <w:r w:rsidRPr="00F13455">
          <w:rPr>
            <w:lang w:val="en-GB"/>
          </w:rPr>
          <w:t xml:space="preserve"> checklist</w:t>
        </w:r>
      </w:hyperlink>
      <w:r w:rsidRPr="00F13455">
        <w:rPr>
          <w:lang w:val="en-GB"/>
        </w:rPr>
        <w:t>.</w:t>
      </w:r>
    </w:p>
    <w:p w:rsidR="003F1B5E" w:rsidRPr="00F13455" w:rsidRDefault="003F1B5E" w:rsidP="000958BB">
      <w:pPr>
        <w:spacing w:line="264" w:lineRule="auto"/>
        <w:ind w:left="426" w:hanging="142"/>
        <w:jc w:val="left"/>
        <w:rPr>
          <w:lang w:val="en-GB"/>
        </w:rPr>
      </w:pPr>
      <w:r w:rsidRPr="00F13455">
        <w:rPr>
          <w:b/>
          <w:lang w:val="en-GB"/>
        </w:rPr>
        <w:t>-</w:t>
      </w:r>
      <w:r w:rsidRPr="00F13455">
        <w:rPr>
          <w:b/>
          <w:lang w:val="en-GB"/>
        </w:rPr>
        <w:tab/>
        <w:t xml:space="preserve">Cohort study: </w:t>
      </w:r>
      <w:hyperlink r:id="rId11" w:history="1">
        <w:r w:rsidRPr="00F13455">
          <w:rPr>
            <w:lang w:val="en-GB"/>
          </w:rPr>
          <w:t>CASP Cohort Study Checklist</w:t>
        </w:r>
      </w:hyperlink>
      <w:fldSimple w:instr=" NOTEREF _Ref426447509 \h  \* MERGEFORMAT ">
        <w:r w:rsidRPr="00A67803">
          <w:rPr>
            <w:vertAlign w:val="superscript"/>
            <w:lang w:val="en-GB"/>
          </w:rPr>
          <w:t>1</w:t>
        </w:r>
      </w:fldSimple>
      <w:r w:rsidRPr="00F13455">
        <w:rPr>
          <w:lang w:val="en-GB"/>
        </w:rPr>
        <w:t xml:space="preserve"> ; Newcastle-Ottawa scale (http://www.ohri.ca/programs/clinical_epidemiology/nosgen.pdf).</w:t>
      </w:r>
    </w:p>
    <w:p w:rsidR="003F1B5E" w:rsidRPr="00F13455" w:rsidRDefault="003F1B5E" w:rsidP="000958BB">
      <w:pPr>
        <w:spacing w:line="264" w:lineRule="auto"/>
        <w:ind w:left="426" w:hanging="142"/>
        <w:jc w:val="left"/>
        <w:rPr>
          <w:lang w:val="en-GB"/>
        </w:rPr>
      </w:pPr>
      <w:r w:rsidRPr="00F13455">
        <w:rPr>
          <w:b/>
          <w:lang w:val="en-GB"/>
        </w:rPr>
        <w:t>-</w:t>
      </w:r>
      <w:r w:rsidRPr="00F13455">
        <w:rPr>
          <w:b/>
          <w:lang w:val="en-GB"/>
        </w:rPr>
        <w:tab/>
        <w:t>Cross-sectional</w:t>
      </w:r>
      <w:r w:rsidRPr="00F13455">
        <w:rPr>
          <w:lang w:val="en-GB"/>
        </w:rPr>
        <w:t xml:space="preserve"> </w:t>
      </w:r>
      <w:r w:rsidRPr="00F13455">
        <w:rPr>
          <w:b/>
          <w:lang w:val="en-GB"/>
        </w:rPr>
        <w:t>/</w:t>
      </w:r>
      <w:r w:rsidRPr="00F13455">
        <w:rPr>
          <w:lang w:val="en-GB"/>
        </w:rPr>
        <w:t xml:space="preserve"> </w:t>
      </w:r>
      <w:r w:rsidRPr="00F13455">
        <w:rPr>
          <w:b/>
          <w:lang w:val="en-GB"/>
        </w:rPr>
        <w:t>descriptive</w:t>
      </w:r>
      <w:r w:rsidRPr="00F13455">
        <w:rPr>
          <w:lang w:val="en-GB"/>
        </w:rPr>
        <w:t xml:space="preserve"> </w:t>
      </w:r>
      <w:r w:rsidRPr="00F13455">
        <w:rPr>
          <w:b/>
          <w:lang w:val="en-GB"/>
        </w:rPr>
        <w:t>study</w:t>
      </w:r>
      <w:r w:rsidRPr="00F13455">
        <w:rPr>
          <w:lang w:val="en-GB"/>
        </w:rPr>
        <w:t>: Cross sectional appraisal tool (</w:t>
      </w:r>
      <w:hyperlink r:id="rId12" w:history="1">
        <w:r w:rsidRPr="00F13455">
          <w:rPr>
            <w:lang w:val="en-GB"/>
          </w:rPr>
          <w:t>https://reache.files.wordpress.com/2010/03/cross-sectional-appraisal-tool.pdf</w:t>
        </w:r>
      </w:hyperlink>
      <w:r w:rsidRPr="00F13455">
        <w:rPr>
          <w:lang w:val="en-GB"/>
        </w:rPr>
        <w:t>).</w:t>
      </w:r>
    </w:p>
    <w:p w:rsidR="003F1B5E" w:rsidRPr="00F13455" w:rsidRDefault="003F1B5E" w:rsidP="000958BB">
      <w:pPr>
        <w:spacing w:line="264" w:lineRule="auto"/>
        <w:ind w:left="426" w:hanging="142"/>
        <w:jc w:val="left"/>
        <w:rPr>
          <w:lang w:val="en-GB"/>
        </w:rPr>
      </w:pPr>
      <w:r w:rsidRPr="00F13455">
        <w:rPr>
          <w:lang w:val="en-GB"/>
        </w:rPr>
        <w:t>-</w:t>
      </w:r>
      <w:r w:rsidRPr="00F13455">
        <w:rPr>
          <w:lang w:val="en-GB"/>
        </w:rPr>
        <w:tab/>
      </w:r>
      <w:r w:rsidRPr="004F56D2">
        <w:rPr>
          <w:b/>
          <w:lang w:val="en-GB"/>
        </w:rPr>
        <w:t>C</w:t>
      </w:r>
      <w:r w:rsidRPr="00F13455">
        <w:rPr>
          <w:b/>
          <w:lang w:val="en-GB"/>
        </w:rPr>
        <w:t xml:space="preserve">ase-control study: </w:t>
      </w:r>
      <w:r w:rsidRPr="00F13455">
        <w:rPr>
          <w:lang w:val="en-GB"/>
        </w:rPr>
        <w:t>CASP checklist for case-control studies</w:t>
      </w:r>
      <w:fldSimple w:instr=" NOTEREF _Ref426447509 \h  \* MERGEFORMAT ">
        <w:r w:rsidRPr="00A67803">
          <w:rPr>
            <w:vertAlign w:val="superscript"/>
            <w:lang w:val="en-GB"/>
          </w:rPr>
          <w:t>1</w:t>
        </w:r>
      </w:fldSimple>
      <w:r w:rsidRPr="00F13455">
        <w:rPr>
          <w:lang w:val="en-GB"/>
        </w:rPr>
        <w:t>; Newcastle-Ottawa scale (</w:t>
      </w:r>
      <w:hyperlink r:id="rId13" w:history="1">
        <w:r w:rsidRPr="00F13455">
          <w:rPr>
            <w:lang w:val="en-GB"/>
          </w:rPr>
          <w:t>http://www.ohri.ca/programs/clinical_epidemiology/nosgen.pdf</w:t>
        </w:r>
      </w:hyperlink>
      <w:r w:rsidRPr="00F13455">
        <w:rPr>
          <w:lang w:val="en-GB"/>
        </w:rPr>
        <w:t>).</w:t>
      </w:r>
    </w:p>
    <w:p w:rsidR="003F1B5E" w:rsidRPr="00F13455" w:rsidRDefault="003F1B5E" w:rsidP="000958BB">
      <w:pPr>
        <w:spacing w:line="264" w:lineRule="auto"/>
        <w:ind w:left="426" w:hanging="142"/>
        <w:jc w:val="left"/>
        <w:rPr>
          <w:lang w:val="en-GB"/>
        </w:rPr>
      </w:pPr>
      <w:r w:rsidRPr="00F13455">
        <w:rPr>
          <w:lang w:val="en-GB"/>
        </w:rPr>
        <w:t xml:space="preserve">- </w:t>
      </w:r>
      <w:r w:rsidRPr="00F13455">
        <w:rPr>
          <w:b/>
          <w:lang w:val="en-GB"/>
        </w:rPr>
        <w:t>Prognostic study</w:t>
      </w:r>
      <w:r w:rsidRPr="00F13455">
        <w:rPr>
          <w:lang w:val="en-GB"/>
        </w:rPr>
        <w:t>: Quality In Prognosis Studies (QUIPS) (http://www.biomedcentral.com/content/supplementary/1546-0096-12-19-S1.pdf)</w:t>
      </w:r>
    </w:p>
    <w:p w:rsidR="003F1B5E" w:rsidRPr="00F13455" w:rsidRDefault="003F1B5E" w:rsidP="003F1B5E">
      <w:pPr>
        <w:rPr>
          <w:lang w:val="en-GB"/>
        </w:rPr>
      </w:pPr>
      <w:r w:rsidRPr="00F13455">
        <w:rPr>
          <w:lang w:val="en-GB"/>
        </w:rPr>
        <w:t xml:space="preserve">Further appraisal tools have been identified </w:t>
      </w:r>
      <w:r w:rsidR="0090659E">
        <w:rPr>
          <w:lang w:val="en-GB"/>
        </w:rPr>
        <w:t xml:space="preserve">by </w:t>
      </w:r>
      <w:proofErr w:type="spellStart"/>
      <w:r w:rsidR="0090659E">
        <w:rPr>
          <w:lang w:val="en-GB"/>
        </w:rPr>
        <w:t>Katrak</w:t>
      </w:r>
      <w:proofErr w:type="spellEnd"/>
      <w:r w:rsidR="0090659E">
        <w:rPr>
          <w:lang w:val="en-GB"/>
        </w:rPr>
        <w:t xml:space="preserve"> et al., 2004</w:t>
      </w:r>
      <w:r w:rsidRPr="00F13455">
        <w:rPr>
          <w:lang w:val="en-GB"/>
        </w:rPr>
        <w:t xml:space="preserve">. Please indicate the tool that was used to critically appraise the overall study quality, and the major findings below. </w:t>
      </w:r>
    </w:p>
    <w:p w:rsidR="003F1B5E" w:rsidRPr="00F13455" w:rsidRDefault="003F1B5E" w:rsidP="003F1B5E">
      <w:pPr>
        <w:spacing w:after="0"/>
        <w:outlineLvl w:val="0"/>
        <w:rPr>
          <w:b/>
          <w:lang w:val="en-GB"/>
        </w:rPr>
      </w:pPr>
      <w:bookmarkStart w:id="8" w:name="_Toc435544265"/>
      <w:r w:rsidRPr="00F13455">
        <w:rPr>
          <w:b/>
          <w:lang w:val="en-GB"/>
        </w:rPr>
        <w:t>Critical appraisal tool used for assessing overall study validity</w:t>
      </w:r>
      <w:r w:rsidRPr="00F13455">
        <w:rPr>
          <w:i/>
          <w:sz w:val="20"/>
          <w:szCs w:val="20"/>
          <w:lang w:val="en-GB"/>
        </w:rPr>
        <w:t xml:space="preserve"> (if any)</w:t>
      </w:r>
      <w:bookmarkEnd w:id="8"/>
      <w:r w:rsidRPr="00F13455">
        <w:rPr>
          <w:b/>
          <w:lang w:val="en-GB"/>
        </w:rPr>
        <w:t xml:space="preserve"> </w:t>
      </w:r>
    </w:p>
    <w:p w:rsidR="003F1B5E" w:rsidRPr="00F13455" w:rsidRDefault="003F1B5E" w:rsidP="003F1B5E">
      <w:pPr>
        <w:pBdr>
          <w:top w:val="single" w:sz="4" w:space="1" w:color="auto"/>
          <w:left w:val="single" w:sz="4" w:space="4" w:color="auto"/>
          <w:bottom w:val="single" w:sz="4" w:space="1" w:color="auto"/>
          <w:right w:val="single" w:sz="4" w:space="4" w:color="auto"/>
        </w:pBdr>
        <w:spacing w:after="0"/>
        <w:ind w:left="142"/>
        <w:rPr>
          <w:lang w:val="en-GB"/>
        </w:rPr>
      </w:pPr>
    </w:p>
    <w:p w:rsidR="003F1B5E" w:rsidRDefault="003F1B5E" w:rsidP="003F1B5E">
      <w:pPr>
        <w:spacing w:after="0"/>
        <w:rPr>
          <w:b/>
          <w:lang w:val="en-GB"/>
        </w:rPr>
      </w:pPr>
    </w:p>
    <w:p w:rsidR="003F1B5E" w:rsidRPr="00F13455" w:rsidRDefault="003F1B5E" w:rsidP="003F1B5E">
      <w:pPr>
        <w:spacing w:after="0"/>
        <w:rPr>
          <w:i/>
          <w:sz w:val="20"/>
          <w:szCs w:val="20"/>
          <w:lang w:val="en-GB"/>
        </w:rPr>
      </w:pPr>
      <w:r w:rsidRPr="00F13455">
        <w:rPr>
          <w:b/>
          <w:lang w:val="en-GB"/>
        </w:rPr>
        <w:t xml:space="preserve">Overall study validity </w:t>
      </w:r>
      <w:r w:rsidRPr="00F13455">
        <w:rPr>
          <w:i/>
          <w:sz w:val="20"/>
          <w:szCs w:val="20"/>
          <w:lang w:val="en-GB"/>
        </w:rPr>
        <w:t>– Outcome of the used appraisal tool or argumentation on the quality of the study</w:t>
      </w:r>
    </w:p>
    <w:p w:rsidR="003F1B5E" w:rsidRPr="00F13455" w:rsidRDefault="003F1B5E" w:rsidP="003F1B5E">
      <w:pPr>
        <w:pBdr>
          <w:top w:val="single" w:sz="4" w:space="1" w:color="auto"/>
          <w:left w:val="single" w:sz="4" w:space="4" w:color="auto"/>
          <w:bottom w:val="single" w:sz="4" w:space="24" w:color="auto"/>
          <w:right w:val="single" w:sz="4" w:space="4" w:color="auto"/>
        </w:pBdr>
        <w:spacing w:after="0"/>
        <w:ind w:left="142"/>
        <w:rPr>
          <w:lang w:val="en-GB"/>
        </w:rPr>
      </w:pPr>
    </w:p>
    <w:p w:rsidR="003F1B5E" w:rsidRPr="00F13455" w:rsidRDefault="003F1B5E" w:rsidP="003F1B5E">
      <w:pPr>
        <w:pBdr>
          <w:top w:val="single" w:sz="4" w:space="1" w:color="auto"/>
          <w:left w:val="single" w:sz="4" w:space="4" w:color="auto"/>
          <w:bottom w:val="single" w:sz="4" w:space="24" w:color="auto"/>
          <w:right w:val="single" w:sz="4" w:space="4" w:color="auto"/>
        </w:pBdr>
        <w:ind w:left="142"/>
        <w:rPr>
          <w:lang w:val="en-GB"/>
        </w:rPr>
      </w:pPr>
    </w:p>
    <w:p w:rsidR="003F1B5E" w:rsidRPr="00F13455" w:rsidRDefault="003F1B5E" w:rsidP="003F1B5E">
      <w:pPr>
        <w:spacing w:after="0"/>
        <w:rPr>
          <w:b/>
          <w:sz w:val="20"/>
          <w:szCs w:val="20"/>
          <w:lang w:val="en-GB" w:bidi="en-US"/>
        </w:rPr>
      </w:pPr>
      <w:r w:rsidRPr="00F13455">
        <w:rPr>
          <w:b/>
          <w:lang w:val="en-GB"/>
        </w:rPr>
        <w:t>Is the overall study quality of a level that findings related to moderators and predictors are likely to be of sufficient quality?</w:t>
      </w:r>
    </w:p>
    <w:p w:rsidR="003F1B5E" w:rsidRPr="00F13455" w:rsidRDefault="003F1B5E" w:rsidP="003F1B5E">
      <w:pPr>
        <w:spacing w:after="0"/>
        <w:rPr>
          <w:sz w:val="20"/>
          <w:szCs w:val="20"/>
          <w:lang w:val="en-GB"/>
        </w:rPr>
      </w:pPr>
      <w:r>
        <w:rPr>
          <w:noProof/>
          <w:sz w:val="20"/>
          <w:szCs w:val="20"/>
          <w:lang w:val="nl-NL" w:eastAsia="nl-NL"/>
        </w:rPr>
        <w:drawing>
          <wp:inline distT="0" distB="0" distL="0" distR="0">
            <wp:extent cx="3314700" cy="219075"/>
            <wp:effectExtent l="19050" t="0" r="0" b="0"/>
            <wp:docPr id="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3314700" cy="219075"/>
                    </a:xfrm>
                    <a:prstGeom prst="rect">
                      <a:avLst/>
                    </a:prstGeom>
                    <a:noFill/>
                    <a:ln w="9525">
                      <a:noFill/>
                      <a:miter lim="800000"/>
                      <a:headEnd/>
                      <a:tailEnd/>
                    </a:ln>
                  </pic:spPr>
                </pic:pic>
              </a:graphicData>
            </a:graphic>
          </wp:inline>
        </w:drawing>
      </w:r>
    </w:p>
    <w:p w:rsidR="003F1B5E" w:rsidRPr="00F13455" w:rsidRDefault="003F1B5E" w:rsidP="003F1B5E">
      <w:pPr>
        <w:spacing w:after="0"/>
        <w:rPr>
          <w:sz w:val="20"/>
          <w:szCs w:val="20"/>
          <w:lang w:val="en-GB"/>
        </w:rPr>
      </w:pPr>
      <w:r>
        <w:rPr>
          <w:noProof/>
          <w:sz w:val="20"/>
          <w:szCs w:val="20"/>
          <w:lang w:val="nl-NL" w:eastAsia="nl-NL"/>
        </w:rPr>
        <w:drawing>
          <wp:inline distT="0" distB="0" distL="0" distR="0">
            <wp:extent cx="3314700" cy="219075"/>
            <wp:effectExtent l="19050" t="0" r="0" b="0"/>
            <wp:docPr id="2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a:stretch>
                      <a:fillRect/>
                    </a:stretch>
                  </pic:blipFill>
                  <pic:spPr bwMode="auto">
                    <a:xfrm>
                      <a:off x="0" y="0"/>
                      <a:ext cx="3314700" cy="219075"/>
                    </a:xfrm>
                    <a:prstGeom prst="rect">
                      <a:avLst/>
                    </a:prstGeom>
                    <a:noFill/>
                    <a:ln w="9525">
                      <a:noFill/>
                      <a:miter lim="800000"/>
                      <a:headEnd/>
                      <a:tailEnd/>
                    </a:ln>
                  </pic:spPr>
                </pic:pic>
              </a:graphicData>
            </a:graphic>
          </wp:inline>
        </w:drawing>
      </w:r>
    </w:p>
    <w:p w:rsidR="003F1B5E" w:rsidRPr="00F13455" w:rsidRDefault="003F1B5E" w:rsidP="003F1B5E">
      <w:pPr>
        <w:spacing w:after="0"/>
        <w:rPr>
          <w:sz w:val="20"/>
          <w:szCs w:val="20"/>
          <w:lang w:val="en-GB"/>
        </w:rPr>
      </w:pPr>
      <w:r>
        <w:rPr>
          <w:noProof/>
          <w:sz w:val="20"/>
          <w:szCs w:val="20"/>
          <w:lang w:val="nl-NL" w:eastAsia="nl-NL"/>
        </w:rPr>
        <w:drawing>
          <wp:inline distT="0" distB="0" distL="0" distR="0">
            <wp:extent cx="4248150" cy="219075"/>
            <wp:effectExtent l="19050" t="0" r="0" b="0"/>
            <wp:docPr id="2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srcRect/>
                    <a:stretch>
                      <a:fillRect/>
                    </a:stretch>
                  </pic:blipFill>
                  <pic:spPr bwMode="auto">
                    <a:xfrm>
                      <a:off x="0" y="0"/>
                      <a:ext cx="4248150" cy="219075"/>
                    </a:xfrm>
                    <a:prstGeom prst="rect">
                      <a:avLst/>
                    </a:prstGeom>
                    <a:noFill/>
                    <a:ln w="9525">
                      <a:noFill/>
                      <a:miter lim="800000"/>
                      <a:headEnd/>
                      <a:tailEnd/>
                    </a:ln>
                  </pic:spPr>
                </pic:pic>
              </a:graphicData>
            </a:graphic>
          </wp:inline>
        </w:drawing>
      </w:r>
    </w:p>
    <w:p w:rsidR="003F1B5E" w:rsidRPr="00F13455" w:rsidRDefault="003F1B5E" w:rsidP="003F1B5E">
      <w:pPr>
        <w:pStyle w:val="Standardtext"/>
        <w:jc w:val="center"/>
        <w:outlineLvl w:val="0"/>
        <w:rPr>
          <w:b/>
          <w:sz w:val="24"/>
          <w:szCs w:val="24"/>
          <w:lang w:val="en-GB"/>
        </w:rPr>
      </w:pPr>
      <w:r w:rsidRPr="00F13455">
        <w:rPr>
          <w:b/>
          <w:lang w:val="en-GB"/>
        </w:rPr>
        <w:br w:type="page"/>
      </w:r>
      <w:bookmarkStart w:id="9" w:name="_Toc435544266"/>
      <w:r w:rsidRPr="00F13455">
        <w:rPr>
          <w:b/>
          <w:sz w:val="24"/>
          <w:szCs w:val="24"/>
          <w:lang w:val="en-GB"/>
        </w:rPr>
        <w:lastRenderedPageBreak/>
        <w:t>Appraisal of moderators and predictors for treatment effects</w:t>
      </w:r>
      <w:bookmarkEnd w:id="9"/>
    </w:p>
    <w:p w:rsidR="003F1B5E" w:rsidRPr="00F13455" w:rsidRDefault="003F1B5E" w:rsidP="003F1B5E">
      <w:pPr>
        <w:spacing w:after="0"/>
        <w:rPr>
          <w:lang w:val="en-GB"/>
        </w:rPr>
      </w:pPr>
      <w:r w:rsidRPr="00F13455">
        <w:rPr>
          <w:lang w:val="en-GB"/>
        </w:rPr>
        <w:t xml:space="preserve">Note: multiple candidate moderators or predictors of treatment outcome may have been explored within a single study. In such cases, credibility or relevance may differ across these factors, depending on how they were measured, strength of association, etc. It is up to the user to decide whether conclusions apply to all candidate factors that were examined or to subsets only. </w:t>
      </w:r>
    </w:p>
    <w:tbl>
      <w:tblPr>
        <w:tblW w:w="9356" w:type="dxa"/>
        <w:tblInd w:w="-34" w:type="dxa"/>
        <w:tblLayout w:type="fixed"/>
        <w:tblLook w:val="04A0"/>
      </w:tblPr>
      <w:tblGrid>
        <w:gridCol w:w="7797"/>
        <w:gridCol w:w="1559"/>
      </w:tblGrid>
      <w:tr w:rsidR="003F1B5E" w:rsidRPr="00A67803" w:rsidTr="003F2060">
        <w:trPr>
          <w:trHeight w:val="1680"/>
        </w:trPr>
        <w:tc>
          <w:tcPr>
            <w:tcW w:w="7797" w:type="dxa"/>
            <w:vAlign w:val="bottom"/>
          </w:tcPr>
          <w:p w:rsidR="003F1B5E" w:rsidRPr="00F13455" w:rsidRDefault="003F1B5E" w:rsidP="003F2060">
            <w:pPr>
              <w:spacing w:after="0" w:line="240" w:lineRule="auto"/>
              <w:rPr>
                <w:rFonts w:eastAsia="Times New Roman" w:cs="Arial"/>
                <w:b/>
                <w:bCs/>
                <w:lang w:val="en-GB"/>
              </w:rPr>
            </w:pPr>
          </w:p>
          <w:p w:rsidR="003F1B5E" w:rsidRPr="00F13455" w:rsidRDefault="003F1B5E" w:rsidP="003F2060">
            <w:pPr>
              <w:spacing w:after="0" w:line="240" w:lineRule="auto"/>
              <w:ind w:left="360"/>
              <w:rPr>
                <w:rFonts w:eastAsia="Times New Roman" w:cs="Arial"/>
                <w:b/>
                <w:bCs/>
                <w:i/>
                <w:szCs w:val="20"/>
                <w:lang w:val="en-GB"/>
              </w:rPr>
            </w:pPr>
          </w:p>
          <w:p w:rsidR="003F1B5E" w:rsidRPr="00F13455" w:rsidRDefault="003F1B5E" w:rsidP="003F2060">
            <w:pPr>
              <w:spacing w:after="0" w:line="240" w:lineRule="auto"/>
              <w:rPr>
                <w:b/>
                <w:sz w:val="24"/>
                <w:szCs w:val="24"/>
                <w:lang w:val="en-GB"/>
              </w:rPr>
            </w:pPr>
            <w:r w:rsidRPr="00F13455">
              <w:rPr>
                <w:b/>
                <w:szCs w:val="20"/>
                <w:lang w:val="en-GB"/>
              </w:rPr>
              <w:t>Design</w:t>
            </w:r>
          </w:p>
        </w:tc>
        <w:tc>
          <w:tcPr>
            <w:tcW w:w="1559" w:type="dxa"/>
            <w:textDirection w:val="btLr"/>
          </w:tcPr>
          <w:p w:rsidR="003F1B5E" w:rsidRPr="00F13455" w:rsidRDefault="003F1B5E" w:rsidP="003F2060">
            <w:pPr>
              <w:spacing w:after="0" w:line="288" w:lineRule="auto"/>
              <w:ind w:left="113" w:right="113"/>
              <w:rPr>
                <w:szCs w:val="20"/>
                <w:lang w:val="en-GB"/>
              </w:rPr>
            </w:pPr>
            <w:r w:rsidRPr="00F13455">
              <w:rPr>
                <w:szCs w:val="20"/>
                <w:lang w:val="en-GB"/>
              </w:rPr>
              <w:t>Yes</w:t>
            </w:r>
          </w:p>
          <w:p w:rsidR="003F1B5E" w:rsidRPr="00F13455" w:rsidRDefault="003F1B5E" w:rsidP="003F2060">
            <w:pPr>
              <w:spacing w:after="0" w:line="288" w:lineRule="auto"/>
              <w:ind w:left="113" w:right="113"/>
              <w:rPr>
                <w:szCs w:val="20"/>
                <w:lang w:val="en-GB"/>
              </w:rPr>
            </w:pPr>
            <w:r w:rsidRPr="00F13455">
              <w:rPr>
                <w:szCs w:val="20"/>
                <w:lang w:val="en-GB"/>
              </w:rPr>
              <w:t>No</w:t>
            </w:r>
          </w:p>
          <w:p w:rsidR="003F1B5E" w:rsidRPr="00F13455" w:rsidRDefault="003F1B5E" w:rsidP="003F2060">
            <w:pPr>
              <w:spacing w:after="0" w:line="288" w:lineRule="auto"/>
              <w:ind w:left="113" w:right="113"/>
              <w:rPr>
                <w:szCs w:val="20"/>
                <w:lang w:val="en-GB"/>
              </w:rPr>
            </w:pPr>
            <w:r w:rsidRPr="00F13455">
              <w:rPr>
                <w:szCs w:val="20"/>
                <w:lang w:val="en-GB"/>
              </w:rPr>
              <w:t>Don't know</w:t>
            </w:r>
          </w:p>
          <w:p w:rsidR="003F1B5E" w:rsidRPr="00F13455" w:rsidRDefault="003F1B5E" w:rsidP="003F2060">
            <w:pPr>
              <w:spacing w:after="0" w:line="288" w:lineRule="auto"/>
              <w:ind w:left="113" w:right="113"/>
              <w:rPr>
                <w:szCs w:val="20"/>
                <w:lang w:val="en-GB"/>
              </w:rPr>
            </w:pPr>
            <w:r w:rsidRPr="00F13455">
              <w:rPr>
                <w:szCs w:val="20"/>
                <w:lang w:val="en-GB"/>
              </w:rPr>
              <w:t>Not applicable</w:t>
            </w:r>
          </w:p>
        </w:tc>
      </w:tr>
      <w:tr w:rsidR="003F1B5E" w:rsidRPr="00F13455" w:rsidTr="003F2060">
        <w:tc>
          <w:tcPr>
            <w:tcW w:w="7797" w:type="dxa"/>
          </w:tcPr>
          <w:p w:rsidR="003F1B5E" w:rsidRPr="00F13455" w:rsidRDefault="003F1B5E" w:rsidP="003F2060">
            <w:pPr>
              <w:pStyle w:val="Standardtext"/>
              <w:spacing w:before="0" w:after="0"/>
              <w:rPr>
                <w:lang w:val="en-GB"/>
              </w:rPr>
            </w:pPr>
            <w:r w:rsidRPr="00F13455">
              <w:rPr>
                <w:lang w:val="en-GB"/>
              </w:rPr>
              <w:t>1. A priori plausibility: was there sufficient empirical or theoretical support for the moderator or predictor that was examined?</w:t>
            </w:r>
          </w:p>
        </w:tc>
        <w:tc>
          <w:tcPr>
            <w:tcW w:w="1559" w:type="dxa"/>
          </w:tcPr>
          <w:p w:rsidR="003F1B5E" w:rsidRPr="00F13455" w:rsidRDefault="003F1B5E" w:rsidP="003F2060">
            <w:pPr>
              <w:spacing w:after="0" w:line="240" w:lineRule="auto"/>
              <w:rPr>
                <w:i/>
                <w:szCs w:val="20"/>
                <w:lang w:val="en-GB"/>
              </w:rPr>
            </w:pPr>
            <w:r>
              <w:rPr>
                <w:i/>
                <w:noProof/>
                <w:szCs w:val="20"/>
                <w:lang w:val="nl-NL" w:eastAsia="nl-NL"/>
              </w:rPr>
              <w:drawing>
                <wp:inline distT="0" distB="0" distL="0" distR="0">
                  <wp:extent cx="180975" cy="238125"/>
                  <wp:effectExtent l="19050" t="0" r="9525" b="0"/>
                  <wp:docPr id="28"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7" cstate="print"/>
                          <a:srcRect/>
                          <a:stretch>
                            <a:fillRect/>
                          </a:stretch>
                        </pic:blipFill>
                        <pic:spPr bwMode="auto">
                          <a:xfrm>
                            <a:off x="0" y="0"/>
                            <a:ext cx="180975" cy="238125"/>
                          </a:xfrm>
                          <a:prstGeom prst="rect">
                            <a:avLst/>
                          </a:prstGeom>
                          <a:noFill/>
                          <a:ln w="9525">
                            <a:noFill/>
                            <a:miter lim="800000"/>
                            <a:headEnd/>
                            <a:tailEnd/>
                          </a:ln>
                        </pic:spPr>
                      </pic:pic>
                    </a:graphicData>
                  </a:graphic>
                </wp:inline>
              </w:drawing>
            </w:r>
            <w:r>
              <w:rPr>
                <w:i/>
                <w:noProof/>
                <w:szCs w:val="20"/>
                <w:lang w:val="nl-NL" w:eastAsia="nl-NL"/>
              </w:rPr>
              <w:drawing>
                <wp:inline distT="0" distB="0" distL="0" distR="0">
                  <wp:extent cx="180975" cy="238125"/>
                  <wp:effectExtent l="19050" t="0" r="9525" b="0"/>
                  <wp:docPr id="29"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pic:cNvPicPr>
                            <a:picLocks noChangeAspect="1" noChangeArrowheads="1"/>
                          </pic:cNvPicPr>
                        </pic:nvPicPr>
                        <pic:blipFill>
                          <a:blip r:embed="rId17" cstate="print"/>
                          <a:srcRect/>
                          <a:stretch>
                            <a:fillRect/>
                          </a:stretch>
                        </pic:blipFill>
                        <pic:spPr bwMode="auto">
                          <a:xfrm>
                            <a:off x="0" y="0"/>
                            <a:ext cx="180975" cy="238125"/>
                          </a:xfrm>
                          <a:prstGeom prst="rect">
                            <a:avLst/>
                          </a:prstGeom>
                          <a:noFill/>
                          <a:ln w="9525">
                            <a:noFill/>
                            <a:miter lim="800000"/>
                            <a:headEnd/>
                            <a:tailEnd/>
                          </a:ln>
                        </pic:spPr>
                      </pic:pic>
                    </a:graphicData>
                  </a:graphic>
                </wp:inline>
              </w:drawing>
            </w:r>
            <w:r>
              <w:rPr>
                <w:i/>
                <w:noProof/>
                <w:szCs w:val="20"/>
                <w:lang w:val="nl-NL" w:eastAsia="nl-NL"/>
              </w:rPr>
              <w:drawing>
                <wp:inline distT="0" distB="0" distL="0" distR="0">
                  <wp:extent cx="180975" cy="238125"/>
                  <wp:effectExtent l="19050" t="0" r="9525" b="0"/>
                  <wp:docPr id="30"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pic:cNvPicPr>
                            <a:picLocks noChangeAspect="1" noChangeArrowheads="1"/>
                          </pic:cNvPicPr>
                        </pic:nvPicPr>
                        <pic:blipFill>
                          <a:blip r:embed="rId17" cstate="print"/>
                          <a:srcRect/>
                          <a:stretch>
                            <a:fillRect/>
                          </a:stretch>
                        </pic:blipFill>
                        <pic:spPr bwMode="auto">
                          <a:xfrm>
                            <a:off x="0" y="0"/>
                            <a:ext cx="180975" cy="238125"/>
                          </a:xfrm>
                          <a:prstGeom prst="rect">
                            <a:avLst/>
                          </a:prstGeom>
                          <a:noFill/>
                          <a:ln w="9525">
                            <a:noFill/>
                            <a:miter lim="800000"/>
                            <a:headEnd/>
                            <a:tailEnd/>
                          </a:ln>
                        </pic:spPr>
                      </pic:pic>
                    </a:graphicData>
                  </a:graphic>
                </wp:inline>
              </w:drawing>
            </w:r>
            <w:r>
              <w:rPr>
                <w:i/>
                <w:noProof/>
                <w:szCs w:val="20"/>
                <w:lang w:val="nl-NL" w:eastAsia="nl-NL"/>
              </w:rPr>
              <w:drawing>
                <wp:inline distT="0" distB="0" distL="0" distR="0">
                  <wp:extent cx="180975" cy="238125"/>
                  <wp:effectExtent l="19050" t="0" r="9525" b="0"/>
                  <wp:docPr id="31"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
                          <pic:cNvPicPr>
                            <a:picLocks noChangeAspect="1" noChangeArrowheads="1"/>
                          </pic:cNvPicPr>
                        </pic:nvPicPr>
                        <pic:blipFill>
                          <a:blip r:embed="rId17" cstate="print"/>
                          <a:srcRect/>
                          <a:stretch>
                            <a:fillRect/>
                          </a:stretch>
                        </pic:blipFill>
                        <pic:spPr bwMode="auto">
                          <a:xfrm>
                            <a:off x="0" y="0"/>
                            <a:ext cx="180975" cy="238125"/>
                          </a:xfrm>
                          <a:prstGeom prst="rect">
                            <a:avLst/>
                          </a:prstGeom>
                          <a:noFill/>
                          <a:ln w="9525">
                            <a:noFill/>
                            <a:miter lim="800000"/>
                            <a:headEnd/>
                            <a:tailEnd/>
                          </a:ln>
                        </pic:spPr>
                      </pic:pic>
                    </a:graphicData>
                  </a:graphic>
                </wp:inline>
              </w:drawing>
            </w:r>
          </w:p>
        </w:tc>
      </w:tr>
      <w:tr w:rsidR="003F1B5E" w:rsidRPr="00F13455" w:rsidTr="003F2060">
        <w:tc>
          <w:tcPr>
            <w:tcW w:w="7797" w:type="dxa"/>
          </w:tcPr>
          <w:p w:rsidR="003F1B5E" w:rsidRPr="00F13455" w:rsidRDefault="003F1B5E" w:rsidP="003F2060">
            <w:pPr>
              <w:pStyle w:val="Standardtext"/>
              <w:spacing w:before="0" w:after="0"/>
              <w:rPr>
                <w:lang w:val="en-GB"/>
              </w:rPr>
            </w:pPr>
            <w:r w:rsidRPr="00F13455">
              <w:rPr>
                <w:lang w:val="en-GB"/>
              </w:rPr>
              <w:t>2. Was the moderator or predictor specified a priori?</w:t>
            </w:r>
          </w:p>
        </w:tc>
        <w:tc>
          <w:tcPr>
            <w:tcW w:w="1559" w:type="dxa"/>
          </w:tcPr>
          <w:p w:rsidR="003F1B5E" w:rsidRPr="00F13455" w:rsidRDefault="003F1B5E" w:rsidP="003F2060">
            <w:pPr>
              <w:spacing w:after="0" w:line="240" w:lineRule="auto"/>
              <w:rPr>
                <w:i/>
                <w:szCs w:val="20"/>
                <w:lang w:val="en-GB"/>
              </w:rPr>
            </w:pPr>
            <w:r>
              <w:rPr>
                <w:i/>
                <w:noProof/>
                <w:szCs w:val="20"/>
                <w:lang w:val="nl-NL" w:eastAsia="nl-NL"/>
              </w:rPr>
              <w:drawing>
                <wp:inline distT="0" distB="0" distL="0" distR="0">
                  <wp:extent cx="180975" cy="238125"/>
                  <wp:effectExtent l="19050" t="0" r="9525" b="0"/>
                  <wp:docPr id="32"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7" cstate="print"/>
                          <a:srcRect/>
                          <a:stretch>
                            <a:fillRect/>
                          </a:stretch>
                        </pic:blipFill>
                        <pic:spPr bwMode="auto">
                          <a:xfrm>
                            <a:off x="0" y="0"/>
                            <a:ext cx="180975" cy="238125"/>
                          </a:xfrm>
                          <a:prstGeom prst="rect">
                            <a:avLst/>
                          </a:prstGeom>
                          <a:noFill/>
                          <a:ln w="9525">
                            <a:noFill/>
                            <a:miter lim="800000"/>
                            <a:headEnd/>
                            <a:tailEnd/>
                          </a:ln>
                        </pic:spPr>
                      </pic:pic>
                    </a:graphicData>
                  </a:graphic>
                </wp:inline>
              </w:drawing>
            </w:r>
            <w:r>
              <w:rPr>
                <w:i/>
                <w:noProof/>
                <w:szCs w:val="20"/>
                <w:lang w:val="nl-NL" w:eastAsia="nl-NL"/>
              </w:rPr>
              <w:drawing>
                <wp:inline distT="0" distB="0" distL="0" distR="0">
                  <wp:extent cx="180975" cy="238125"/>
                  <wp:effectExtent l="19050" t="0" r="9525" b="0"/>
                  <wp:docPr id="33"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pic:cNvPicPr>
                            <a:picLocks noChangeAspect="1" noChangeArrowheads="1"/>
                          </pic:cNvPicPr>
                        </pic:nvPicPr>
                        <pic:blipFill>
                          <a:blip r:embed="rId17" cstate="print"/>
                          <a:srcRect/>
                          <a:stretch>
                            <a:fillRect/>
                          </a:stretch>
                        </pic:blipFill>
                        <pic:spPr bwMode="auto">
                          <a:xfrm>
                            <a:off x="0" y="0"/>
                            <a:ext cx="180975" cy="238125"/>
                          </a:xfrm>
                          <a:prstGeom prst="rect">
                            <a:avLst/>
                          </a:prstGeom>
                          <a:noFill/>
                          <a:ln w="9525">
                            <a:noFill/>
                            <a:miter lim="800000"/>
                            <a:headEnd/>
                            <a:tailEnd/>
                          </a:ln>
                        </pic:spPr>
                      </pic:pic>
                    </a:graphicData>
                  </a:graphic>
                </wp:inline>
              </w:drawing>
            </w:r>
            <w:r>
              <w:rPr>
                <w:i/>
                <w:noProof/>
                <w:szCs w:val="20"/>
                <w:lang w:val="nl-NL" w:eastAsia="nl-NL"/>
              </w:rPr>
              <w:drawing>
                <wp:inline distT="0" distB="0" distL="0" distR="0">
                  <wp:extent cx="180975" cy="238125"/>
                  <wp:effectExtent l="19050" t="0" r="9525" b="0"/>
                  <wp:docPr id="34"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pic:cNvPicPr>
                            <a:picLocks noChangeAspect="1" noChangeArrowheads="1"/>
                          </pic:cNvPicPr>
                        </pic:nvPicPr>
                        <pic:blipFill>
                          <a:blip r:embed="rId17" cstate="print"/>
                          <a:srcRect/>
                          <a:stretch>
                            <a:fillRect/>
                          </a:stretch>
                        </pic:blipFill>
                        <pic:spPr bwMode="auto">
                          <a:xfrm>
                            <a:off x="0" y="0"/>
                            <a:ext cx="180975" cy="238125"/>
                          </a:xfrm>
                          <a:prstGeom prst="rect">
                            <a:avLst/>
                          </a:prstGeom>
                          <a:noFill/>
                          <a:ln w="9525">
                            <a:noFill/>
                            <a:miter lim="800000"/>
                            <a:headEnd/>
                            <a:tailEnd/>
                          </a:ln>
                        </pic:spPr>
                      </pic:pic>
                    </a:graphicData>
                  </a:graphic>
                </wp:inline>
              </w:drawing>
            </w:r>
            <w:r>
              <w:rPr>
                <w:i/>
                <w:noProof/>
                <w:szCs w:val="20"/>
                <w:lang w:val="nl-NL" w:eastAsia="nl-NL"/>
              </w:rPr>
              <w:drawing>
                <wp:inline distT="0" distB="0" distL="0" distR="0">
                  <wp:extent cx="180975" cy="238125"/>
                  <wp:effectExtent l="19050" t="0" r="9525" b="0"/>
                  <wp:docPr id="35"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
                          <pic:cNvPicPr>
                            <a:picLocks noChangeAspect="1" noChangeArrowheads="1"/>
                          </pic:cNvPicPr>
                        </pic:nvPicPr>
                        <pic:blipFill>
                          <a:blip r:embed="rId17" cstate="print"/>
                          <a:srcRect/>
                          <a:stretch>
                            <a:fillRect/>
                          </a:stretch>
                        </pic:blipFill>
                        <pic:spPr bwMode="auto">
                          <a:xfrm>
                            <a:off x="0" y="0"/>
                            <a:ext cx="180975" cy="238125"/>
                          </a:xfrm>
                          <a:prstGeom prst="rect">
                            <a:avLst/>
                          </a:prstGeom>
                          <a:noFill/>
                          <a:ln w="9525">
                            <a:noFill/>
                            <a:miter lim="800000"/>
                            <a:headEnd/>
                            <a:tailEnd/>
                          </a:ln>
                        </pic:spPr>
                      </pic:pic>
                    </a:graphicData>
                  </a:graphic>
                </wp:inline>
              </w:drawing>
            </w:r>
          </w:p>
        </w:tc>
      </w:tr>
      <w:tr w:rsidR="003F1B5E" w:rsidRPr="00F13455" w:rsidTr="003F2060">
        <w:tc>
          <w:tcPr>
            <w:tcW w:w="7797" w:type="dxa"/>
          </w:tcPr>
          <w:p w:rsidR="003F1B5E" w:rsidRPr="00F13455" w:rsidRDefault="003F1B5E" w:rsidP="003F2060">
            <w:pPr>
              <w:pStyle w:val="Standardtext"/>
              <w:spacing w:before="0" w:after="0"/>
              <w:rPr>
                <w:lang w:val="en-GB"/>
              </w:rPr>
            </w:pPr>
            <w:r w:rsidRPr="00F13455">
              <w:rPr>
                <w:lang w:val="en-GB"/>
              </w:rPr>
              <w:t>3. Was the moderator or predictor variable measured before the allocation or start of the intervention?</w:t>
            </w:r>
          </w:p>
        </w:tc>
        <w:tc>
          <w:tcPr>
            <w:tcW w:w="1559" w:type="dxa"/>
          </w:tcPr>
          <w:p w:rsidR="003F1B5E" w:rsidRPr="00F13455" w:rsidRDefault="003F1B5E" w:rsidP="003F2060">
            <w:pPr>
              <w:spacing w:after="0" w:line="240" w:lineRule="auto"/>
              <w:rPr>
                <w:i/>
                <w:szCs w:val="20"/>
                <w:lang w:val="en-GB"/>
              </w:rPr>
            </w:pPr>
            <w:r>
              <w:rPr>
                <w:i/>
                <w:noProof/>
                <w:szCs w:val="20"/>
                <w:lang w:val="nl-NL" w:eastAsia="nl-NL"/>
              </w:rPr>
              <w:drawing>
                <wp:inline distT="0" distB="0" distL="0" distR="0">
                  <wp:extent cx="180975" cy="238125"/>
                  <wp:effectExtent l="19050" t="0" r="9525" b="0"/>
                  <wp:docPr id="36"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1"/>
                          <pic:cNvPicPr>
                            <a:picLocks noChangeAspect="1" noChangeArrowheads="1"/>
                          </pic:cNvPicPr>
                        </pic:nvPicPr>
                        <pic:blipFill>
                          <a:blip r:embed="rId17" cstate="print"/>
                          <a:srcRect/>
                          <a:stretch>
                            <a:fillRect/>
                          </a:stretch>
                        </pic:blipFill>
                        <pic:spPr bwMode="auto">
                          <a:xfrm>
                            <a:off x="0" y="0"/>
                            <a:ext cx="180975" cy="238125"/>
                          </a:xfrm>
                          <a:prstGeom prst="rect">
                            <a:avLst/>
                          </a:prstGeom>
                          <a:noFill/>
                          <a:ln w="9525">
                            <a:noFill/>
                            <a:miter lim="800000"/>
                            <a:headEnd/>
                            <a:tailEnd/>
                          </a:ln>
                        </pic:spPr>
                      </pic:pic>
                    </a:graphicData>
                  </a:graphic>
                </wp:inline>
              </w:drawing>
            </w:r>
            <w:r>
              <w:rPr>
                <w:i/>
                <w:noProof/>
                <w:szCs w:val="20"/>
                <w:lang w:val="nl-NL" w:eastAsia="nl-NL"/>
              </w:rPr>
              <w:drawing>
                <wp:inline distT="0" distB="0" distL="0" distR="0">
                  <wp:extent cx="180975" cy="238125"/>
                  <wp:effectExtent l="19050" t="0" r="9525" b="0"/>
                  <wp:docPr id="37"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2"/>
                          <pic:cNvPicPr>
                            <a:picLocks noChangeAspect="1" noChangeArrowheads="1"/>
                          </pic:cNvPicPr>
                        </pic:nvPicPr>
                        <pic:blipFill>
                          <a:blip r:embed="rId17" cstate="print"/>
                          <a:srcRect/>
                          <a:stretch>
                            <a:fillRect/>
                          </a:stretch>
                        </pic:blipFill>
                        <pic:spPr bwMode="auto">
                          <a:xfrm>
                            <a:off x="0" y="0"/>
                            <a:ext cx="180975" cy="238125"/>
                          </a:xfrm>
                          <a:prstGeom prst="rect">
                            <a:avLst/>
                          </a:prstGeom>
                          <a:noFill/>
                          <a:ln w="9525">
                            <a:noFill/>
                            <a:miter lim="800000"/>
                            <a:headEnd/>
                            <a:tailEnd/>
                          </a:ln>
                        </pic:spPr>
                      </pic:pic>
                    </a:graphicData>
                  </a:graphic>
                </wp:inline>
              </w:drawing>
            </w:r>
            <w:r>
              <w:rPr>
                <w:i/>
                <w:noProof/>
                <w:szCs w:val="20"/>
                <w:lang w:val="nl-NL" w:eastAsia="nl-NL"/>
              </w:rPr>
              <w:drawing>
                <wp:inline distT="0" distB="0" distL="0" distR="0">
                  <wp:extent cx="180975" cy="238125"/>
                  <wp:effectExtent l="19050" t="0" r="9525" b="0"/>
                  <wp:docPr id="38"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3"/>
                          <pic:cNvPicPr>
                            <a:picLocks noChangeAspect="1" noChangeArrowheads="1"/>
                          </pic:cNvPicPr>
                        </pic:nvPicPr>
                        <pic:blipFill>
                          <a:blip r:embed="rId17" cstate="print"/>
                          <a:srcRect/>
                          <a:stretch>
                            <a:fillRect/>
                          </a:stretch>
                        </pic:blipFill>
                        <pic:spPr bwMode="auto">
                          <a:xfrm>
                            <a:off x="0" y="0"/>
                            <a:ext cx="180975" cy="238125"/>
                          </a:xfrm>
                          <a:prstGeom prst="rect">
                            <a:avLst/>
                          </a:prstGeom>
                          <a:noFill/>
                          <a:ln w="9525">
                            <a:noFill/>
                            <a:miter lim="800000"/>
                            <a:headEnd/>
                            <a:tailEnd/>
                          </a:ln>
                        </pic:spPr>
                      </pic:pic>
                    </a:graphicData>
                  </a:graphic>
                </wp:inline>
              </w:drawing>
            </w:r>
            <w:r>
              <w:rPr>
                <w:i/>
                <w:noProof/>
                <w:szCs w:val="20"/>
                <w:lang w:val="nl-NL" w:eastAsia="nl-NL"/>
              </w:rPr>
              <w:drawing>
                <wp:inline distT="0" distB="0" distL="0" distR="0">
                  <wp:extent cx="180975" cy="238125"/>
                  <wp:effectExtent l="19050" t="0" r="9525" b="0"/>
                  <wp:docPr id="39"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4"/>
                          <pic:cNvPicPr>
                            <a:picLocks noChangeAspect="1" noChangeArrowheads="1"/>
                          </pic:cNvPicPr>
                        </pic:nvPicPr>
                        <pic:blipFill>
                          <a:blip r:embed="rId17" cstate="print"/>
                          <a:srcRect/>
                          <a:stretch>
                            <a:fillRect/>
                          </a:stretch>
                        </pic:blipFill>
                        <pic:spPr bwMode="auto">
                          <a:xfrm>
                            <a:off x="0" y="0"/>
                            <a:ext cx="180975" cy="238125"/>
                          </a:xfrm>
                          <a:prstGeom prst="rect">
                            <a:avLst/>
                          </a:prstGeom>
                          <a:noFill/>
                          <a:ln w="9525">
                            <a:noFill/>
                            <a:miter lim="800000"/>
                            <a:headEnd/>
                            <a:tailEnd/>
                          </a:ln>
                        </pic:spPr>
                      </pic:pic>
                    </a:graphicData>
                  </a:graphic>
                </wp:inline>
              </w:drawing>
            </w:r>
          </w:p>
        </w:tc>
      </w:tr>
      <w:tr w:rsidR="003F1B5E" w:rsidRPr="00F13455" w:rsidTr="003F2060">
        <w:tc>
          <w:tcPr>
            <w:tcW w:w="7797" w:type="dxa"/>
          </w:tcPr>
          <w:p w:rsidR="003F1B5E" w:rsidRPr="00F13455" w:rsidRDefault="003F1B5E" w:rsidP="003F2060">
            <w:pPr>
              <w:pStyle w:val="Standardtext"/>
              <w:spacing w:before="0" w:after="0"/>
              <w:rPr>
                <w:lang w:val="en-GB"/>
              </w:rPr>
            </w:pPr>
            <w:r w:rsidRPr="00F13455">
              <w:rPr>
                <w:lang w:val="en-GB"/>
              </w:rPr>
              <w:t>4. Was measurement of the moderator or predictor reliable and valid in the target population?</w:t>
            </w:r>
          </w:p>
        </w:tc>
        <w:tc>
          <w:tcPr>
            <w:tcW w:w="1559" w:type="dxa"/>
          </w:tcPr>
          <w:p w:rsidR="003F1B5E" w:rsidRPr="00F13455" w:rsidRDefault="003F1B5E" w:rsidP="003F2060">
            <w:pPr>
              <w:spacing w:after="0" w:line="240" w:lineRule="auto"/>
              <w:rPr>
                <w:i/>
                <w:szCs w:val="20"/>
                <w:lang w:val="en-GB"/>
              </w:rPr>
            </w:pPr>
            <w:r>
              <w:rPr>
                <w:i/>
                <w:noProof/>
                <w:szCs w:val="20"/>
                <w:lang w:val="nl-NL" w:eastAsia="nl-NL"/>
              </w:rPr>
              <w:drawing>
                <wp:inline distT="0" distB="0" distL="0" distR="0">
                  <wp:extent cx="180975" cy="238125"/>
                  <wp:effectExtent l="19050" t="0" r="9525" b="0"/>
                  <wp:docPr id="40"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6"/>
                          <pic:cNvPicPr>
                            <a:picLocks noChangeAspect="1" noChangeArrowheads="1"/>
                          </pic:cNvPicPr>
                        </pic:nvPicPr>
                        <pic:blipFill>
                          <a:blip r:embed="rId17" cstate="print"/>
                          <a:srcRect/>
                          <a:stretch>
                            <a:fillRect/>
                          </a:stretch>
                        </pic:blipFill>
                        <pic:spPr bwMode="auto">
                          <a:xfrm>
                            <a:off x="0" y="0"/>
                            <a:ext cx="180975" cy="238125"/>
                          </a:xfrm>
                          <a:prstGeom prst="rect">
                            <a:avLst/>
                          </a:prstGeom>
                          <a:noFill/>
                          <a:ln w="9525">
                            <a:noFill/>
                            <a:miter lim="800000"/>
                            <a:headEnd/>
                            <a:tailEnd/>
                          </a:ln>
                        </pic:spPr>
                      </pic:pic>
                    </a:graphicData>
                  </a:graphic>
                </wp:inline>
              </w:drawing>
            </w:r>
            <w:r>
              <w:rPr>
                <w:i/>
                <w:noProof/>
                <w:szCs w:val="20"/>
                <w:lang w:val="nl-NL" w:eastAsia="nl-NL"/>
              </w:rPr>
              <w:drawing>
                <wp:inline distT="0" distB="0" distL="0" distR="0">
                  <wp:extent cx="180975" cy="238125"/>
                  <wp:effectExtent l="19050" t="0" r="9525" b="0"/>
                  <wp:docPr id="41"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7"/>
                          <pic:cNvPicPr>
                            <a:picLocks noChangeAspect="1" noChangeArrowheads="1"/>
                          </pic:cNvPicPr>
                        </pic:nvPicPr>
                        <pic:blipFill>
                          <a:blip r:embed="rId17" cstate="print"/>
                          <a:srcRect/>
                          <a:stretch>
                            <a:fillRect/>
                          </a:stretch>
                        </pic:blipFill>
                        <pic:spPr bwMode="auto">
                          <a:xfrm>
                            <a:off x="0" y="0"/>
                            <a:ext cx="180975" cy="238125"/>
                          </a:xfrm>
                          <a:prstGeom prst="rect">
                            <a:avLst/>
                          </a:prstGeom>
                          <a:noFill/>
                          <a:ln w="9525">
                            <a:noFill/>
                            <a:miter lim="800000"/>
                            <a:headEnd/>
                            <a:tailEnd/>
                          </a:ln>
                        </pic:spPr>
                      </pic:pic>
                    </a:graphicData>
                  </a:graphic>
                </wp:inline>
              </w:drawing>
            </w:r>
            <w:r>
              <w:rPr>
                <w:i/>
                <w:noProof/>
                <w:szCs w:val="20"/>
                <w:lang w:val="nl-NL" w:eastAsia="nl-NL"/>
              </w:rPr>
              <w:drawing>
                <wp:inline distT="0" distB="0" distL="0" distR="0">
                  <wp:extent cx="180975" cy="238125"/>
                  <wp:effectExtent l="19050" t="0" r="9525" b="0"/>
                  <wp:docPr id="42"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8"/>
                          <pic:cNvPicPr>
                            <a:picLocks noChangeAspect="1" noChangeArrowheads="1"/>
                          </pic:cNvPicPr>
                        </pic:nvPicPr>
                        <pic:blipFill>
                          <a:blip r:embed="rId17" cstate="print"/>
                          <a:srcRect/>
                          <a:stretch>
                            <a:fillRect/>
                          </a:stretch>
                        </pic:blipFill>
                        <pic:spPr bwMode="auto">
                          <a:xfrm>
                            <a:off x="0" y="0"/>
                            <a:ext cx="180975" cy="238125"/>
                          </a:xfrm>
                          <a:prstGeom prst="rect">
                            <a:avLst/>
                          </a:prstGeom>
                          <a:noFill/>
                          <a:ln w="9525">
                            <a:noFill/>
                            <a:miter lim="800000"/>
                            <a:headEnd/>
                            <a:tailEnd/>
                          </a:ln>
                        </pic:spPr>
                      </pic:pic>
                    </a:graphicData>
                  </a:graphic>
                </wp:inline>
              </w:drawing>
            </w:r>
            <w:r>
              <w:rPr>
                <w:i/>
                <w:noProof/>
                <w:szCs w:val="20"/>
                <w:lang w:val="nl-NL" w:eastAsia="nl-NL"/>
              </w:rPr>
              <w:drawing>
                <wp:inline distT="0" distB="0" distL="0" distR="0">
                  <wp:extent cx="180975" cy="238125"/>
                  <wp:effectExtent l="19050" t="0" r="9525" b="0"/>
                  <wp:docPr id="43" name="Afbeelding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9"/>
                          <pic:cNvPicPr>
                            <a:picLocks noChangeAspect="1" noChangeArrowheads="1"/>
                          </pic:cNvPicPr>
                        </pic:nvPicPr>
                        <pic:blipFill>
                          <a:blip r:embed="rId17" cstate="print"/>
                          <a:srcRect/>
                          <a:stretch>
                            <a:fillRect/>
                          </a:stretch>
                        </pic:blipFill>
                        <pic:spPr bwMode="auto">
                          <a:xfrm>
                            <a:off x="0" y="0"/>
                            <a:ext cx="180975" cy="238125"/>
                          </a:xfrm>
                          <a:prstGeom prst="rect">
                            <a:avLst/>
                          </a:prstGeom>
                          <a:noFill/>
                          <a:ln w="9525">
                            <a:noFill/>
                            <a:miter lim="800000"/>
                            <a:headEnd/>
                            <a:tailEnd/>
                          </a:ln>
                        </pic:spPr>
                      </pic:pic>
                    </a:graphicData>
                  </a:graphic>
                </wp:inline>
              </w:drawing>
            </w:r>
          </w:p>
        </w:tc>
      </w:tr>
      <w:tr w:rsidR="003F1B5E" w:rsidRPr="00F13455" w:rsidTr="003F2060">
        <w:tc>
          <w:tcPr>
            <w:tcW w:w="7797" w:type="dxa"/>
          </w:tcPr>
          <w:p w:rsidR="003F1B5E" w:rsidRPr="00F13455" w:rsidRDefault="003F1B5E" w:rsidP="003F2060">
            <w:pPr>
              <w:pStyle w:val="Standardtext"/>
              <w:spacing w:before="0" w:after="0"/>
              <w:rPr>
                <w:b/>
                <w:szCs w:val="20"/>
                <w:lang w:val="en-GB"/>
              </w:rPr>
            </w:pPr>
          </w:p>
        </w:tc>
        <w:tc>
          <w:tcPr>
            <w:tcW w:w="1559" w:type="dxa"/>
          </w:tcPr>
          <w:p w:rsidR="003F1B5E" w:rsidRPr="00F13455" w:rsidRDefault="003F1B5E" w:rsidP="003F2060">
            <w:pPr>
              <w:spacing w:after="0"/>
              <w:rPr>
                <w:szCs w:val="20"/>
                <w:lang w:val="en-GB"/>
              </w:rPr>
            </w:pPr>
          </w:p>
        </w:tc>
      </w:tr>
      <w:tr w:rsidR="003F1B5E" w:rsidRPr="00F13455" w:rsidTr="003F2060">
        <w:tc>
          <w:tcPr>
            <w:tcW w:w="7797" w:type="dxa"/>
          </w:tcPr>
          <w:p w:rsidR="003F1B5E" w:rsidRPr="00F13455" w:rsidRDefault="003F1B5E" w:rsidP="003F2060">
            <w:pPr>
              <w:pStyle w:val="Standardtext"/>
              <w:spacing w:before="0" w:after="0"/>
              <w:rPr>
                <w:b/>
                <w:szCs w:val="20"/>
                <w:lang w:val="en-GB"/>
              </w:rPr>
            </w:pPr>
            <w:r w:rsidRPr="00F13455">
              <w:rPr>
                <w:b/>
                <w:szCs w:val="20"/>
                <w:lang w:val="en-GB"/>
              </w:rPr>
              <w:t>Analysis</w:t>
            </w:r>
          </w:p>
        </w:tc>
        <w:tc>
          <w:tcPr>
            <w:tcW w:w="1559" w:type="dxa"/>
          </w:tcPr>
          <w:p w:rsidR="003F1B5E" w:rsidRPr="00F13455" w:rsidRDefault="003F1B5E" w:rsidP="003F2060">
            <w:pPr>
              <w:spacing w:after="0"/>
              <w:rPr>
                <w:szCs w:val="20"/>
                <w:lang w:val="en-GB"/>
              </w:rPr>
            </w:pPr>
          </w:p>
        </w:tc>
      </w:tr>
      <w:tr w:rsidR="003F1B5E" w:rsidRPr="00F13455" w:rsidTr="003F2060">
        <w:tc>
          <w:tcPr>
            <w:tcW w:w="7797" w:type="dxa"/>
          </w:tcPr>
          <w:p w:rsidR="003F1B5E" w:rsidRPr="00F13455" w:rsidRDefault="003F1B5E" w:rsidP="003F2060">
            <w:pPr>
              <w:pStyle w:val="Standardtext"/>
              <w:spacing w:before="0" w:after="0"/>
              <w:rPr>
                <w:lang w:val="en-GB"/>
              </w:rPr>
            </w:pPr>
            <w:r w:rsidRPr="00F13455">
              <w:rPr>
                <w:lang w:val="en-GB"/>
              </w:rPr>
              <w:t>5. In case of a moderator, was an interaction test used?</w:t>
            </w:r>
          </w:p>
        </w:tc>
        <w:tc>
          <w:tcPr>
            <w:tcW w:w="1559" w:type="dxa"/>
          </w:tcPr>
          <w:p w:rsidR="003F1B5E" w:rsidRPr="00F13455" w:rsidRDefault="003F1B5E" w:rsidP="003F2060">
            <w:pPr>
              <w:spacing w:after="0" w:line="240" w:lineRule="auto"/>
              <w:rPr>
                <w:i/>
                <w:noProof/>
                <w:szCs w:val="20"/>
                <w:lang w:val="en-GB" w:eastAsia="en-GB"/>
              </w:rPr>
            </w:pPr>
            <w:r>
              <w:rPr>
                <w:i/>
                <w:noProof/>
                <w:szCs w:val="20"/>
                <w:lang w:val="nl-NL" w:eastAsia="nl-NL"/>
              </w:rPr>
              <w:drawing>
                <wp:inline distT="0" distB="0" distL="0" distR="0">
                  <wp:extent cx="180975" cy="238125"/>
                  <wp:effectExtent l="19050" t="0" r="9525" b="0"/>
                  <wp:docPr id="44" name="Afbeelding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1"/>
                          <pic:cNvPicPr>
                            <a:picLocks noChangeAspect="1" noChangeArrowheads="1"/>
                          </pic:cNvPicPr>
                        </pic:nvPicPr>
                        <pic:blipFill>
                          <a:blip r:embed="rId17" cstate="print"/>
                          <a:srcRect/>
                          <a:stretch>
                            <a:fillRect/>
                          </a:stretch>
                        </pic:blipFill>
                        <pic:spPr bwMode="auto">
                          <a:xfrm>
                            <a:off x="0" y="0"/>
                            <a:ext cx="180975" cy="238125"/>
                          </a:xfrm>
                          <a:prstGeom prst="rect">
                            <a:avLst/>
                          </a:prstGeom>
                          <a:noFill/>
                          <a:ln w="9525">
                            <a:noFill/>
                            <a:miter lim="800000"/>
                            <a:headEnd/>
                            <a:tailEnd/>
                          </a:ln>
                        </pic:spPr>
                      </pic:pic>
                    </a:graphicData>
                  </a:graphic>
                </wp:inline>
              </w:drawing>
            </w:r>
            <w:r>
              <w:rPr>
                <w:i/>
                <w:noProof/>
                <w:szCs w:val="20"/>
                <w:lang w:val="nl-NL" w:eastAsia="nl-NL"/>
              </w:rPr>
              <w:drawing>
                <wp:inline distT="0" distB="0" distL="0" distR="0">
                  <wp:extent cx="180975" cy="238125"/>
                  <wp:effectExtent l="19050" t="0" r="9525" b="0"/>
                  <wp:docPr id="45" name="Afbeelding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1"/>
                          <pic:cNvPicPr>
                            <a:picLocks noChangeAspect="1" noChangeArrowheads="1"/>
                          </pic:cNvPicPr>
                        </pic:nvPicPr>
                        <pic:blipFill>
                          <a:blip r:embed="rId17" cstate="print"/>
                          <a:srcRect/>
                          <a:stretch>
                            <a:fillRect/>
                          </a:stretch>
                        </pic:blipFill>
                        <pic:spPr bwMode="auto">
                          <a:xfrm>
                            <a:off x="0" y="0"/>
                            <a:ext cx="180975" cy="238125"/>
                          </a:xfrm>
                          <a:prstGeom prst="rect">
                            <a:avLst/>
                          </a:prstGeom>
                          <a:noFill/>
                          <a:ln w="9525">
                            <a:noFill/>
                            <a:miter lim="800000"/>
                            <a:headEnd/>
                            <a:tailEnd/>
                          </a:ln>
                        </pic:spPr>
                      </pic:pic>
                    </a:graphicData>
                  </a:graphic>
                </wp:inline>
              </w:drawing>
            </w:r>
            <w:r>
              <w:rPr>
                <w:i/>
                <w:noProof/>
                <w:szCs w:val="20"/>
                <w:lang w:val="nl-NL" w:eastAsia="nl-NL"/>
              </w:rPr>
              <w:drawing>
                <wp:inline distT="0" distB="0" distL="0" distR="0">
                  <wp:extent cx="180975" cy="238125"/>
                  <wp:effectExtent l="19050" t="0" r="9525" b="0"/>
                  <wp:docPr id="46" name="Afbeelding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1"/>
                          <pic:cNvPicPr>
                            <a:picLocks noChangeAspect="1" noChangeArrowheads="1"/>
                          </pic:cNvPicPr>
                        </pic:nvPicPr>
                        <pic:blipFill>
                          <a:blip r:embed="rId17" cstate="print"/>
                          <a:srcRect/>
                          <a:stretch>
                            <a:fillRect/>
                          </a:stretch>
                        </pic:blipFill>
                        <pic:spPr bwMode="auto">
                          <a:xfrm>
                            <a:off x="0" y="0"/>
                            <a:ext cx="180975" cy="238125"/>
                          </a:xfrm>
                          <a:prstGeom prst="rect">
                            <a:avLst/>
                          </a:prstGeom>
                          <a:noFill/>
                          <a:ln w="9525">
                            <a:noFill/>
                            <a:miter lim="800000"/>
                            <a:headEnd/>
                            <a:tailEnd/>
                          </a:ln>
                        </pic:spPr>
                      </pic:pic>
                    </a:graphicData>
                  </a:graphic>
                </wp:inline>
              </w:drawing>
            </w:r>
            <w:r>
              <w:rPr>
                <w:i/>
                <w:noProof/>
                <w:szCs w:val="20"/>
                <w:lang w:val="nl-NL" w:eastAsia="nl-NL"/>
              </w:rPr>
              <w:drawing>
                <wp:inline distT="0" distB="0" distL="0" distR="0">
                  <wp:extent cx="180975" cy="238125"/>
                  <wp:effectExtent l="19050" t="0" r="9525" b="0"/>
                  <wp:docPr id="47" name="Afbeelding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1"/>
                          <pic:cNvPicPr>
                            <a:picLocks noChangeAspect="1" noChangeArrowheads="1"/>
                          </pic:cNvPicPr>
                        </pic:nvPicPr>
                        <pic:blipFill>
                          <a:blip r:embed="rId17" cstate="print"/>
                          <a:srcRect/>
                          <a:stretch>
                            <a:fillRect/>
                          </a:stretch>
                        </pic:blipFill>
                        <pic:spPr bwMode="auto">
                          <a:xfrm>
                            <a:off x="0" y="0"/>
                            <a:ext cx="180975" cy="238125"/>
                          </a:xfrm>
                          <a:prstGeom prst="rect">
                            <a:avLst/>
                          </a:prstGeom>
                          <a:noFill/>
                          <a:ln w="9525">
                            <a:noFill/>
                            <a:miter lim="800000"/>
                            <a:headEnd/>
                            <a:tailEnd/>
                          </a:ln>
                        </pic:spPr>
                      </pic:pic>
                    </a:graphicData>
                  </a:graphic>
                </wp:inline>
              </w:drawing>
            </w:r>
          </w:p>
        </w:tc>
      </w:tr>
      <w:tr w:rsidR="003F1B5E" w:rsidRPr="00F13455" w:rsidTr="003F2060">
        <w:tc>
          <w:tcPr>
            <w:tcW w:w="7797" w:type="dxa"/>
          </w:tcPr>
          <w:p w:rsidR="003F1B5E" w:rsidRPr="00F13455" w:rsidRDefault="003F1B5E" w:rsidP="003F2060">
            <w:pPr>
              <w:pStyle w:val="Standardtext"/>
              <w:spacing w:before="0" w:after="0"/>
              <w:rPr>
                <w:lang w:val="en-GB"/>
              </w:rPr>
            </w:pPr>
            <w:r w:rsidRPr="00F13455">
              <w:rPr>
                <w:lang w:val="en-GB"/>
              </w:rPr>
              <w:t>6. Was a limited number of moderators and predictors tested?</w:t>
            </w:r>
          </w:p>
        </w:tc>
        <w:tc>
          <w:tcPr>
            <w:tcW w:w="1559" w:type="dxa"/>
          </w:tcPr>
          <w:p w:rsidR="003F1B5E" w:rsidRPr="00F13455" w:rsidRDefault="003F1B5E" w:rsidP="003F2060">
            <w:pPr>
              <w:spacing w:after="0" w:line="240" w:lineRule="auto"/>
              <w:rPr>
                <w:i/>
                <w:szCs w:val="20"/>
                <w:lang w:val="en-GB"/>
              </w:rPr>
            </w:pPr>
            <w:r>
              <w:rPr>
                <w:i/>
                <w:noProof/>
                <w:szCs w:val="20"/>
                <w:lang w:val="nl-NL" w:eastAsia="nl-NL"/>
              </w:rPr>
              <w:drawing>
                <wp:inline distT="0" distB="0" distL="0" distR="0">
                  <wp:extent cx="180975" cy="238125"/>
                  <wp:effectExtent l="19050" t="0" r="9525" b="0"/>
                  <wp:docPr id="48" name="Afbeelding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1"/>
                          <pic:cNvPicPr>
                            <a:picLocks noChangeAspect="1" noChangeArrowheads="1"/>
                          </pic:cNvPicPr>
                        </pic:nvPicPr>
                        <pic:blipFill>
                          <a:blip r:embed="rId17" cstate="print"/>
                          <a:srcRect/>
                          <a:stretch>
                            <a:fillRect/>
                          </a:stretch>
                        </pic:blipFill>
                        <pic:spPr bwMode="auto">
                          <a:xfrm>
                            <a:off x="0" y="0"/>
                            <a:ext cx="180975" cy="238125"/>
                          </a:xfrm>
                          <a:prstGeom prst="rect">
                            <a:avLst/>
                          </a:prstGeom>
                          <a:noFill/>
                          <a:ln w="9525">
                            <a:noFill/>
                            <a:miter lim="800000"/>
                            <a:headEnd/>
                            <a:tailEnd/>
                          </a:ln>
                        </pic:spPr>
                      </pic:pic>
                    </a:graphicData>
                  </a:graphic>
                </wp:inline>
              </w:drawing>
            </w:r>
            <w:r>
              <w:rPr>
                <w:i/>
                <w:noProof/>
                <w:szCs w:val="20"/>
                <w:lang w:val="nl-NL" w:eastAsia="nl-NL"/>
              </w:rPr>
              <w:drawing>
                <wp:inline distT="0" distB="0" distL="0" distR="0">
                  <wp:extent cx="180975" cy="238125"/>
                  <wp:effectExtent l="19050" t="0" r="9525" b="0"/>
                  <wp:docPr id="49" name="Afbeelding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2"/>
                          <pic:cNvPicPr>
                            <a:picLocks noChangeAspect="1" noChangeArrowheads="1"/>
                          </pic:cNvPicPr>
                        </pic:nvPicPr>
                        <pic:blipFill>
                          <a:blip r:embed="rId17" cstate="print"/>
                          <a:srcRect/>
                          <a:stretch>
                            <a:fillRect/>
                          </a:stretch>
                        </pic:blipFill>
                        <pic:spPr bwMode="auto">
                          <a:xfrm>
                            <a:off x="0" y="0"/>
                            <a:ext cx="180975" cy="238125"/>
                          </a:xfrm>
                          <a:prstGeom prst="rect">
                            <a:avLst/>
                          </a:prstGeom>
                          <a:noFill/>
                          <a:ln w="9525">
                            <a:noFill/>
                            <a:miter lim="800000"/>
                            <a:headEnd/>
                            <a:tailEnd/>
                          </a:ln>
                        </pic:spPr>
                      </pic:pic>
                    </a:graphicData>
                  </a:graphic>
                </wp:inline>
              </w:drawing>
            </w:r>
            <w:r>
              <w:rPr>
                <w:i/>
                <w:noProof/>
                <w:szCs w:val="20"/>
                <w:lang w:val="nl-NL" w:eastAsia="nl-NL"/>
              </w:rPr>
              <w:drawing>
                <wp:inline distT="0" distB="0" distL="0" distR="0">
                  <wp:extent cx="180975" cy="238125"/>
                  <wp:effectExtent l="19050" t="0" r="9525" b="0"/>
                  <wp:docPr id="50" name="Afbeelding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3"/>
                          <pic:cNvPicPr>
                            <a:picLocks noChangeAspect="1" noChangeArrowheads="1"/>
                          </pic:cNvPicPr>
                        </pic:nvPicPr>
                        <pic:blipFill>
                          <a:blip r:embed="rId17" cstate="print"/>
                          <a:srcRect/>
                          <a:stretch>
                            <a:fillRect/>
                          </a:stretch>
                        </pic:blipFill>
                        <pic:spPr bwMode="auto">
                          <a:xfrm>
                            <a:off x="0" y="0"/>
                            <a:ext cx="180975" cy="238125"/>
                          </a:xfrm>
                          <a:prstGeom prst="rect">
                            <a:avLst/>
                          </a:prstGeom>
                          <a:noFill/>
                          <a:ln w="9525">
                            <a:noFill/>
                            <a:miter lim="800000"/>
                            <a:headEnd/>
                            <a:tailEnd/>
                          </a:ln>
                        </pic:spPr>
                      </pic:pic>
                    </a:graphicData>
                  </a:graphic>
                </wp:inline>
              </w:drawing>
            </w:r>
            <w:r>
              <w:rPr>
                <w:i/>
                <w:noProof/>
                <w:szCs w:val="20"/>
                <w:lang w:val="nl-NL" w:eastAsia="nl-NL"/>
              </w:rPr>
              <w:drawing>
                <wp:inline distT="0" distB="0" distL="0" distR="0">
                  <wp:extent cx="180975" cy="238125"/>
                  <wp:effectExtent l="19050" t="0" r="9525" b="0"/>
                  <wp:docPr id="51" name="Afbeelding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4"/>
                          <pic:cNvPicPr>
                            <a:picLocks noChangeAspect="1" noChangeArrowheads="1"/>
                          </pic:cNvPicPr>
                        </pic:nvPicPr>
                        <pic:blipFill>
                          <a:blip r:embed="rId17" cstate="print"/>
                          <a:srcRect/>
                          <a:stretch>
                            <a:fillRect/>
                          </a:stretch>
                        </pic:blipFill>
                        <pic:spPr bwMode="auto">
                          <a:xfrm>
                            <a:off x="0" y="0"/>
                            <a:ext cx="180975" cy="238125"/>
                          </a:xfrm>
                          <a:prstGeom prst="rect">
                            <a:avLst/>
                          </a:prstGeom>
                          <a:noFill/>
                          <a:ln w="9525">
                            <a:noFill/>
                            <a:miter lim="800000"/>
                            <a:headEnd/>
                            <a:tailEnd/>
                          </a:ln>
                        </pic:spPr>
                      </pic:pic>
                    </a:graphicData>
                  </a:graphic>
                </wp:inline>
              </w:drawing>
            </w:r>
          </w:p>
        </w:tc>
      </w:tr>
      <w:tr w:rsidR="003F1B5E" w:rsidRPr="00F13455" w:rsidTr="003F2060">
        <w:tc>
          <w:tcPr>
            <w:tcW w:w="7797" w:type="dxa"/>
          </w:tcPr>
          <w:p w:rsidR="003F1B5E" w:rsidRPr="00F13455" w:rsidRDefault="003F1B5E" w:rsidP="003F2060">
            <w:pPr>
              <w:pStyle w:val="Standardtext"/>
              <w:spacing w:before="0" w:after="0"/>
              <w:rPr>
                <w:lang w:val="en-GB"/>
              </w:rPr>
            </w:pPr>
            <w:r w:rsidRPr="00F13455">
              <w:rPr>
                <w:lang w:val="en-GB"/>
              </w:rPr>
              <w:t>7. Was sample size adequate for the moderator or predictor analysis?</w:t>
            </w:r>
          </w:p>
        </w:tc>
        <w:tc>
          <w:tcPr>
            <w:tcW w:w="1559" w:type="dxa"/>
          </w:tcPr>
          <w:p w:rsidR="003F1B5E" w:rsidRPr="00F13455" w:rsidRDefault="003F1B5E" w:rsidP="003F2060">
            <w:pPr>
              <w:spacing w:after="0" w:line="240" w:lineRule="auto"/>
              <w:rPr>
                <w:i/>
                <w:szCs w:val="20"/>
                <w:lang w:val="en-GB"/>
              </w:rPr>
            </w:pPr>
            <w:r>
              <w:rPr>
                <w:i/>
                <w:noProof/>
                <w:szCs w:val="20"/>
                <w:lang w:val="nl-NL" w:eastAsia="nl-NL"/>
              </w:rPr>
              <w:drawing>
                <wp:inline distT="0" distB="0" distL="0" distR="0">
                  <wp:extent cx="180975" cy="238125"/>
                  <wp:effectExtent l="19050" t="0" r="9525" b="0"/>
                  <wp:docPr id="52" name="Afbeelding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1"/>
                          <pic:cNvPicPr>
                            <a:picLocks noChangeAspect="1" noChangeArrowheads="1"/>
                          </pic:cNvPicPr>
                        </pic:nvPicPr>
                        <pic:blipFill>
                          <a:blip r:embed="rId17" cstate="print"/>
                          <a:srcRect/>
                          <a:stretch>
                            <a:fillRect/>
                          </a:stretch>
                        </pic:blipFill>
                        <pic:spPr bwMode="auto">
                          <a:xfrm>
                            <a:off x="0" y="0"/>
                            <a:ext cx="180975" cy="238125"/>
                          </a:xfrm>
                          <a:prstGeom prst="rect">
                            <a:avLst/>
                          </a:prstGeom>
                          <a:noFill/>
                          <a:ln w="9525">
                            <a:noFill/>
                            <a:miter lim="800000"/>
                            <a:headEnd/>
                            <a:tailEnd/>
                          </a:ln>
                        </pic:spPr>
                      </pic:pic>
                    </a:graphicData>
                  </a:graphic>
                </wp:inline>
              </w:drawing>
            </w:r>
            <w:r>
              <w:rPr>
                <w:i/>
                <w:noProof/>
                <w:szCs w:val="20"/>
                <w:lang w:val="nl-NL" w:eastAsia="nl-NL"/>
              </w:rPr>
              <w:drawing>
                <wp:inline distT="0" distB="0" distL="0" distR="0">
                  <wp:extent cx="180975" cy="238125"/>
                  <wp:effectExtent l="19050" t="0" r="9525" b="0"/>
                  <wp:docPr id="53" name="Afbeelding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2"/>
                          <pic:cNvPicPr>
                            <a:picLocks noChangeAspect="1" noChangeArrowheads="1"/>
                          </pic:cNvPicPr>
                        </pic:nvPicPr>
                        <pic:blipFill>
                          <a:blip r:embed="rId17" cstate="print"/>
                          <a:srcRect/>
                          <a:stretch>
                            <a:fillRect/>
                          </a:stretch>
                        </pic:blipFill>
                        <pic:spPr bwMode="auto">
                          <a:xfrm>
                            <a:off x="0" y="0"/>
                            <a:ext cx="180975" cy="238125"/>
                          </a:xfrm>
                          <a:prstGeom prst="rect">
                            <a:avLst/>
                          </a:prstGeom>
                          <a:noFill/>
                          <a:ln w="9525">
                            <a:noFill/>
                            <a:miter lim="800000"/>
                            <a:headEnd/>
                            <a:tailEnd/>
                          </a:ln>
                        </pic:spPr>
                      </pic:pic>
                    </a:graphicData>
                  </a:graphic>
                </wp:inline>
              </w:drawing>
            </w:r>
            <w:r>
              <w:rPr>
                <w:i/>
                <w:noProof/>
                <w:szCs w:val="20"/>
                <w:lang w:val="nl-NL" w:eastAsia="nl-NL"/>
              </w:rPr>
              <w:drawing>
                <wp:inline distT="0" distB="0" distL="0" distR="0">
                  <wp:extent cx="180975" cy="238125"/>
                  <wp:effectExtent l="19050" t="0" r="9525" b="0"/>
                  <wp:docPr id="54" name="Afbeelding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3"/>
                          <pic:cNvPicPr>
                            <a:picLocks noChangeAspect="1" noChangeArrowheads="1"/>
                          </pic:cNvPicPr>
                        </pic:nvPicPr>
                        <pic:blipFill>
                          <a:blip r:embed="rId17" cstate="print"/>
                          <a:srcRect/>
                          <a:stretch>
                            <a:fillRect/>
                          </a:stretch>
                        </pic:blipFill>
                        <pic:spPr bwMode="auto">
                          <a:xfrm>
                            <a:off x="0" y="0"/>
                            <a:ext cx="180975" cy="238125"/>
                          </a:xfrm>
                          <a:prstGeom prst="rect">
                            <a:avLst/>
                          </a:prstGeom>
                          <a:noFill/>
                          <a:ln w="9525">
                            <a:noFill/>
                            <a:miter lim="800000"/>
                            <a:headEnd/>
                            <a:tailEnd/>
                          </a:ln>
                        </pic:spPr>
                      </pic:pic>
                    </a:graphicData>
                  </a:graphic>
                </wp:inline>
              </w:drawing>
            </w:r>
            <w:r>
              <w:rPr>
                <w:i/>
                <w:noProof/>
                <w:szCs w:val="20"/>
                <w:lang w:val="nl-NL" w:eastAsia="nl-NL"/>
              </w:rPr>
              <w:drawing>
                <wp:inline distT="0" distB="0" distL="0" distR="0">
                  <wp:extent cx="180975" cy="238125"/>
                  <wp:effectExtent l="19050" t="0" r="9525" b="0"/>
                  <wp:docPr id="55" name="Afbeelding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4"/>
                          <pic:cNvPicPr>
                            <a:picLocks noChangeAspect="1" noChangeArrowheads="1"/>
                          </pic:cNvPicPr>
                        </pic:nvPicPr>
                        <pic:blipFill>
                          <a:blip r:embed="rId17" cstate="print"/>
                          <a:srcRect/>
                          <a:stretch>
                            <a:fillRect/>
                          </a:stretch>
                        </pic:blipFill>
                        <pic:spPr bwMode="auto">
                          <a:xfrm>
                            <a:off x="0" y="0"/>
                            <a:ext cx="180975" cy="238125"/>
                          </a:xfrm>
                          <a:prstGeom prst="rect">
                            <a:avLst/>
                          </a:prstGeom>
                          <a:noFill/>
                          <a:ln w="9525">
                            <a:noFill/>
                            <a:miter lim="800000"/>
                            <a:headEnd/>
                            <a:tailEnd/>
                          </a:ln>
                        </pic:spPr>
                      </pic:pic>
                    </a:graphicData>
                  </a:graphic>
                </wp:inline>
              </w:drawing>
            </w:r>
          </w:p>
        </w:tc>
      </w:tr>
      <w:tr w:rsidR="003F1B5E" w:rsidRPr="00F13455" w:rsidTr="003F2060">
        <w:tc>
          <w:tcPr>
            <w:tcW w:w="7797" w:type="dxa"/>
          </w:tcPr>
          <w:p w:rsidR="003F1B5E" w:rsidRPr="00F13455" w:rsidRDefault="003F1B5E" w:rsidP="003F2060">
            <w:pPr>
              <w:pStyle w:val="Standardtext"/>
              <w:spacing w:before="0" w:after="0"/>
              <w:rPr>
                <w:b/>
                <w:szCs w:val="20"/>
                <w:lang w:val="en-GB"/>
              </w:rPr>
            </w:pPr>
          </w:p>
        </w:tc>
        <w:tc>
          <w:tcPr>
            <w:tcW w:w="1559" w:type="dxa"/>
          </w:tcPr>
          <w:p w:rsidR="003F1B5E" w:rsidRPr="00F13455" w:rsidRDefault="003F1B5E" w:rsidP="003F2060">
            <w:pPr>
              <w:spacing w:after="0"/>
              <w:rPr>
                <w:szCs w:val="20"/>
                <w:lang w:val="en-GB"/>
              </w:rPr>
            </w:pPr>
          </w:p>
        </w:tc>
      </w:tr>
      <w:tr w:rsidR="003F1B5E" w:rsidRPr="00F13455" w:rsidTr="003F2060">
        <w:tc>
          <w:tcPr>
            <w:tcW w:w="7797" w:type="dxa"/>
          </w:tcPr>
          <w:p w:rsidR="003F1B5E" w:rsidRPr="00F13455" w:rsidRDefault="003F1B5E" w:rsidP="003F2060">
            <w:pPr>
              <w:pStyle w:val="Standardtext"/>
              <w:spacing w:before="0" w:after="0"/>
              <w:rPr>
                <w:b/>
                <w:szCs w:val="20"/>
                <w:lang w:val="en-GB"/>
              </w:rPr>
            </w:pPr>
            <w:r w:rsidRPr="00F13455">
              <w:rPr>
                <w:b/>
                <w:szCs w:val="20"/>
                <w:lang w:val="en-GB"/>
              </w:rPr>
              <w:t>Results</w:t>
            </w:r>
          </w:p>
        </w:tc>
        <w:tc>
          <w:tcPr>
            <w:tcW w:w="1559" w:type="dxa"/>
          </w:tcPr>
          <w:p w:rsidR="003F1B5E" w:rsidRPr="00F13455" w:rsidRDefault="003F1B5E" w:rsidP="003F2060">
            <w:pPr>
              <w:spacing w:after="0"/>
              <w:rPr>
                <w:szCs w:val="20"/>
                <w:lang w:val="en-GB"/>
              </w:rPr>
            </w:pPr>
          </w:p>
        </w:tc>
      </w:tr>
      <w:tr w:rsidR="003F1B5E" w:rsidRPr="00F13455" w:rsidTr="003F2060">
        <w:tc>
          <w:tcPr>
            <w:tcW w:w="7797" w:type="dxa"/>
          </w:tcPr>
          <w:p w:rsidR="003F1B5E" w:rsidRPr="00F13455" w:rsidRDefault="003F1B5E" w:rsidP="003F2060">
            <w:pPr>
              <w:pStyle w:val="Standardtext"/>
              <w:spacing w:before="0" w:after="0"/>
              <w:rPr>
                <w:lang w:val="en-GB"/>
              </w:rPr>
            </w:pPr>
            <w:r w:rsidRPr="00F13455">
              <w:rPr>
                <w:lang w:val="en-GB"/>
              </w:rPr>
              <w:t>8. Were results presented for all candidate moderators or predictors that were examined?</w:t>
            </w:r>
          </w:p>
        </w:tc>
        <w:tc>
          <w:tcPr>
            <w:tcW w:w="1559" w:type="dxa"/>
          </w:tcPr>
          <w:p w:rsidR="003F1B5E" w:rsidRPr="00F13455" w:rsidRDefault="003F1B5E" w:rsidP="003F2060">
            <w:pPr>
              <w:spacing w:after="0" w:line="240" w:lineRule="auto"/>
              <w:rPr>
                <w:i/>
                <w:szCs w:val="20"/>
                <w:lang w:val="en-GB"/>
              </w:rPr>
            </w:pPr>
            <w:r>
              <w:rPr>
                <w:i/>
                <w:noProof/>
                <w:szCs w:val="20"/>
                <w:lang w:val="nl-NL" w:eastAsia="nl-NL"/>
              </w:rPr>
              <w:drawing>
                <wp:inline distT="0" distB="0" distL="0" distR="0">
                  <wp:extent cx="180975" cy="238125"/>
                  <wp:effectExtent l="19050" t="0" r="9525" b="0"/>
                  <wp:docPr id="56" name="Afbeelding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6"/>
                          <pic:cNvPicPr>
                            <a:picLocks noChangeAspect="1" noChangeArrowheads="1"/>
                          </pic:cNvPicPr>
                        </pic:nvPicPr>
                        <pic:blipFill>
                          <a:blip r:embed="rId17" cstate="print"/>
                          <a:srcRect/>
                          <a:stretch>
                            <a:fillRect/>
                          </a:stretch>
                        </pic:blipFill>
                        <pic:spPr bwMode="auto">
                          <a:xfrm>
                            <a:off x="0" y="0"/>
                            <a:ext cx="180975" cy="238125"/>
                          </a:xfrm>
                          <a:prstGeom prst="rect">
                            <a:avLst/>
                          </a:prstGeom>
                          <a:noFill/>
                          <a:ln w="9525">
                            <a:noFill/>
                            <a:miter lim="800000"/>
                            <a:headEnd/>
                            <a:tailEnd/>
                          </a:ln>
                        </pic:spPr>
                      </pic:pic>
                    </a:graphicData>
                  </a:graphic>
                </wp:inline>
              </w:drawing>
            </w:r>
            <w:r>
              <w:rPr>
                <w:i/>
                <w:noProof/>
                <w:szCs w:val="20"/>
                <w:lang w:val="nl-NL" w:eastAsia="nl-NL"/>
              </w:rPr>
              <w:drawing>
                <wp:inline distT="0" distB="0" distL="0" distR="0">
                  <wp:extent cx="180975" cy="238125"/>
                  <wp:effectExtent l="19050" t="0" r="9525" b="0"/>
                  <wp:docPr id="57" name="Afbeelding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7"/>
                          <pic:cNvPicPr>
                            <a:picLocks noChangeAspect="1" noChangeArrowheads="1"/>
                          </pic:cNvPicPr>
                        </pic:nvPicPr>
                        <pic:blipFill>
                          <a:blip r:embed="rId17" cstate="print"/>
                          <a:srcRect/>
                          <a:stretch>
                            <a:fillRect/>
                          </a:stretch>
                        </pic:blipFill>
                        <pic:spPr bwMode="auto">
                          <a:xfrm>
                            <a:off x="0" y="0"/>
                            <a:ext cx="180975" cy="238125"/>
                          </a:xfrm>
                          <a:prstGeom prst="rect">
                            <a:avLst/>
                          </a:prstGeom>
                          <a:noFill/>
                          <a:ln w="9525">
                            <a:noFill/>
                            <a:miter lim="800000"/>
                            <a:headEnd/>
                            <a:tailEnd/>
                          </a:ln>
                        </pic:spPr>
                      </pic:pic>
                    </a:graphicData>
                  </a:graphic>
                </wp:inline>
              </w:drawing>
            </w:r>
            <w:r>
              <w:rPr>
                <w:i/>
                <w:noProof/>
                <w:szCs w:val="20"/>
                <w:lang w:val="nl-NL" w:eastAsia="nl-NL"/>
              </w:rPr>
              <w:drawing>
                <wp:inline distT="0" distB="0" distL="0" distR="0">
                  <wp:extent cx="180975" cy="238125"/>
                  <wp:effectExtent l="19050" t="0" r="9525" b="0"/>
                  <wp:docPr id="58" name="Afbeelding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8"/>
                          <pic:cNvPicPr>
                            <a:picLocks noChangeAspect="1" noChangeArrowheads="1"/>
                          </pic:cNvPicPr>
                        </pic:nvPicPr>
                        <pic:blipFill>
                          <a:blip r:embed="rId17" cstate="print"/>
                          <a:srcRect/>
                          <a:stretch>
                            <a:fillRect/>
                          </a:stretch>
                        </pic:blipFill>
                        <pic:spPr bwMode="auto">
                          <a:xfrm>
                            <a:off x="0" y="0"/>
                            <a:ext cx="180975" cy="238125"/>
                          </a:xfrm>
                          <a:prstGeom prst="rect">
                            <a:avLst/>
                          </a:prstGeom>
                          <a:noFill/>
                          <a:ln w="9525">
                            <a:noFill/>
                            <a:miter lim="800000"/>
                            <a:headEnd/>
                            <a:tailEnd/>
                          </a:ln>
                        </pic:spPr>
                      </pic:pic>
                    </a:graphicData>
                  </a:graphic>
                </wp:inline>
              </w:drawing>
            </w:r>
            <w:r>
              <w:rPr>
                <w:i/>
                <w:noProof/>
                <w:szCs w:val="20"/>
                <w:lang w:val="nl-NL" w:eastAsia="nl-NL"/>
              </w:rPr>
              <w:drawing>
                <wp:inline distT="0" distB="0" distL="0" distR="0">
                  <wp:extent cx="180975" cy="238125"/>
                  <wp:effectExtent l="19050" t="0" r="9525" b="0"/>
                  <wp:docPr id="59" name="Afbeelding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9"/>
                          <pic:cNvPicPr>
                            <a:picLocks noChangeAspect="1" noChangeArrowheads="1"/>
                          </pic:cNvPicPr>
                        </pic:nvPicPr>
                        <pic:blipFill>
                          <a:blip r:embed="rId17" cstate="print"/>
                          <a:srcRect/>
                          <a:stretch>
                            <a:fillRect/>
                          </a:stretch>
                        </pic:blipFill>
                        <pic:spPr bwMode="auto">
                          <a:xfrm>
                            <a:off x="0" y="0"/>
                            <a:ext cx="180975" cy="238125"/>
                          </a:xfrm>
                          <a:prstGeom prst="rect">
                            <a:avLst/>
                          </a:prstGeom>
                          <a:noFill/>
                          <a:ln w="9525">
                            <a:noFill/>
                            <a:miter lim="800000"/>
                            <a:headEnd/>
                            <a:tailEnd/>
                          </a:ln>
                        </pic:spPr>
                      </pic:pic>
                    </a:graphicData>
                  </a:graphic>
                </wp:inline>
              </w:drawing>
            </w:r>
          </w:p>
        </w:tc>
      </w:tr>
      <w:tr w:rsidR="003F1B5E" w:rsidRPr="00F13455" w:rsidTr="003F2060">
        <w:tc>
          <w:tcPr>
            <w:tcW w:w="7797" w:type="dxa"/>
          </w:tcPr>
          <w:p w:rsidR="003F1B5E" w:rsidRPr="00F13455" w:rsidRDefault="003F1B5E" w:rsidP="003F2060">
            <w:pPr>
              <w:pStyle w:val="Standardtext"/>
              <w:spacing w:before="0" w:after="0"/>
              <w:rPr>
                <w:lang w:val="en-GB"/>
              </w:rPr>
            </w:pPr>
            <w:r>
              <w:rPr>
                <w:lang w:val="en-GB"/>
              </w:rPr>
              <w:t>9</w:t>
            </w:r>
            <w:r w:rsidRPr="00F13455">
              <w:rPr>
                <w:lang w:val="en-GB"/>
              </w:rPr>
              <w:t>. Did statistical tests or confidence intervals indicate that observed moderator or predictor effects were unlikely to be merely due to chance variation?</w:t>
            </w:r>
          </w:p>
        </w:tc>
        <w:tc>
          <w:tcPr>
            <w:tcW w:w="1559" w:type="dxa"/>
          </w:tcPr>
          <w:p w:rsidR="003F1B5E" w:rsidRPr="00F13455" w:rsidRDefault="003F1B5E" w:rsidP="003F2060">
            <w:pPr>
              <w:spacing w:after="0" w:line="240" w:lineRule="auto"/>
              <w:rPr>
                <w:i/>
                <w:szCs w:val="20"/>
                <w:lang w:val="en-GB"/>
              </w:rPr>
            </w:pPr>
            <w:r>
              <w:rPr>
                <w:i/>
                <w:noProof/>
                <w:szCs w:val="20"/>
                <w:lang w:val="nl-NL" w:eastAsia="nl-NL"/>
              </w:rPr>
              <w:drawing>
                <wp:inline distT="0" distB="0" distL="0" distR="0">
                  <wp:extent cx="180975" cy="238125"/>
                  <wp:effectExtent l="19050" t="0" r="9525" b="0"/>
                  <wp:docPr id="60" name="Afbeelding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6"/>
                          <pic:cNvPicPr>
                            <a:picLocks noChangeAspect="1" noChangeArrowheads="1"/>
                          </pic:cNvPicPr>
                        </pic:nvPicPr>
                        <pic:blipFill>
                          <a:blip r:embed="rId17" cstate="print"/>
                          <a:srcRect/>
                          <a:stretch>
                            <a:fillRect/>
                          </a:stretch>
                        </pic:blipFill>
                        <pic:spPr bwMode="auto">
                          <a:xfrm>
                            <a:off x="0" y="0"/>
                            <a:ext cx="180975" cy="238125"/>
                          </a:xfrm>
                          <a:prstGeom prst="rect">
                            <a:avLst/>
                          </a:prstGeom>
                          <a:noFill/>
                          <a:ln w="9525">
                            <a:noFill/>
                            <a:miter lim="800000"/>
                            <a:headEnd/>
                            <a:tailEnd/>
                          </a:ln>
                        </pic:spPr>
                      </pic:pic>
                    </a:graphicData>
                  </a:graphic>
                </wp:inline>
              </w:drawing>
            </w:r>
            <w:r>
              <w:rPr>
                <w:i/>
                <w:noProof/>
                <w:szCs w:val="20"/>
                <w:lang w:val="nl-NL" w:eastAsia="nl-NL"/>
              </w:rPr>
              <w:drawing>
                <wp:inline distT="0" distB="0" distL="0" distR="0">
                  <wp:extent cx="180975" cy="238125"/>
                  <wp:effectExtent l="19050" t="0" r="9525" b="0"/>
                  <wp:docPr id="61" name="Afbeelding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7"/>
                          <pic:cNvPicPr>
                            <a:picLocks noChangeAspect="1" noChangeArrowheads="1"/>
                          </pic:cNvPicPr>
                        </pic:nvPicPr>
                        <pic:blipFill>
                          <a:blip r:embed="rId17" cstate="print"/>
                          <a:srcRect/>
                          <a:stretch>
                            <a:fillRect/>
                          </a:stretch>
                        </pic:blipFill>
                        <pic:spPr bwMode="auto">
                          <a:xfrm>
                            <a:off x="0" y="0"/>
                            <a:ext cx="180975" cy="238125"/>
                          </a:xfrm>
                          <a:prstGeom prst="rect">
                            <a:avLst/>
                          </a:prstGeom>
                          <a:noFill/>
                          <a:ln w="9525">
                            <a:noFill/>
                            <a:miter lim="800000"/>
                            <a:headEnd/>
                            <a:tailEnd/>
                          </a:ln>
                        </pic:spPr>
                      </pic:pic>
                    </a:graphicData>
                  </a:graphic>
                </wp:inline>
              </w:drawing>
            </w:r>
            <w:r>
              <w:rPr>
                <w:i/>
                <w:noProof/>
                <w:szCs w:val="20"/>
                <w:lang w:val="nl-NL" w:eastAsia="nl-NL"/>
              </w:rPr>
              <w:drawing>
                <wp:inline distT="0" distB="0" distL="0" distR="0">
                  <wp:extent cx="180975" cy="238125"/>
                  <wp:effectExtent l="19050" t="0" r="9525" b="0"/>
                  <wp:docPr id="62" name="Afbeelding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8"/>
                          <pic:cNvPicPr>
                            <a:picLocks noChangeAspect="1" noChangeArrowheads="1"/>
                          </pic:cNvPicPr>
                        </pic:nvPicPr>
                        <pic:blipFill>
                          <a:blip r:embed="rId17" cstate="print"/>
                          <a:srcRect/>
                          <a:stretch>
                            <a:fillRect/>
                          </a:stretch>
                        </pic:blipFill>
                        <pic:spPr bwMode="auto">
                          <a:xfrm>
                            <a:off x="0" y="0"/>
                            <a:ext cx="180975" cy="238125"/>
                          </a:xfrm>
                          <a:prstGeom prst="rect">
                            <a:avLst/>
                          </a:prstGeom>
                          <a:noFill/>
                          <a:ln w="9525">
                            <a:noFill/>
                            <a:miter lim="800000"/>
                            <a:headEnd/>
                            <a:tailEnd/>
                          </a:ln>
                        </pic:spPr>
                      </pic:pic>
                    </a:graphicData>
                  </a:graphic>
                </wp:inline>
              </w:drawing>
            </w:r>
            <w:r>
              <w:rPr>
                <w:i/>
                <w:noProof/>
                <w:szCs w:val="20"/>
                <w:lang w:val="nl-NL" w:eastAsia="nl-NL"/>
              </w:rPr>
              <w:drawing>
                <wp:inline distT="0" distB="0" distL="0" distR="0">
                  <wp:extent cx="180975" cy="238125"/>
                  <wp:effectExtent l="19050" t="0" r="9525" b="0"/>
                  <wp:docPr id="63" name="Afbeelding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9"/>
                          <pic:cNvPicPr>
                            <a:picLocks noChangeAspect="1" noChangeArrowheads="1"/>
                          </pic:cNvPicPr>
                        </pic:nvPicPr>
                        <pic:blipFill>
                          <a:blip r:embed="rId17" cstate="print"/>
                          <a:srcRect/>
                          <a:stretch>
                            <a:fillRect/>
                          </a:stretch>
                        </pic:blipFill>
                        <pic:spPr bwMode="auto">
                          <a:xfrm>
                            <a:off x="0" y="0"/>
                            <a:ext cx="180975" cy="238125"/>
                          </a:xfrm>
                          <a:prstGeom prst="rect">
                            <a:avLst/>
                          </a:prstGeom>
                          <a:noFill/>
                          <a:ln w="9525">
                            <a:noFill/>
                            <a:miter lim="800000"/>
                            <a:headEnd/>
                            <a:tailEnd/>
                          </a:ln>
                        </pic:spPr>
                      </pic:pic>
                    </a:graphicData>
                  </a:graphic>
                </wp:inline>
              </w:drawing>
            </w:r>
          </w:p>
        </w:tc>
      </w:tr>
      <w:tr w:rsidR="003F1B5E" w:rsidRPr="00F13455" w:rsidTr="003F2060">
        <w:tc>
          <w:tcPr>
            <w:tcW w:w="7797" w:type="dxa"/>
          </w:tcPr>
          <w:p w:rsidR="003F1B5E" w:rsidRPr="00F13455" w:rsidRDefault="003F1B5E" w:rsidP="003F2060">
            <w:pPr>
              <w:pStyle w:val="Standardtext"/>
              <w:spacing w:before="0" w:after="0"/>
              <w:rPr>
                <w:lang w:val="en-GB"/>
              </w:rPr>
            </w:pPr>
            <w:r>
              <w:rPr>
                <w:lang w:val="en-GB"/>
              </w:rPr>
              <w:t>10</w:t>
            </w:r>
            <w:r w:rsidRPr="00F13455">
              <w:rPr>
                <w:lang w:val="en-GB"/>
              </w:rPr>
              <w:t>. Was the moderator or predictor effect consistent with related moderators or predictors, or across related outcomes measured within the study?</w:t>
            </w:r>
          </w:p>
        </w:tc>
        <w:tc>
          <w:tcPr>
            <w:tcW w:w="1559" w:type="dxa"/>
          </w:tcPr>
          <w:p w:rsidR="003F1B5E" w:rsidRPr="00F13455" w:rsidRDefault="003F1B5E" w:rsidP="003F2060">
            <w:pPr>
              <w:spacing w:after="0" w:line="240" w:lineRule="auto"/>
              <w:rPr>
                <w:i/>
                <w:szCs w:val="20"/>
                <w:lang w:val="en-GB"/>
              </w:rPr>
            </w:pPr>
            <w:r>
              <w:rPr>
                <w:i/>
                <w:noProof/>
                <w:szCs w:val="20"/>
                <w:lang w:val="nl-NL" w:eastAsia="nl-NL"/>
              </w:rPr>
              <w:drawing>
                <wp:inline distT="0" distB="0" distL="0" distR="0">
                  <wp:extent cx="180975" cy="238125"/>
                  <wp:effectExtent l="19050" t="0" r="9525" b="0"/>
                  <wp:docPr id="64" name="Afbeelding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6"/>
                          <pic:cNvPicPr>
                            <a:picLocks noChangeAspect="1" noChangeArrowheads="1"/>
                          </pic:cNvPicPr>
                        </pic:nvPicPr>
                        <pic:blipFill>
                          <a:blip r:embed="rId17" cstate="print"/>
                          <a:srcRect/>
                          <a:stretch>
                            <a:fillRect/>
                          </a:stretch>
                        </pic:blipFill>
                        <pic:spPr bwMode="auto">
                          <a:xfrm>
                            <a:off x="0" y="0"/>
                            <a:ext cx="180975" cy="238125"/>
                          </a:xfrm>
                          <a:prstGeom prst="rect">
                            <a:avLst/>
                          </a:prstGeom>
                          <a:noFill/>
                          <a:ln w="9525">
                            <a:noFill/>
                            <a:miter lim="800000"/>
                            <a:headEnd/>
                            <a:tailEnd/>
                          </a:ln>
                        </pic:spPr>
                      </pic:pic>
                    </a:graphicData>
                  </a:graphic>
                </wp:inline>
              </w:drawing>
            </w:r>
            <w:r>
              <w:rPr>
                <w:i/>
                <w:noProof/>
                <w:szCs w:val="20"/>
                <w:lang w:val="nl-NL" w:eastAsia="nl-NL"/>
              </w:rPr>
              <w:drawing>
                <wp:inline distT="0" distB="0" distL="0" distR="0">
                  <wp:extent cx="180975" cy="238125"/>
                  <wp:effectExtent l="19050" t="0" r="9525" b="0"/>
                  <wp:docPr id="65" name="Afbeelding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7"/>
                          <pic:cNvPicPr>
                            <a:picLocks noChangeAspect="1" noChangeArrowheads="1"/>
                          </pic:cNvPicPr>
                        </pic:nvPicPr>
                        <pic:blipFill>
                          <a:blip r:embed="rId17" cstate="print"/>
                          <a:srcRect/>
                          <a:stretch>
                            <a:fillRect/>
                          </a:stretch>
                        </pic:blipFill>
                        <pic:spPr bwMode="auto">
                          <a:xfrm>
                            <a:off x="0" y="0"/>
                            <a:ext cx="180975" cy="238125"/>
                          </a:xfrm>
                          <a:prstGeom prst="rect">
                            <a:avLst/>
                          </a:prstGeom>
                          <a:noFill/>
                          <a:ln w="9525">
                            <a:noFill/>
                            <a:miter lim="800000"/>
                            <a:headEnd/>
                            <a:tailEnd/>
                          </a:ln>
                        </pic:spPr>
                      </pic:pic>
                    </a:graphicData>
                  </a:graphic>
                </wp:inline>
              </w:drawing>
            </w:r>
            <w:r>
              <w:rPr>
                <w:i/>
                <w:noProof/>
                <w:szCs w:val="20"/>
                <w:lang w:val="nl-NL" w:eastAsia="nl-NL"/>
              </w:rPr>
              <w:drawing>
                <wp:inline distT="0" distB="0" distL="0" distR="0">
                  <wp:extent cx="180975" cy="238125"/>
                  <wp:effectExtent l="19050" t="0" r="9525" b="0"/>
                  <wp:docPr id="66" name="Afbeelding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8"/>
                          <pic:cNvPicPr>
                            <a:picLocks noChangeAspect="1" noChangeArrowheads="1"/>
                          </pic:cNvPicPr>
                        </pic:nvPicPr>
                        <pic:blipFill>
                          <a:blip r:embed="rId17" cstate="print"/>
                          <a:srcRect/>
                          <a:stretch>
                            <a:fillRect/>
                          </a:stretch>
                        </pic:blipFill>
                        <pic:spPr bwMode="auto">
                          <a:xfrm>
                            <a:off x="0" y="0"/>
                            <a:ext cx="180975" cy="238125"/>
                          </a:xfrm>
                          <a:prstGeom prst="rect">
                            <a:avLst/>
                          </a:prstGeom>
                          <a:noFill/>
                          <a:ln w="9525">
                            <a:noFill/>
                            <a:miter lim="800000"/>
                            <a:headEnd/>
                            <a:tailEnd/>
                          </a:ln>
                        </pic:spPr>
                      </pic:pic>
                    </a:graphicData>
                  </a:graphic>
                </wp:inline>
              </w:drawing>
            </w:r>
            <w:r>
              <w:rPr>
                <w:i/>
                <w:noProof/>
                <w:szCs w:val="20"/>
                <w:lang w:val="nl-NL" w:eastAsia="nl-NL"/>
              </w:rPr>
              <w:drawing>
                <wp:inline distT="0" distB="0" distL="0" distR="0">
                  <wp:extent cx="180975" cy="238125"/>
                  <wp:effectExtent l="19050" t="0" r="9525" b="0"/>
                  <wp:docPr id="67" name="Afbeelding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9"/>
                          <pic:cNvPicPr>
                            <a:picLocks noChangeAspect="1" noChangeArrowheads="1"/>
                          </pic:cNvPicPr>
                        </pic:nvPicPr>
                        <pic:blipFill>
                          <a:blip r:embed="rId17" cstate="print"/>
                          <a:srcRect/>
                          <a:stretch>
                            <a:fillRect/>
                          </a:stretch>
                        </pic:blipFill>
                        <pic:spPr bwMode="auto">
                          <a:xfrm>
                            <a:off x="0" y="0"/>
                            <a:ext cx="180975" cy="238125"/>
                          </a:xfrm>
                          <a:prstGeom prst="rect">
                            <a:avLst/>
                          </a:prstGeom>
                          <a:noFill/>
                          <a:ln w="9525">
                            <a:noFill/>
                            <a:miter lim="800000"/>
                            <a:headEnd/>
                            <a:tailEnd/>
                          </a:ln>
                        </pic:spPr>
                      </pic:pic>
                    </a:graphicData>
                  </a:graphic>
                </wp:inline>
              </w:drawing>
            </w:r>
          </w:p>
        </w:tc>
      </w:tr>
      <w:tr w:rsidR="003F1B5E" w:rsidRPr="00F13455" w:rsidTr="003F2060">
        <w:trPr>
          <w:trHeight w:val="393"/>
        </w:trPr>
        <w:tc>
          <w:tcPr>
            <w:tcW w:w="7797" w:type="dxa"/>
            <w:vAlign w:val="center"/>
          </w:tcPr>
          <w:p w:rsidR="003F1B5E" w:rsidRPr="00F13455" w:rsidRDefault="003F1B5E" w:rsidP="003F2060">
            <w:pPr>
              <w:pStyle w:val="Standardtext"/>
              <w:spacing w:before="0" w:after="0"/>
              <w:rPr>
                <w:b/>
                <w:szCs w:val="20"/>
                <w:lang w:val="en-GB"/>
              </w:rPr>
            </w:pPr>
          </w:p>
        </w:tc>
        <w:tc>
          <w:tcPr>
            <w:tcW w:w="1559" w:type="dxa"/>
          </w:tcPr>
          <w:p w:rsidR="003F1B5E" w:rsidRPr="00F13455" w:rsidRDefault="003F1B5E" w:rsidP="003F2060">
            <w:pPr>
              <w:spacing w:after="0" w:line="240" w:lineRule="auto"/>
              <w:rPr>
                <w:i/>
                <w:noProof/>
                <w:szCs w:val="20"/>
                <w:lang w:val="en-GB" w:eastAsia="nl-NL"/>
              </w:rPr>
            </w:pPr>
          </w:p>
        </w:tc>
      </w:tr>
      <w:tr w:rsidR="003F1B5E" w:rsidRPr="00F13455" w:rsidTr="003F2060">
        <w:trPr>
          <w:trHeight w:val="393"/>
        </w:trPr>
        <w:tc>
          <w:tcPr>
            <w:tcW w:w="7797" w:type="dxa"/>
            <w:vAlign w:val="center"/>
          </w:tcPr>
          <w:p w:rsidR="003F1B5E" w:rsidRPr="00F13455" w:rsidRDefault="003F1B5E" w:rsidP="003F2060">
            <w:pPr>
              <w:pStyle w:val="Standardtext"/>
              <w:spacing w:before="0" w:after="0"/>
              <w:rPr>
                <w:b/>
                <w:szCs w:val="20"/>
                <w:lang w:val="en-GB"/>
              </w:rPr>
            </w:pPr>
            <w:r w:rsidRPr="00F13455">
              <w:rPr>
                <w:b/>
                <w:szCs w:val="20"/>
                <w:lang w:val="en-GB"/>
              </w:rPr>
              <w:t>Transferability</w:t>
            </w:r>
          </w:p>
        </w:tc>
        <w:tc>
          <w:tcPr>
            <w:tcW w:w="1559" w:type="dxa"/>
          </w:tcPr>
          <w:p w:rsidR="003F1B5E" w:rsidRPr="00F13455" w:rsidRDefault="003F1B5E" w:rsidP="003F2060">
            <w:pPr>
              <w:spacing w:after="0" w:line="240" w:lineRule="auto"/>
              <w:rPr>
                <w:i/>
                <w:noProof/>
                <w:szCs w:val="20"/>
                <w:lang w:val="en-GB" w:eastAsia="nl-NL"/>
              </w:rPr>
            </w:pPr>
          </w:p>
        </w:tc>
      </w:tr>
      <w:tr w:rsidR="003F1B5E" w:rsidRPr="00F13455" w:rsidTr="003F2060">
        <w:tc>
          <w:tcPr>
            <w:tcW w:w="7797" w:type="dxa"/>
          </w:tcPr>
          <w:p w:rsidR="003F1B5E" w:rsidRPr="00F13455" w:rsidRDefault="003F1B5E" w:rsidP="003F2060">
            <w:pPr>
              <w:pStyle w:val="Standardtext"/>
              <w:spacing w:before="0" w:after="0"/>
              <w:rPr>
                <w:lang w:val="en-GB"/>
              </w:rPr>
            </w:pPr>
            <w:r>
              <w:rPr>
                <w:lang w:val="en-GB"/>
              </w:rPr>
              <w:t>11</w:t>
            </w:r>
            <w:r w:rsidRPr="00F13455">
              <w:rPr>
                <w:lang w:val="en-GB"/>
              </w:rPr>
              <w:t>. Were the setting and study population comparable to the setting and population in which the information would be used?</w:t>
            </w:r>
          </w:p>
        </w:tc>
        <w:tc>
          <w:tcPr>
            <w:tcW w:w="1559" w:type="dxa"/>
          </w:tcPr>
          <w:p w:rsidR="003F1B5E" w:rsidRPr="00F13455" w:rsidRDefault="003F1B5E" w:rsidP="003F2060">
            <w:pPr>
              <w:spacing w:after="0" w:line="240" w:lineRule="auto"/>
              <w:rPr>
                <w:i/>
                <w:szCs w:val="20"/>
                <w:lang w:val="en-GB"/>
              </w:rPr>
            </w:pPr>
            <w:r>
              <w:rPr>
                <w:i/>
                <w:noProof/>
                <w:szCs w:val="20"/>
                <w:lang w:val="nl-NL" w:eastAsia="nl-NL"/>
              </w:rPr>
              <w:drawing>
                <wp:inline distT="0" distB="0" distL="0" distR="0">
                  <wp:extent cx="180975" cy="238125"/>
                  <wp:effectExtent l="19050" t="0" r="9525" b="0"/>
                  <wp:docPr id="68" name="Afbeelding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1"/>
                          <pic:cNvPicPr>
                            <a:picLocks noChangeAspect="1" noChangeArrowheads="1"/>
                          </pic:cNvPicPr>
                        </pic:nvPicPr>
                        <pic:blipFill>
                          <a:blip r:embed="rId17" cstate="print"/>
                          <a:srcRect/>
                          <a:stretch>
                            <a:fillRect/>
                          </a:stretch>
                        </pic:blipFill>
                        <pic:spPr bwMode="auto">
                          <a:xfrm>
                            <a:off x="0" y="0"/>
                            <a:ext cx="180975" cy="238125"/>
                          </a:xfrm>
                          <a:prstGeom prst="rect">
                            <a:avLst/>
                          </a:prstGeom>
                          <a:noFill/>
                          <a:ln w="9525">
                            <a:noFill/>
                            <a:miter lim="800000"/>
                            <a:headEnd/>
                            <a:tailEnd/>
                          </a:ln>
                        </pic:spPr>
                      </pic:pic>
                    </a:graphicData>
                  </a:graphic>
                </wp:inline>
              </w:drawing>
            </w:r>
            <w:r>
              <w:rPr>
                <w:i/>
                <w:noProof/>
                <w:szCs w:val="20"/>
                <w:lang w:val="nl-NL" w:eastAsia="nl-NL"/>
              </w:rPr>
              <w:drawing>
                <wp:inline distT="0" distB="0" distL="0" distR="0">
                  <wp:extent cx="180975" cy="238125"/>
                  <wp:effectExtent l="19050" t="0" r="9525" b="0"/>
                  <wp:docPr id="69" name="Afbeelding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2"/>
                          <pic:cNvPicPr>
                            <a:picLocks noChangeAspect="1" noChangeArrowheads="1"/>
                          </pic:cNvPicPr>
                        </pic:nvPicPr>
                        <pic:blipFill>
                          <a:blip r:embed="rId17" cstate="print"/>
                          <a:srcRect/>
                          <a:stretch>
                            <a:fillRect/>
                          </a:stretch>
                        </pic:blipFill>
                        <pic:spPr bwMode="auto">
                          <a:xfrm>
                            <a:off x="0" y="0"/>
                            <a:ext cx="180975" cy="238125"/>
                          </a:xfrm>
                          <a:prstGeom prst="rect">
                            <a:avLst/>
                          </a:prstGeom>
                          <a:noFill/>
                          <a:ln w="9525">
                            <a:noFill/>
                            <a:miter lim="800000"/>
                            <a:headEnd/>
                            <a:tailEnd/>
                          </a:ln>
                        </pic:spPr>
                      </pic:pic>
                    </a:graphicData>
                  </a:graphic>
                </wp:inline>
              </w:drawing>
            </w:r>
            <w:r>
              <w:rPr>
                <w:i/>
                <w:noProof/>
                <w:szCs w:val="20"/>
                <w:lang w:val="nl-NL" w:eastAsia="nl-NL"/>
              </w:rPr>
              <w:drawing>
                <wp:inline distT="0" distB="0" distL="0" distR="0">
                  <wp:extent cx="180975" cy="238125"/>
                  <wp:effectExtent l="19050" t="0" r="9525" b="0"/>
                  <wp:docPr id="70" name="Afbeelding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3"/>
                          <pic:cNvPicPr>
                            <a:picLocks noChangeAspect="1" noChangeArrowheads="1"/>
                          </pic:cNvPicPr>
                        </pic:nvPicPr>
                        <pic:blipFill>
                          <a:blip r:embed="rId17" cstate="print"/>
                          <a:srcRect/>
                          <a:stretch>
                            <a:fillRect/>
                          </a:stretch>
                        </pic:blipFill>
                        <pic:spPr bwMode="auto">
                          <a:xfrm>
                            <a:off x="0" y="0"/>
                            <a:ext cx="180975" cy="238125"/>
                          </a:xfrm>
                          <a:prstGeom prst="rect">
                            <a:avLst/>
                          </a:prstGeom>
                          <a:noFill/>
                          <a:ln w="9525">
                            <a:noFill/>
                            <a:miter lim="800000"/>
                            <a:headEnd/>
                            <a:tailEnd/>
                          </a:ln>
                        </pic:spPr>
                      </pic:pic>
                    </a:graphicData>
                  </a:graphic>
                </wp:inline>
              </w:drawing>
            </w:r>
            <w:r>
              <w:rPr>
                <w:i/>
                <w:noProof/>
                <w:szCs w:val="20"/>
                <w:lang w:val="nl-NL" w:eastAsia="nl-NL"/>
              </w:rPr>
              <w:drawing>
                <wp:inline distT="0" distB="0" distL="0" distR="0">
                  <wp:extent cx="180975" cy="238125"/>
                  <wp:effectExtent l="19050" t="0" r="9525" b="0"/>
                  <wp:docPr id="71" name="Afbeelding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4"/>
                          <pic:cNvPicPr>
                            <a:picLocks noChangeAspect="1" noChangeArrowheads="1"/>
                          </pic:cNvPicPr>
                        </pic:nvPicPr>
                        <pic:blipFill>
                          <a:blip r:embed="rId17" cstate="print"/>
                          <a:srcRect/>
                          <a:stretch>
                            <a:fillRect/>
                          </a:stretch>
                        </pic:blipFill>
                        <pic:spPr bwMode="auto">
                          <a:xfrm>
                            <a:off x="0" y="0"/>
                            <a:ext cx="180975" cy="238125"/>
                          </a:xfrm>
                          <a:prstGeom prst="rect">
                            <a:avLst/>
                          </a:prstGeom>
                          <a:noFill/>
                          <a:ln w="9525">
                            <a:noFill/>
                            <a:miter lim="800000"/>
                            <a:headEnd/>
                            <a:tailEnd/>
                          </a:ln>
                        </pic:spPr>
                      </pic:pic>
                    </a:graphicData>
                  </a:graphic>
                </wp:inline>
              </w:drawing>
            </w:r>
          </w:p>
        </w:tc>
      </w:tr>
      <w:tr w:rsidR="003F1B5E" w:rsidRPr="00F13455" w:rsidTr="003F2060">
        <w:tc>
          <w:tcPr>
            <w:tcW w:w="7797" w:type="dxa"/>
          </w:tcPr>
          <w:p w:rsidR="003F1B5E" w:rsidRPr="00F13455" w:rsidRDefault="003F1B5E" w:rsidP="003F2060">
            <w:pPr>
              <w:pStyle w:val="Standardtext"/>
              <w:spacing w:before="0" w:after="0"/>
              <w:rPr>
                <w:lang w:val="en-GB"/>
              </w:rPr>
            </w:pPr>
            <w:r>
              <w:rPr>
                <w:lang w:val="en-GB"/>
              </w:rPr>
              <w:t>12</w:t>
            </w:r>
            <w:r w:rsidRPr="00F13455">
              <w:rPr>
                <w:lang w:val="en-GB"/>
              </w:rPr>
              <w:t>. Is the moderator or predictor effect clinically important?</w:t>
            </w:r>
          </w:p>
        </w:tc>
        <w:tc>
          <w:tcPr>
            <w:tcW w:w="1559" w:type="dxa"/>
          </w:tcPr>
          <w:p w:rsidR="003F1B5E" w:rsidRPr="00F13455" w:rsidRDefault="003F1B5E" w:rsidP="003F2060">
            <w:pPr>
              <w:spacing w:after="0" w:line="240" w:lineRule="auto"/>
              <w:rPr>
                <w:i/>
                <w:szCs w:val="20"/>
                <w:lang w:val="en-GB"/>
              </w:rPr>
            </w:pPr>
            <w:r>
              <w:rPr>
                <w:i/>
                <w:noProof/>
                <w:szCs w:val="20"/>
                <w:lang w:val="nl-NL" w:eastAsia="nl-NL"/>
              </w:rPr>
              <w:drawing>
                <wp:inline distT="0" distB="0" distL="0" distR="0">
                  <wp:extent cx="180975" cy="238125"/>
                  <wp:effectExtent l="19050" t="0" r="9525" b="0"/>
                  <wp:docPr id="72" name="Afbeelding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6"/>
                          <pic:cNvPicPr>
                            <a:picLocks noChangeAspect="1" noChangeArrowheads="1"/>
                          </pic:cNvPicPr>
                        </pic:nvPicPr>
                        <pic:blipFill>
                          <a:blip r:embed="rId17" cstate="print"/>
                          <a:srcRect/>
                          <a:stretch>
                            <a:fillRect/>
                          </a:stretch>
                        </pic:blipFill>
                        <pic:spPr bwMode="auto">
                          <a:xfrm>
                            <a:off x="0" y="0"/>
                            <a:ext cx="180975" cy="238125"/>
                          </a:xfrm>
                          <a:prstGeom prst="rect">
                            <a:avLst/>
                          </a:prstGeom>
                          <a:noFill/>
                          <a:ln w="9525">
                            <a:noFill/>
                            <a:miter lim="800000"/>
                            <a:headEnd/>
                            <a:tailEnd/>
                          </a:ln>
                        </pic:spPr>
                      </pic:pic>
                    </a:graphicData>
                  </a:graphic>
                </wp:inline>
              </w:drawing>
            </w:r>
            <w:r>
              <w:rPr>
                <w:i/>
                <w:noProof/>
                <w:szCs w:val="20"/>
                <w:lang w:val="nl-NL" w:eastAsia="nl-NL"/>
              </w:rPr>
              <w:drawing>
                <wp:inline distT="0" distB="0" distL="0" distR="0">
                  <wp:extent cx="180975" cy="238125"/>
                  <wp:effectExtent l="19050" t="0" r="9525" b="0"/>
                  <wp:docPr id="73" name="Afbeelding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7"/>
                          <pic:cNvPicPr>
                            <a:picLocks noChangeAspect="1" noChangeArrowheads="1"/>
                          </pic:cNvPicPr>
                        </pic:nvPicPr>
                        <pic:blipFill>
                          <a:blip r:embed="rId17" cstate="print"/>
                          <a:srcRect/>
                          <a:stretch>
                            <a:fillRect/>
                          </a:stretch>
                        </pic:blipFill>
                        <pic:spPr bwMode="auto">
                          <a:xfrm>
                            <a:off x="0" y="0"/>
                            <a:ext cx="180975" cy="238125"/>
                          </a:xfrm>
                          <a:prstGeom prst="rect">
                            <a:avLst/>
                          </a:prstGeom>
                          <a:noFill/>
                          <a:ln w="9525">
                            <a:noFill/>
                            <a:miter lim="800000"/>
                            <a:headEnd/>
                            <a:tailEnd/>
                          </a:ln>
                        </pic:spPr>
                      </pic:pic>
                    </a:graphicData>
                  </a:graphic>
                </wp:inline>
              </w:drawing>
            </w:r>
            <w:r>
              <w:rPr>
                <w:i/>
                <w:noProof/>
                <w:szCs w:val="20"/>
                <w:lang w:val="nl-NL" w:eastAsia="nl-NL"/>
              </w:rPr>
              <w:drawing>
                <wp:inline distT="0" distB="0" distL="0" distR="0">
                  <wp:extent cx="180975" cy="238125"/>
                  <wp:effectExtent l="19050" t="0" r="9525" b="0"/>
                  <wp:docPr id="74" name="Afbeelding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8"/>
                          <pic:cNvPicPr>
                            <a:picLocks noChangeAspect="1" noChangeArrowheads="1"/>
                          </pic:cNvPicPr>
                        </pic:nvPicPr>
                        <pic:blipFill>
                          <a:blip r:embed="rId17" cstate="print"/>
                          <a:srcRect/>
                          <a:stretch>
                            <a:fillRect/>
                          </a:stretch>
                        </pic:blipFill>
                        <pic:spPr bwMode="auto">
                          <a:xfrm>
                            <a:off x="0" y="0"/>
                            <a:ext cx="180975" cy="238125"/>
                          </a:xfrm>
                          <a:prstGeom prst="rect">
                            <a:avLst/>
                          </a:prstGeom>
                          <a:noFill/>
                          <a:ln w="9525">
                            <a:noFill/>
                            <a:miter lim="800000"/>
                            <a:headEnd/>
                            <a:tailEnd/>
                          </a:ln>
                        </pic:spPr>
                      </pic:pic>
                    </a:graphicData>
                  </a:graphic>
                </wp:inline>
              </w:drawing>
            </w:r>
            <w:r>
              <w:rPr>
                <w:i/>
                <w:noProof/>
                <w:szCs w:val="20"/>
                <w:lang w:val="nl-NL" w:eastAsia="nl-NL"/>
              </w:rPr>
              <w:drawing>
                <wp:inline distT="0" distB="0" distL="0" distR="0">
                  <wp:extent cx="180975" cy="238125"/>
                  <wp:effectExtent l="19050" t="0" r="9525" b="0"/>
                  <wp:docPr id="75" name="Afbeelding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9"/>
                          <pic:cNvPicPr>
                            <a:picLocks noChangeAspect="1" noChangeArrowheads="1"/>
                          </pic:cNvPicPr>
                        </pic:nvPicPr>
                        <pic:blipFill>
                          <a:blip r:embed="rId17" cstate="print"/>
                          <a:srcRect/>
                          <a:stretch>
                            <a:fillRect/>
                          </a:stretch>
                        </pic:blipFill>
                        <pic:spPr bwMode="auto">
                          <a:xfrm>
                            <a:off x="0" y="0"/>
                            <a:ext cx="180975" cy="238125"/>
                          </a:xfrm>
                          <a:prstGeom prst="rect">
                            <a:avLst/>
                          </a:prstGeom>
                          <a:noFill/>
                          <a:ln w="9525">
                            <a:noFill/>
                            <a:miter lim="800000"/>
                            <a:headEnd/>
                            <a:tailEnd/>
                          </a:ln>
                        </pic:spPr>
                      </pic:pic>
                    </a:graphicData>
                  </a:graphic>
                </wp:inline>
              </w:drawing>
            </w:r>
          </w:p>
        </w:tc>
      </w:tr>
    </w:tbl>
    <w:p w:rsidR="003F1B5E" w:rsidRPr="00F13455" w:rsidRDefault="003F1B5E" w:rsidP="003F1B5E">
      <w:pPr>
        <w:rPr>
          <w:lang w:val="en-GB"/>
        </w:rPr>
      </w:pPr>
    </w:p>
    <w:p w:rsidR="003F1B5E" w:rsidRPr="00F13455" w:rsidRDefault="003F1B5E" w:rsidP="003F1B5E">
      <w:pPr>
        <w:rPr>
          <w:lang w:val="en-GB"/>
        </w:rPr>
      </w:pPr>
      <w:r w:rsidRPr="00F13455">
        <w:rPr>
          <w:lang w:val="en-GB"/>
        </w:rPr>
        <w:br w:type="page"/>
      </w:r>
    </w:p>
    <w:tbl>
      <w:tblPr>
        <w:tblW w:w="9498" w:type="dxa"/>
        <w:tblInd w:w="-34" w:type="dxa"/>
        <w:tblLayout w:type="fixed"/>
        <w:tblLook w:val="04A0"/>
      </w:tblPr>
      <w:tblGrid>
        <w:gridCol w:w="7797"/>
        <w:gridCol w:w="1701"/>
      </w:tblGrid>
      <w:tr w:rsidR="003F1B5E" w:rsidRPr="00F13455" w:rsidTr="003F2060">
        <w:trPr>
          <w:trHeight w:val="300"/>
        </w:trPr>
        <w:tc>
          <w:tcPr>
            <w:tcW w:w="7797" w:type="dxa"/>
            <w:vAlign w:val="bottom"/>
          </w:tcPr>
          <w:p w:rsidR="003F1B5E" w:rsidRPr="00F13455" w:rsidRDefault="003F1B5E" w:rsidP="003F2060">
            <w:pPr>
              <w:spacing w:after="0" w:line="240" w:lineRule="auto"/>
              <w:rPr>
                <w:rFonts w:eastAsia="Times New Roman" w:cs="Arial"/>
                <w:b/>
                <w:bCs/>
                <w:lang w:val="en-GB"/>
              </w:rPr>
            </w:pPr>
          </w:p>
          <w:p w:rsidR="003F1B5E" w:rsidRPr="00F13455" w:rsidRDefault="003F1B5E" w:rsidP="003F2060">
            <w:pPr>
              <w:spacing w:after="0" w:line="240" w:lineRule="auto"/>
              <w:ind w:left="360"/>
              <w:rPr>
                <w:rFonts w:eastAsia="Times New Roman" w:cs="Arial"/>
                <w:b/>
                <w:bCs/>
                <w:i/>
                <w:szCs w:val="20"/>
                <w:lang w:val="en-GB"/>
              </w:rPr>
            </w:pPr>
          </w:p>
          <w:p w:rsidR="003F1B5E" w:rsidRPr="00F13455" w:rsidRDefault="003F1B5E" w:rsidP="003F2060">
            <w:pPr>
              <w:spacing w:after="0" w:line="240" w:lineRule="auto"/>
              <w:ind w:left="360"/>
              <w:rPr>
                <w:rFonts w:eastAsia="Times New Roman" w:cs="Arial"/>
                <w:b/>
                <w:bCs/>
                <w:i/>
                <w:szCs w:val="20"/>
                <w:lang w:val="en-GB"/>
              </w:rPr>
            </w:pPr>
          </w:p>
          <w:p w:rsidR="003F1B5E" w:rsidRPr="00F13455" w:rsidRDefault="003F1B5E" w:rsidP="003F2060">
            <w:pPr>
              <w:spacing w:after="0" w:line="240" w:lineRule="auto"/>
              <w:ind w:left="360"/>
              <w:rPr>
                <w:rFonts w:eastAsia="Times New Roman" w:cs="Arial"/>
                <w:b/>
                <w:bCs/>
                <w:i/>
                <w:szCs w:val="20"/>
                <w:lang w:val="en-GB"/>
              </w:rPr>
            </w:pPr>
          </w:p>
          <w:p w:rsidR="003F1B5E" w:rsidRPr="00F13455" w:rsidRDefault="003F1B5E" w:rsidP="003F2060">
            <w:pPr>
              <w:spacing w:after="0" w:line="240" w:lineRule="auto"/>
              <w:ind w:left="360"/>
              <w:rPr>
                <w:rFonts w:eastAsia="Times New Roman" w:cs="Arial"/>
                <w:b/>
                <w:bCs/>
                <w:i/>
                <w:szCs w:val="20"/>
                <w:lang w:val="en-GB"/>
              </w:rPr>
            </w:pPr>
          </w:p>
          <w:p w:rsidR="003F1B5E" w:rsidRPr="00F13455" w:rsidRDefault="003F1B5E" w:rsidP="003F2060">
            <w:pPr>
              <w:spacing w:after="0" w:line="240" w:lineRule="auto"/>
              <w:ind w:left="360"/>
              <w:rPr>
                <w:rFonts w:eastAsia="Times New Roman" w:cs="Arial"/>
                <w:b/>
                <w:bCs/>
                <w:i/>
                <w:szCs w:val="20"/>
                <w:lang w:val="en-GB"/>
              </w:rPr>
            </w:pPr>
          </w:p>
          <w:p w:rsidR="003F1B5E" w:rsidRPr="00F13455" w:rsidRDefault="003F1B5E" w:rsidP="003F2060">
            <w:pPr>
              <w:spacing w:after="0" w:line="240" w:lineRule="auto"/>
              <w:rPr>
                <w:b/>
                <w:sz w:val="24"/>
                <w:szCs w:val="24"/>
                <w:lang w:val="en-GB"/>
              </w:rPr>
            </w:pPr>
            <w:r w:rsidRPr="00F13455">
              <w:rPr>
                <w:b/>
                <w:szCs w:val="20"/>
                <w:lang w:val="en-GB"/>
              </w:rPr>
              <w:t>Overall judgement</w:t>
            </w:r>
          </w:p>
        </w:tc>
        <w:tc>
          <w:tcPr>
            <w:tcW w:w="1701" w:type="dxa"/>
            <w:textDirection w:val="btLr"/>
          </w:tcPr>
          <w:p w:rsidR="003F1B5E" w:rsidRPr="00F13455" w:rsidRDefault="003F1B5E" w:rsidP="003F2060">
            <w:pPr>
              <w:spacing w:after="0" w:line="288" w:lineRule="auto"/>
              <w:ind w:left="113" w:right="113"/>
              <w:rPr>
                <w:szCs w:val="20"/>
                <w:lang w:val="en-GB"/>
              </w:rPr>
            </w:pPr>
            <w:r w:rsidRPr="00F13455">
              <w:rPr>
                <w:szCs w:val="20"/>
                <w:lang w:val="en-GB"/>
              </w:rPr>
              <w:t>Yes</w:t>
            </w:r>
          </w:p>
          <w:p w:rsidR="003F1B5E" w:rsidRPr="00F13455" w:rsidRDefault="003F1B5E" w:rsidP="003F2060">
            <w:pPr>
              <w:spacing w:after="0" w:line="288" w:lineRule="auto"/>
              <w:ind w:left="113" w:right="113"/>
              <w:rPr>
                <w:szCs w:val="20"/>
                <w:lang w:val="en-GB"/>
              </w:rPr>
            </w:pPr>
            <w:r w:rsidRPr="00F13455">
              <w:rPr>
                <w:szCs w:val="20"/>
                <w:lang w:val="en-GB"/>
              </w:rPr>
              <w:t>No</w:t>
            </w:r>
          </w:p>
          <w:p w:rsidR="003F1B5E" w:rsidRPr="00F13455" w:rsidRDefault="003F1B5E" w:rsidP="003F2060">
            <w:pPr>
              <w:spacing w:after="0" w:line="288" w:lineRule="auto"/>
              <w:ind w:left="113" w:right="113"/>
              <w:rPr>
                <w:szCs w:val="20"/>
                <w:lang w:val="en-GB"/>
              </w:rPr>
            </w:pPr>
            <w:r w:rsidRPr="00F13455">
              <w:rPr>
                <w:szCs w:val="20"/>
                <w:lang w:val="en-GB"/>
              </w:rPr>
              <w:t>Don't know</w:t>
            </w:r>
          </w:p>
          <w:p w:rsidR="003F1B5E" w:rsidRPr="00F13455" w:rsidRDefault="003F1B5E" w:rsidP="003F2060">
            <w:pPr>
              <w:spacing w:after="0" w:line="240" w:lineRule="auto"/>
              <w:ind w:left="113" w:right="113"/>
              <w:rPr>
                <w:szCs w:val="20"/>
                <w:lang w:val="en-GB"/>
              </w:rPr>
            </w:pPr>
          </w:p>
        </w:tc>
      </w:tr>
      <w:tr w:rsidR="003F1B5E" w:rsidRPr="00F13455" w:rsidTr="003F2060">
        <w:tc>
          <w:tcPr>
            <w:tcW w:w="7797" w:type="dxa"/>
            <w:tcBorders>
              <w:bottom w:val="single" w:sz="4" w:space="0" w:color="auto"/>
            </w:tcBorders>
          </w:tcPr>
          <w:p w:rsidR="003F1B5E" w:rsidRPr="00F13455" w:rsidRDefault="003F1B5E" w:rsidP="003F2060">
            <w:pPr>
              <w:spacing w:line="240" w:lineRule="auto"/>
              <w:rPr>
                <w:lang w:val="en-GB"/>
              </w:rPr>
            </w:pPr>
            <w:r w:rsidRPr="00F13455">
              <w:rPr>
                <w:lang w:val="en-GB"/>
              </w:rPr>
              <w:t>Considering your conclusions regarding overall quality and items 1-1</w:t>
            </w:r>
            <w:r>
              <w:rPr>
                <w:lang w:val="en-GB"/>
              </w:rPr>
              <w:t>2</w:t>
            </w:r>
            <w:r w:rsidRPr="00F13455">
              <w:rPr>
                <w:lang w:val="en-GB"/>
              </w:rPr>
              <w:t xml:space="preserve">, would you say that claims regarding moderation or prediction of treatment outcomes are sufficiently substantiated and sufficiently relevant to take into account when making recommendations for treatment decisions? </w:t>
            </w:r>
          </w:p>
          <w:p w:rsidR="003F1B5E" w:rsidRPr="00F13455" w:rsidRDefault="003F1B5E" w:rsidP="003F2060">
            <w:pPr>
              <w:spacing w:after="0" w:line="240" w:lineRule="auto"/>
              <w:rPr>
                <w:lang w:val="en-GB"/>
              </w:rPr>
            </w:pPr>
            <w:r w:rsidRPr="00F13455">
              <w:rPr>
                <w:lang w:val="en-GB"/>
              </w:rPr>
              <w:t>Please clarify your main arguments to support your conclusion:</w:t>
            </w:r>
          </w:p>
        </w:tc>
        <w:tc>
          <w:tcPr>
            <w:tcW w:w="1701" w:type="dxa"/>
            <w:tcBorders>
              <w:bottom w:val="single" w:sz="4" w:space="0" w:color="auto"/>
            </w:tcBorders>
          </w:tcPr>
          <w:p w:rsidR="003F1B5E" w:rsidRPr="00F13455" w:rsidRDefault="003F1B5E" w:rsidP="003F2060">
            <w:pPr>
              <w:spacing w:after="0" w:line="240" w:lineRule="auto"/>
              <w:rPr>
                <w:i/>
                <w:noProof/>
                <w:szCs w:val="20"/>
                <w:lang w:val="en-GB" w:eastAsia="en-GB"/>
              </w:rPr>
            </w:pPr>
            <w:r>
              <w:rPr>
                <w:i/>
                <w:noProof/>
                <w:szCs w:val="20"/>
                <w:lang w:val="nl-NL" w:eastAsia="nl-NL"/>
              </w:rPr>
              <w:drawing>
                <wp:inline distT="0" distB="0" distL="0" distR="0">
                  <wp:extent cx="180975" cy="238125"/>
                  <wp:effectExtent l="19050" t="0" r="9525" b="0"/>
                  <wp:docPr id="76" name="Afbeelding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6"/>
                          <pic:cNvPicPr>
                            <a:picLocks noChangeAspect="1" noChangeArrowheads="1"/>
                          </pic:cNvPicPr>
                        </pic:nvPicPr>
                        <pic:blipFill>
                          <a:blip r:embed="rId17" cstate="print"/>
                          <a:srcRect/>
                          <a:stretch>
                            <a:fillRect/>
                          </a:stretch>
                        </pic:blipFill>
                        <pic:spPr bwMode="auto">
                          <a:xfrm>
                            <a:off x="0" y="0"/>
                            <a:ext cx="180975" cy="238125"/>
                          </a:xfrm>
                          <a:prstGeom prst="rect">
                            <a:avLst/>
                          </a:prstGeom>
                          <a:noFill/>
                          <a:ln w="9525">
                            <a:noFill/>
                            <a:miter lim="800000"/>
                            <a:headEnd/>
                            <a:tailEnd/>
                          </a:ln>
                        </pic:spPr>
                      </pic:pic>
                    </a:graphicData>
                  </a:graphic>
                </wp:inline>
              </w:drawing>
            </w:r>
            <w:r>
              <w:rPr>
                <w:i/>
                <w:noProof/>
                <w:szCs w:val="20"/>
                <w:lang w:val="nl-NL" w:eastAsia="nl-NL"/>
              </w:rPr>
              <w:drawing>
                <wp:inline distT="0" distB="0" distL="0" distR="0">
                  <wp:extent cx="180975" cy="238125"/>
                  <wp:effectExtent l="19050" t="0" r="9525" b="0"/>
                  <wp:docPr id="77" name="Afbeelding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6"/>
                          <pic:cNvPicPr>
                            <a:picLocks noChangeAspect="1" noChangeArrowheads="1"/>
                          </pic:cNvPicPr>
                        </pic:nvPicPr>
                        <pic:blipFill>
                          <a:blip r:embed="rId17" cstate="print"/>
                          <a:srcRect/>
                          <a:stretch>
                            <a:fillRect/>
                          </a:stretch>
                        </pic:blipFill>
                        <pic:spPr bwMode="auto">
                          <a:xfrm>
                            <a:off x="0" y="0"/>
                            <a:ext cx="180975" cy="238125"/>
                          </a:xfrm>
                          <a:prstGeom prst="rect">
                            <a:avLst/>
                          </a:prstGeom>
                          <a:noFill/>
                          <a:ln w="9525">
                            <a:noFill/>
                            <a:miter lim="800000"/>
                            <a:headEnd/>
                            <a:tailEnd/>
                          </a:ln>
                        </pic:spPr>
                      </pic:pic>
                    </a:graphicData>
                  </a:graphic>
                </wp:inline>
              </w:drawing>
            </w:r>
            <w:r>
              <w:rPr>
                <w:i/>
                <w:noProof/>
                <w:szCs w:val="20"/>
                <w:lang w:val="nl-NL" w:eastAsia="nl-NL"/>
              </w:rPr>
              <w:drawing>
                <wp:inline distT="0" distB="0" distL="0" distR="0">
                  <wp:extent cx="180975" cy="238125"/>
                  <wp:effectExtent l="19050" t="0" r="9525" b="0"/>
                  <wp:docPr id="78" name="Afbeelding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6"/>
                          <pic:cNvPicPr>
                            <a:picLocks noChangeAspect="1" noChangeArrowheads="1"/>
                          </pic:cNvPicPr>
                        </pic:nvPicPr>
                        <pic:blipFill>
                          <a:blip r:embed="rId17" cstate="print"/>
                          <a:srcRect/>
                          <a:stretch>
                            <a:fillRect/>
                          </a:stretch>
                        </pic:blipFill>
                        <pic:spPr bwMode="auto">
                          <a:xfrm>
                            <a:off x="0" y="0"/>
                            <a:ext cx="180975" cy="238125"/>
                          </a:xfrm>
                          <a:prstGeom prst="rect">
                            <a:avLst/>
                          </a:prstGeom>
                          <a:noFill/>
                          <a:ln w="9525">
                            <a:noFill/>
                            <a:miter lim="800000"/>
                            <a:headEnd/>
                            <a:tailEnd/>
                          </a:ln>
                        </pic:spPr>
                      </pic:pic>
                    </a:graphicData>
                  </a:graphic>
                </wp:inline>
              </w:drawing>
            </w:r>
          </w:p>
        </w:tc>
      </w:tr>
      <w:tr w:rsidR="003F1B5E" w:rsidRPr="00F13455" w:rsidTr="003F2060">
        <w:trPr>
          <w:trHeight w:val="3760"/>
        </w:trPr>
        <w:tc>
          <w:tcPr>
            <w:tcW w:w="7797" w:type="dxa"/>
            <w:tcBorders>
              <w:top w:val="single" w:sz="4" w:space="0" w:color="auto"/>
              <w:left w:val="single" w:sz="4" w:space="0" w:color="auto"/>
              <w:bottom w:val="single" w:sz="4" w:space="0" w:color="auto"/>
            </w:tcBorders>
          </w:tcPr>
          <w:p w:rsidR="003F1B5E" w:rsidRPr="00F13455" w:rsidRDefault="003F1B5E" w:rsidP="003F2060">
            <w:pPr>
              <w:spacing w:line="240" w:lineRule="auto"/>
              <w:rPr>
                <w:lang w:val="en-GB"/>
              </w:rPr>
            </w:pPr>
          </w:p>
        </w:tc>
        <w:tc>
          <w:tcPr>
            <w:tcW w:w="1701" w:type="dxa"/>
            <w:tcBorders>
              <w:top w:val="single" w:sz="4" w:space="0" w:color="auto"/>
              <w:bottom w:val="single" w:sz="4" w:space="0" w:color="auto"/>
              <w:right w:val="single" w:sz="4" w:space="0" w:color="auto"/>
            </w:tcBorders>
          </w:tcPr>
          <w:p w:rsidR="003F1B5E" w:rsidRPr="00F13455" w:rsidRDefault="003F1B5E" w:rsidP="003F2060">
            <w:pPr>
              <w:spacing w:after="0" w:line="240" w:lineRule="auto"/>
              <w:rPr>
                <w:i/>
                <w:noProof/>
                <w:szCs w:val="20"/>
                <w:lang w:val="en-GB" w:eastAsia="en-GB"/>
              </w:rPr>
            </w:pPr>
          </w:p>
        </w:tc>
      </w:tr>
    </w:tbl>
    <w:p w:rsidR="003F1B5E" w:rsidRPr="00F13455" w:rsidRDefault="003F1B5E" w:rsidP="003F1B5E">
      <w:pPr>
        <w:jc w:val="center"/>
        <w:rPr>
          <w:b/>
          <w:sz w:val="24"/>
          <w:szCs w:val="24"/>
          <w:lang w:val="en-GB"/>
        </w:rPr>
      </w:pPr>
      <w:r w:rsidRPr="00F13455">
        <w:rPr>
          <w:lang w:val="en-GB"/>
        </w:rPr>
        <w:br w:type="page"/>
      </w:r>
      <w:r w:rsidRPr="00F13455">
        <w:rPr>
          <w:b/>
          <w:sz w:val="24"/>
          <w:szCs w:val="24"/>
          <w:lang w:val="en-GB"/>
        </w:rPr>
        <w:lastRenderedPageBreak/>
        <w:t>Appraisal of moderators and predictors for treatment effects in a body of evidence</w:t>
      </w:r>
    </w:p>
    <w:p w:rsidR="003F1B5E" w:rsidRPr="00F13455" w:rsidRDefault="003F1B5E" w:rsidP="003F1B5E">
      <w:pPr>
        <w:spacing w:after="240"/>
        <w:rPr>
          <w:lang w:val="en-GB"/>
        </w:rPr>
      </w:pPr>
      <w:r w:rsidRPr="00F13455">
        <w:rPr>
          <w:lang w:val="en-GB"/>
        </w:rPr>
        <w:t>Specific candidate moderators or predictors of treatment effect may have been explored in multiple studies. Appraisal of such a body of evidence is important as some aspects of appraisal, such as comparison of effects between studies or relevance of a moderator or predictor effect, become apparent only after moderator or predicting findings have been collected from multiple studies</w:t>
      </w:r>
      <w:r w:rsidR="00202903">
        <w:rPr>
          <w:lang w:val="en-GB"/>
        </w:rPr>
        <w:t>.</w:t>
      </w:r>
    </w:p>
    <w:p w:rsidR="003F1B5E" w:rsidRPr="00F13455" w:rsidRDefault="003F1B5E" w:rsidP="003F1B5E">
      <w:pPr>
        <w:spacing w:after="0"/>
        <w:rPr>
          <w:lang w:val="en-GB"/>
        </w:rPr>
      </w:pPr>
      <w:r w:rsidRPr="00F13455">
        <w:rPr>
          <w:lang w:val="en-GB"/>
        </w:rPr>
        <w:t>For such cases, items 1</w:t>
      </w:r>
      <w:r>
        <w:rPr>
          <w:lang w:val="en-GB"/>
        </w:rPr>
        <w:t>0</w:t>
      </w:r>
      <w:r w:rsidRPr="00F13455">
        <w:rPr>
          <w:lang w:val="en-GB"/>
        </w:rPr>
        <w:t>-1</w:t>
      </w:r>
      <w:r>
        <w:rPr>
          <w:lang w:val="en-GB"/>
        </w:rPr>
        <w:t>2</w:t>
      </w:r>
      <w:r w:rsidRPr="00F13455">
        <w:rPr>
          <w:lang w:val="en-GB"/>
        </w:rPr>
        <w:t xml:space="preserve"> are repeated here as they apply to the summarised or pooled effect and may be answered differently as compared to individual studies. For example, smaller studies may find apparently large and clinically important effects, but when pooled with other, larger studies, the effect may no longer be statistically or clinically significant.</w:t>
      </w:r>
      <w:r w:rsidR="004F3C66">
        <w:rPr>
          <w:lang w:val="en-GB"/>
        </w:rPr>
        <w:t xml:space="preserve"> These items can also be used to appraise studies within meta-analyses</w:t>
      </w:r>
      <w:r w:rsidR="00C3718D">
        <w:rPr>
          <w:lang w:val="en-GB"/>
        </w:rPr>
        <w:t>, not meta-analyses themselves</w:t>
      </w:r>
      <w:r w:rsidR="004F3C66">
        <w:rPr>
          <w:lang w:val="en-GB"/>
        </w:rPr>
        <w:t>.</w:t>
      </w:r>
    </w:p>
    <w:tbl>
      <w:tblPr>
        <w:tblW w:w="9322" w:type="dxa"/>
        <w:tblLayout w:type="fixed"/>
        <w:tblLook w:val="06A0"/>
      </w:tblPr>
      <w:tblGrid>
        <w:gridCol w:w="7763"/>
        <w:gridCol w:w="1559"/>
      </w:tblGrid>
      <w:tr w:rsidR="003F1B5E" w:rsidRPr="00A67803" w:rsidTr="003F2060">
        <w:trPr>
          <w:cantSplit/>
          <w:trHeight w:val="1751"/>
        </w:trPr>
        <w:tc>
          <w:tcPr>
            <w:tcW w:w="7763" w:type="dxa"/>
          </w:tcPr>
          <w:p w:rsidR="003F1B5E" w:rsidRPr="00F13455" w:rsidRDefault="003F1B5E" w:rsidP="003F2060">
            <w:pPr>
              <w:spacing w:after="0" w:line="240" w:lineRule="auto"/>
              <w:rPr>
                <w:b/>
                <w:szCs w:val="20"/>
                <w:lang w:val="en-GB"/>
              </w:rPr>
            </w:pPr>
          </w:p>
          <w:p w:rsidR="003F1B5E" w:rsidRPr="00F13455" w:rsidRDefault="003F1B5E" w:rsidP="003F2060">
            <w:pPr>
              <w:spacing w:after="0" w:line="240" w:lineRule="auto"/>
              <w:rPr>
                <w:b/>
                <w:szCs w:val="20"/>
                <w:lang w:val="en-GB"/>
              </w:rPr>
            </w:pPr>
          </w:p>
          <w:p w:rsidR="003F1B5E" w:rsidRPr="00F13455" w:rsidRDefault="003F1B5E" w:rsidP="003F2060">
            <w:pPr>
              <w:spacing w:after="0" w:line="240" w:lineRule="auto"/>
              <w:rPr>
                <w:b/>
                <w:szCs w:val="20"/>
                <w:lang w:val="en-GB"/>
              </w:rPr>
            </w:pPr>
          </w:p>
          <w:p w:rsidR="003F1B5E" w:rsidRPr="00F13455" w:rsidRDefault="003F1B5E" w:rsidP="003F2060">
            <w:pPr>
              <w:spacing w:after="0" w:line="240" w:lineRule="auto"/>
              <w:rPr>
                <w:b/>
                <w:szCs w:val="20"/>
                <w:lang w:val="en-GB"/>
              </w:rPr>
            </w:pPr>
          </w:p>
          <w:p w:rsidR="003F1B5E" w:rsidRPr="00F13455" w:rsidRDefault="003F1B5E" w:rsidP="003F2060">
            <w:pPr>
              <w:spacing w:after="0" w:line="240" w:lineRule="auto"/>
              <w:rPr>
                <w:b/>
                <w:szCs w:val="20"/>
                <w:lang w:val="en-GB"/>
              </w:rPr>
            </w:pPr>
          </w:p>
          <w:p w:rsidR="003F1B5E" w:rsidRPr="00F13455" w:rsidRDefault="003F1B5E" w:rsidP="003F2060">
            <w:pPr>
              <w:spacing w:after="0" w:line="240" w:lineRule="auto"/>
              <w:rPr>
                <w:b/>
                <w:szCs w:val="20"/>
                <w:lang w:val="en-GB"/>
              </w:rPr>
            </w:pPr>
            <w:r w:rsidRPr="00F13455">
              <w:rPr>
                <w:b/>
                <w:szCs w:val="20"/>
                <w:lang w:val="en-GB"/>
              </w:rPr>
              <w:t>Body of evidence</w:t>
            </w:r>
          </w:p>
        </w:tc>
        <w:tc>
          <w:tcPr>
            <w:tcW w:w="1559" w:type="dxa"/>
            <w:textDirection w:val="btLr"/>
          </w:tcPr>
          <w:p w:rsidR="003F1B5E" w:rsidRPr="00F13455" w:rsidRDefault="003F1B5E" w:rsidP="003F2060">
            <w:pPr>
              <w:spacing w:after="0" w:line="288" w:lineRule="auto"/>
              <w:ind w:left="113" w:right="113"/>
              <w:rPr>
                <w:szCs w:val="20"/>
                <w:lang w:val="en-GB"/>
              </w:rPr>
            </w:pPr>
            <w:r w:rsidRPr="00F13455">
              <w:rPr>
                <w:szCs w:val="20"/>
                <w:lang w:val="en-GB"/>
              </w:rPr>
              <w:t>Yes</w:t>
            </w:r>
          </w:p>
          <w:p w:rsidR="003F1B5E" w:rsidRPr="00F13455" w:rsidRDefault="003F1B5E" w:rsidP="003F2060">
            <w:pPr>
              <w:spacing w:after="0" w:line="288" w:lineRule="auto"/>
              <w:ind w:left="113" w:right="113"/>
              <w:rPr>
                <w:szCs w:val="20"/>
                <w:lang w:val="en-GB"/>
              </w:rPr>
            </w:pPr>
            <w:r w:rsidRPr="00F13455">
              <w:rPr>
                <w:szCs w:val="20"/>
                <w:lang w:val="en-GB"/>
              </w:rPr>
              <w:t>No</w:t>
            </w:r>
          </w:p>
          <w:p w:rsidR="003F1B5E" w:rsidRPr="00F13455" w:rsidRDefault="003F1B5E" w:rsidP="003F2060">
            <w:pPr>
              <w:spacing w:after="0" w:line="288" w:lineRule="auto"/>
              <w:ind w:left="113" w:right="113"/>
              <w:rPr>
                <w:szCs w:val="20"/>
                <w:lang w:val="en-GB"/>
              </w:rPr>
            </w:pPr>
            <w:r w:rsidRPr="00F13455">
              <w:rPr>
                <w:szCs w:val="20"/>
                <w:lang w:val="en-GB"/>
              </w:rPr>
              <w:t>Don't know</w:t>
            </w:r>
          </w:p>
          <w:p w:rsidR="003F1B5E" w:rsidRPr="00F13455" w:rsidRDefault="003F1B5E" w:rsidP="003F2060">
            <w:pPr>
              <w:spacing w:after="0" w:line="288" w:lineRule="auto"/>
              <w:ind w:left="113" w:right="113"/>
              <w:rPr>
                <w:szCs w:val="20"/>
                <w:lang w:val="en-GB"/>
              </w:rPr>
            </w:pPr>
            <w:r w:rsidRPr="00F13455">
              <w:rPr>
                <w:szCs w:val="20"/>
                <w:lang w:val="en-GB"/>
              </w:rPr>
              <w:t>Not applicable</w:t>
            </w:r>
          </w:p>
        </w:tc>
      </w:tr>
      <w:tr w:rsidR="003F1B5E" w:rsidRPr="00F13455" w:rsidTr="003F2060">
        <w:tc>
          <w:tcPr>
            <w:tcW w:w="7763" w:type="dxa"/>
          </w:tcPr>
          <w:p w:rsidR="003F1B5E" w:rsidRPr="00F13455" w:rsidDel="00777AB2" w:rsidRDefault="003F1B5E" w:rsidP="003F2060">
            <w:pPr>
              <w:spacing w:after="0"/>
              <w:rPr>
                <w:lang w:val="en-GB"/>
              </w:rPr>
            </w:pPr>
            <w:r>
              <w:rPr>
                <w:lang w:val="en-GB"/>
              </w:rPr>
              <w:t>10</w:t>
            </w:r>
            <w:r w:rsidRPr="00F13455">
              <w:rPr>
                <w:lang w:val="en-GB"/>
              </w:rPr>
              <w:t xml:space="preserve">. Was the moderator or predictor effect consistent with related moderators or predictors, or across related outcomes measured </w:t>
            </w:r>
            <w:r w:rsidRPr="00F13455">
              <w:rPr>
                <w:u w:val="single"/>
                <w:lang w:val="en-GB"/>
              </w:rPr>
              <w:t>between the studies</w:t>
            </w:r>
            <w:r w:rsidRPr="00F13455">
              <w:rPr>
                <w:lang w:val="en-GB"/>
              </w:rPr>
              <w:t>?</w:t>
            </w:r>
          </w:p>
        </w:tc>
        <w:tc>
          <w:tcPr>
            <w:tcW w:w="1559" w:type="dxa"/>
          </w:tcPr>
          <w:p w:rsidR="003F1B5E" w:rsidRPr="00F13455" w:rsidRDefault="003F1B5E" w:rsidP="003F2060">
            <w:pPr>
              <w:spacing w:after="0" w:line="240" w:lineRule="auto"/>
              <w:rPr>
                <w:i/>
                <w:noProof/>
                <w:szCs w:val="20"/>
                <w:lang w:val="en-GB" w:eastAsia="en-GB"/>
              </w:rPr>
            </w:pPr>
            <w:r>
              <w:rPr>
                <w:i/>
                <w:noProof/>
                <w:szCs w:val="20"/>
                <w:lang w:val="nl-NL" w:eastAsia="nl-NL"/>
              </w:rPr>
              <w:drawing>
                <wp:inline distT="0" distB="0" distL="0" distR="0">
                  <wp:extent cx="180975" cy="238125"/>
                  <wp:effectExtent l="19050" t="0" r="9525" b="0"/>
                  <wp:docPr id="79" name="Afbeelding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9"/>
                          <pic:cNvPicPr>
                            <a:picLocks noChangeAspect="1" noChangeArrowheads="1"/>
                          </pic:cNvPicPr>
                        </pic:nvPicPr>
                        <pic:blipFill>
                          <a:blip r:embed="rId17" cstate="print"/>
                          <a:srcRect/>
                          <a:stretch>
                            <a:fillRect/>
                          </a:stretch>
                        </pic:blipFill>
                        <pic:spPr bwMode="auto">
                          <a:xfrm>
                            <a:off x="0" y="0"/>
                            <a:ext cx="180975" cy="238125"/>
                          </a:xfrm>
                          <a:prstGeom prst="rect">
                            <a:avLst/>
                          </a:prstGeom>
                          <a:noFill/>
                          <a:ln w="9525">
                            <a:noFill/>
                            <a:miter lim="800000"/>
                            <a:headEnd/>
                            <a:tailEnd/>
                          </a:ln>
                        </pic:spPr>
                      </pic:pic>
                    </a:graphicData>
                  </a:graphic>
                </wp:inline>
              </w:drawing>
            </w:r>
            <w:r>
              <w:rPr>
                <w:i/>
                <w:noProof/>
                <w:szCs w:val="20"/>
                <w:lang w:val="nl-NL" w:eastAsia="nl-NL"/>
              </w:rPr>
              <w:drawing>
                <wp:inline distT="0" distB="0" distL="0" distR="0">
                  <wp:extent cx="180975" cy="238125"/>
                  <wp:effectExtent l="19050" t="0" r="9525" b="0"/>
                  <wp:docPr id="80" name="Afbeelding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9"/>
                          <pic:cNvPicPr>
                            <a:picLocks noChangeAspect="1" noChangeArrowheads="1"/>
                          </pic:cNvPicPr>
                        </pic:nvPicPr>
                        <pic:blipFill>
                          <a:blip r:embed="rId17" cstate="print"/>
                          <a:srcRect/>
                          <a:stretch>
                            <a:fillRect/>
                          </a:stretch>
                        </pic:blipFill>
                        <pic:spPr bwMode="auto">
                          <a:xfrm>
                            <a:off x="0" y="0"/>
                            <a:ext cx="180975" cy="238125"/>
                          </a:xfrm>
                          <a:prstGeom prst="rect">
                            <a:avLst/>
                          </a:prstGeom>
                          <a:noFill/>
                          <a:ln w="9525">
                            <a:noFill/>
                            <a:miter lim="800000"/>
                            <a:headEnd/>
                            <a:tailEnd/>
                          </a:ln>
                        </pic:spPr>
                      </pic:pic>
                    </a:graphicData>
                  </a:graphic>
                </wp:inline>
              </w:drawing>
            </w:r>
            <w:r>
              <w:rPr>
                <w:i/>
                <w:noProof/>
                <w:szCs w:val="20"/>
                <w:lang w:val="nl-NL" w:eastAsia="nl-NL"/>
              </w:rPr>
              <w:drawing>
                <wp:inline distT="0" distB="0" distL="0" distR="0">
                  <wp:extent cx="180975" cy="238125"/>
                  <wp:effectExtent l="19050" t="0" r="9525" b="0"/>
                  <wp:docPr id="81" name="Afbeelding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9"/>
                          <pic:cNvPicPr>
                            <a:picLocks noChangeAspect="1" noChangeArrowheads="1"/>
                          </pic:cNvPicPr>
                        </pic:nvPicPr>
                        <pic:blipFill>
                          <a:blip r:embed="rId17" cstate="print"/>
                          <a:srcRect/>
                          <a:stretch>
                            <a:fillRect/>
                          </a:stretch>
                        </pic:blipFill>
                        <pic:spPr bwMode="auto">
                          <a:xfrm>
                            <a:off x="0" y="0"/>
                            <a:ext cx="180975" cy="238125"/>
                          </a:xfrm>
                          <a:prstGeom prst="rect">
                            <a:avLst/>
                          </a:prstGeom>
                          <a:noFill/>
                          <a:ln w="9525">
                            <a:noFill/>
                            <a:miter lim="800000"/>
                            <a:headEnd/>
                            <a:tailEnd/>
                          </a:ln>
                        </pic:spPr>
                      </pic:pic>
                    </a:graphicData>
                  </a:graphic>
                </wp:inline>
              </w:drawing>
            </w:r>
            <w:r>
              <w:rPr>
                <w:i/>
                <w:noProof/>
                <w:szCs w:val="20"/>
                <w:lang w:val="nl-NL" w:eastAsia="nl-NL"/>
              </w:rPr>
              <w:drawing>
                <wp:inline distT="0" distB="0" distL="0" distR="0">
                  <wp:extent cx="180975" cy="238125"/>
                  <wp:effectExtent l="19050" t="0" r="9525" b="0"/>
                  <wp:docPr id="82" name="Afbeelding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9"/>
                          <pic:cNvPicPr>
                            <a:picLocks noChangeAspect="1" noChangeArrowheads="1"/>
                          </pic:cNvPicPr>
                        </pic:nvPicPr>
                        <pic:blipFill>
                          <a:blip r:embed="rId17" cstate="print"/>
                          <a:srcRect/>
                          <a:stretch>
                            <a:fillRect/>
                          </a:stretch>
                        </pic:blipFill>
                        <pic:spPr bwMode="auto">
                          <a:xfrm>
                            <a:off x="0" y="0"/>
                            <a:ext cx="180975" cy="238125"/>
                          </a:xfrm>
                          <a:prstGeom prst="rect">
                            <a:avLst/>
                          </a:prstGeom>
                          <a:noFill/>
                          <a:ln w="9525">
                            <a:noFill/>
                            <a:miter lim="800000"/>
                            <a:headEnd/>
                            <a:tailEnd/>
                          </a:ln>
                        </pic:spPr>
                      </pic:pic>
                    </a:graphicData>
                  </a:graphic>
                </wp:inline>
              </w:drawing>
            </w:r>
          </w:p>
        </w:tc>
      </w:tr>
      <w:tr w:rsidR="003F1B5E" w:rsidRPr="00F13455" w:rsidTr="003F2060">
        <w:tc>
          <w:tcPr>
            <w:tcW w:w="7763" w:type="dxa"/>
          </w:tcPr>
          <w:p w:rsidR="003F1B5E" w:rsidRPr="00F13455" w:rsidDel="00777AB2" w:rsidRDefault="003F1B5E" w:rsidP="003F2060">
            <w:pPr>
              <w:spacing w:after="0"/>
              <w:rPr>
                <w:lang w:val="en-GB"/>
              </w:rPr>
            </w:pPr>
            <w:r>
              <w:rPr>
                <w:lang w:val="en-GB"/>
              </w:rPr>
              <w:t>11</w:t>
            </w:r>
            <w:r w:rsidRPr="00F13455">
              <w:rPr>
                <w:lang w:val="en-GB"/>
              </w:rPr>
              <w:t>. Were the setting and study population comparable to the setting and population in which the information would be used?</w:t>
            </w:r>
          </w:p>
        </w:tc>
        <w:tc>
          <w:tcPr>
            <w:tcW w:w="1559" w:type="dxa"/>
          </w:tcPr>
          <w:p w:rsidR="003F1B5E" w:rsidRPr="00F13455" w:rsidRDefault="003F1B5E" w:rsidP="003F2060">
            <w:pPr>
              <w:spacing w:after="0" w:line="240" w:lineRule="auto"/>
              <w:rPr>
                <w:i/>
                <w:noProof/>
                <w:szCs w:val="20"/>
                <w:lang w:val="en-GB" w:eastAsia="en-GB"/>
              </w:rPr>
            </w:pPr>
            <w:r>
              <w:rPr>
                <w:i/>
                <w:noProof/>
                <w:szCs w:val="20"/>
                <w:lang w:val="nl-NL" w:eastAsia="nl-NL"/>
              </w:rPr>
              <w:drawing>
                <wp:inline distT="0" distB="0" distL="0" distR="0">
                  <wp:extent cx="180975" cy="238125"/>
                  <wp:effectExtent l="19050" t="0" r="9525" b="0"/>
                  <wp:docPr id="83" name="Afbeelding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9"/>
                          <pic:cNvPicPr>
                            <a:picLocks noChangeAspect="1" noChangeArrowheads="1"/>
                          </pic:cNvPicPr>
                        </pic:nvPicPr>
                        <pic:blipFill>
                          <a:blip r:embed="rId17" cstate="print"/>
                          <a:srcRect/>
                          <a:stretch>
                            <a:fillRect/>
                          </a:stretch>
                        </pic:blipFill>
                        <pic:spPr bwMode="auto">
                          <a:xfrm>
                            <a:off x="0" y="0"/>
                            <a:ext cx="180975" cy="238125"/>
                          </a:xfrm>
                          <a:prstGeom prst="rect">
                            <a:avLst/>
                          </a:prstGeom>
                          <a:noFill/>
                          <a:ln w="9525">
                            <a:noFill/>
                            <a:miter lim="800000"/>
                            <a:headEnd/>
                            <a:tailEnd/>
                          </a:ln>
                        </pic:spPr>
                      </pic:pic>
                    </a:graphicData>
                  </a:graphic>
                </wp:inline>
              </w:drawing>
            </w:r>
            <w:r>
              <w:rPr>
                <w:i/>
                <w:noProof/>
                <w:szCs w:val="20"/>
                <w:lang w:val="nl-NL" w:eastAsia="nl-NL"/>
              </w:rPr>
              <w:drawing>
                <wp:inline distT="0" distB="0" distL="0" distR="0">
                  <wp:extent cx="180975" cy="238125"/>
                  <wp:effectExtent l="19050" t="0" r="9525" b="0"/>
                  <wp:docPr id="84" name="Afbeelding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9"/>
                          <pic:cNvPicPr>
                            <a:picLocks noChangeAspect="1" noChangeArrowheads="1"/>
                          </pic:cNvPicPr>
                        </pic:nvPicPr>
                        <pic:blipFill>
                          <a:blip r:embed="rId17" cstate="print"/>
                          <a:srcRect/>
                          <a:stretch>
                            <a:fillRect/>
                          </a:stretch>
                        </pic:blipFill>
                        <pic:spPr bwMode="auto">
                          <a:xfrm>
                            <a:off x="0" y="0"/>
                            <a:ext cx="180975" cy="238125"/>
                          </a:xfrm>
                          <a:prstGeom prst="rect">
                            <a:avLst/>
                          </a:prstGeom>
                          <a:noFill/>
                          <a:ln w="9525">
                            <a:noFill/>
                            <a:miter lim="800000"/>
                            <a:headEnd/>
                            <a:tailEnd/>
                          </a:ln>
                        </pic:spPr>
                      </pic:pic>
                    </a:graphicData>
                  </a:graphic>
                </wp:inline>
              </w:drawing>
            </w:r>
            <w:r>
              <w:rPr>
                <w:i/>
                <w:noProof/>
                <w:szCs w:val="20"/>
                <w:lang w:val="nl-NL" w:eastAsia="nl-NL"/>
              </w:rPr>
              <w:drawing>
                <wp:inline distT="0" distB="0" distL="0" distR="0">
                  <wp:extent cx="180975" cy="238125"/>
                  <wp:effectExtent l="19050" t="0" r="9525" b="0"/>
                  <wp:docPr id="85" name="Afbeelding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9"/>
                          <pic:cNvPicPr>
                            <a:picLocks noChangeAspect="1" noChangeArrowheads="1"/>
                          </pic:cNvPicPr>
                        </pic:nvPicPr>
                        <pic:blipFill>
                          <a:blip r:embed="rId17" cstate="print"/>
                          <a:srcRect/>
                          <a:stretch>
                            <a:fillRect/>
                          </a:stretch>
                        </pic:blipFill>
                        <pic:spPr bwMode="auto">
                          <a:xfrm>
                            <a:off x="0" y="0"/>
                            <a:ext cx="180975" cy="238125"/>
                          </a:xfrm>
                          <a:prstGeom prst="rect">
                            <a:avLst/>
                          </a:prstGeom>
                          <a:noFill/>
                          <a:ln w="9525">
                            <a:noFill/>
                            <a:miter lim="800000"/>
                            <a:headEnd/>
                            <a:tailEnd/>
                          </a:ln>
                        </pic:spPr>
                      </pic:pic>
                    </a:graphicData>
                  </a:graphic>
                </wp:inline>
              </w:drawing>
            </w:r>
            <w:r>
              <w:rPr>
                <w:i/>
                <w:noProof/>
                <w:szCs w:val="20"/>
                <w:lang w:val="nl-NL" w:eastAsia="nl-NL"/>
              </w:rPr>
              <w:drawing>
                <wp:inline distT="0" distB="0" distL="0" distR="0">
                  <wp:extent cx="180975" cy="238125"/>
                  <wp:effectExtent l="19050" t="0" r="9525" b="0"/>
                  <wp:docPr id="86" name="Afbeelding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9"/>
                          <pic:cNvPicPr>
                            <a:picLocks noChangeAspect="1" noChangeArrowheads="1"/>
                          </pic:cNvPicPr>
                        </pic:nvPicPr>
                        <pic:blipFill>
                          <a:blip r:embed="rId17" cstate="print"/>
                          <a:srcRect/>
                          <a:stretch>
                            <a:fillRect/>
                          </a:stretch>
                        </pic:blipFill>
                        <pic:spPr bwMode="auto">
                          <a:xfrm>
                            <a:off x="0" y="0"/>
                            <a:ext cx="180975" cy="238125"/>
                          </a:xfrm>
                          <a:prstGeom prst="rect">
                            <a:avLst/>
                          </a:prstGeom>
                          <a:noFill/>
                          <a:ln w="9525">
                            <a:noFill/>
                            <a:miter lim="800000"/>
                            <a:headEnd/>
                            <a:tailEnd/>
                          </a:ln>
                        </pic:spPr>
                      </pic:pic>
                    </a:graphicData>
                  </a:graphic>
                </wp:inline>
              </w:drawing>
            </w:r>
          </w:p>
        </w:tc>
      </w:tr>
      <w:tr w:rsidR="003F1B5E" w:rsidRPr="00F13455" w:rsidTr="003F2060">
        <w:tc>
          <w:tcPr>
            <w:tcW w:w="7763" w:type="dxa"/>
          </w:tcPr>
          <w:p w:rsidR="003F1B5E" w:rsidRPr="00F13455" w:rsidDel="00777AB2" w:rsidRDefault="003F1B5E" w:rsidP="003F2060">
            <w:pPr>
              <w:spacing w:after="0"/>
              <w:rPr>
                <w:lang w:val="en-GB"/>
              </w:rPr>
            </w:pPr>
            <w:r>
              <w:rPr>
                <w:lang w:val="en-GB"/>
              </w:rPr>
              <w:t>12</w:t>
            </w:r>
            <w:r w:rsidRPr="00F13455">
              <w:rPr>
                <w:lang w:val="en-GB"/>
              </w:rPr>
              <w:t>. Is the moderator or predictor effect clinically important?</w:t>
            </w:r>
          </w:p>
        </w:tc>
        <w:tc>
          <w:tcPr>
            <w:tcW w:w="1559" w:type="dxa"/>
          </w:tcPr>
          <w:p w:rsidR="003F1B5E" w:rsidRPr="00F13455" w:rsidRDefault="003F1B5E" w:rsidP="003F2060">
            <w:pPr>
              <w:spacing w:after="0" w:line="240" w:lineRule="auto"/>
              <w:rPr>
                <w:i/>
                <w:noProof/>
                <w:szCs w:val="20"/>
                <w:lang w:val="en-GB" w:eastAsia="en-GB"/>
              </w:rPr>
            </w:pPr>
            <w:r>
              <w:rPr>
                <w:i/>
                <w:noProof/>
                <w:szCs w:val="20"/>
                <w:lang w:val="nl-NL" w:eastAsia="nl-NL"/>
              </w:rPr>
              <w:drawing>
                <wp:inline distT="0" distB="0" distL="0" distR="0">
                  <wp:extent cx="180975" cy="238125"/>
                  <wp:effectExtent l="19050" t="0" r="9525" b="0"/>
                  <wp:docPr id="87" name="Afbeelding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9"/>
                          <pic:cNvPicPr>
                            <a:picLocks noChangeAspect="1" noChangeArrowheads="1"/>
                          </pic:cNvPicPr>
                        </pic:nvPicPr>
                        <pic:blipFill>
                          <a:blip r:embed="rId17" cstate="print"/>
                          <a:srcRect/>
                          <a:stretch>
                            <a:fillRect/>
                          </a:stretch>
                        </pic:blipFill>
                        <pic:spPr bwMode="auto">
                          <a:xfrm>
                            <a:off x="0" y="0"/>
                            <a:ext cx="180975" cy="238125"/>
                          </a:xfrm>
                          <a:prstGeom prst="rect">
                            <a:avLst/>
                          </a:prstGeom>
                          <a:noFill/>
                          <a:ln w="9525">
                            <a:noFill/>
                            <a:miter lim="800000"/>
                            <a:headEnd/>
                            <a:tailEnd/>
                          </a:ln>
                        </pic:spPr>
                      </pic:pic>
                    </a:graphicData>
                  </a:graphic>
                </wp:inline>
              </w:drawing>
            </w:r>
            <w:r>
              <w:rPr>
                <w:i/>
                <w:noProof/>
                <w:szCs w:val="20"/>
                <w:lang w:val="nl-NL" w:eastAsia="nl-NL"/>
              </w:rPr>
              <w:drawing>
                <wp:inline distT="0" distB="0" distL="0" distR="0">
                  <wp:extent cx="180975" cy="238125"/>
                  <wp:effectExtent l="19050" t="0" r="9525" b="0"/>
                  <wp:docPr id="88" name="Afbeelding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9"/>
                          <pic:cNvPicPr>
                            <a:picLocks noChangeAspect="1" noChangeArrowheads="1"/>
                          </pic:cNvPicPr>
                        </pic:nvPicPr>
                        <pic:blipFill>
                          <a:blip r:embed="rId17" cstate="print"/>
                          <a:srcRect/>
                          <a:stretch>
                            <a:fillRect/>
                          </a:stretch>
                        </pic:blipFill>
                        <pic:spPr bwMode="auto">
                          <a:xfrm>
                            <a:off x="0" y="0"/>
                            <a:ext cx="180975" cy="238125"/>
                          </a:xfrm>
                          <a:prstGeom prst="rect">
                            <a:avLst/>
                          </a:prstGeom>
                          <a:noFill/>
                          <a:ln w="9525">
                            <a:noFill/>
                            <a:miter lim="800000"/>
                            <a:headEnd/>
                            <a:tailEnd/>
                          </a:ln>
                        </pic:spPr>
                      </pic:pic>
                    </a:graphicData>
                  </a:graphic>
                </wp:inline>
              </w:drawing>
            </w:r>
            <w:r>
              <w:rPr>
                <w:i/>
                <w:noProof/>
                <w:szCs w:val="20"/>
                <w:lang w:val="nl-NL" w:eastAsia="nl-NL"/>
              </w:rPr>
              <w:drawing>
                <wp:inline distT="0" distB="0" distL="0" distR="0">
                  <wp:extent cx="180975" cy="238125"/>
                  <wp:effectExtent l="19050" t="0" r="9525" b="0"/>
                  <wp:docPr id="89" name="Afbeelding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9"/>
                          <pic:cNvPicPr>
                            <a:picLocks noChangeAspect="1" noChangeArrowheads="1"/>
                          </pic:cNvPicPr>
                        </pic:nvPicPr>
                        <pic:blipFill>
                          <a:blip r:embed="rId17" cstate="print"/>
                          <a:srcRect/>
                          <a:stretch>
                            <a:fillRect/>
                          </a:stretch>
                        </pic:blipFill>
                        <pic:spPr bwMode="auto">
                          <a:xfrm>
                            <a:off x="0" y="0"/>
                            <a:ext cx="180975" cy="238125"/>
                          </a:xfrm>
                          <a:prstGeom prst="rect">
                            <a:avLst/>
                          </a:prstGeom>
                          <a:noFill/>
                          <a:ln w="9525">
                            <a:noFill/>
                            <a:miter lim="800000"/>
                            <a:headEnd/>
                            <a:tailEnd/>
                          </a:ln>
                        </pic:spPr>
                      </pic:pic>
                    </a:graphicData>
                  </a:graphic>
                </wp:inline>
              </w:drawing>
            </w:r>
            <w:r>
              <w:rPr>
                <w:i/>
                <w:noProof/>
                <w:szCs w:val="20"/>
                <w:lang w:val="nl-NL" w:eastAsia="nl-NL"/>
              </w:rPr>
              <w:drawing>
                <wp:inline distT="0" distB="0" distL="0" distR="0">
                  <wp:extent cx="180975" cy="238125"/>
                  <wp:effectExtent l="19050" t="0" r="9525" b="0"/>
                  <wp:docPr id="90" name="Afbeelding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9"/>
                          <pic:cNvPicPr>
                            <a:picLocks noChangeAspect="1" noChangeArrowheads="1"/>
                          </pic:cNvPicPr>
                        </pic:nvPicPr>
                        <pic:blipFill>
                          <a:blip r:embed="rId17" cstate="print"/>
                          <a:srcRect/>
                          <a:stretch>
                            <a:fillRect/>
                          </a:stretch>
                        </pic:blipFill>
                        <pic:spPr bwMode="auto">
                          <a:xfrm>
                            <a:off x="0" y="0"/>
                            <a:ext cx="180975" cy="238125"/>
                          </a:xfrm>
                          <a:prstGeom prst="rect">
                            <a:avLst/>
                          </a:prstGeom>
                          <a:noFill/>
                          <a:ln w="9525">
                            <a:noFill/>
                            <a:miter lim="800000"/>
                            <a:headEnd/>
                            <a:tailEnd/>
                          </a:ln>
                        </pic:spPr>
                      </pic:pic>
                    </a:graphicData>
                  </a:graphic>
                </wp:inline>
              </w:drawing>
            </w:r>
          </w:p>
        </w:tc>
      </w:tr>
      <w:tr w:rsidR="003F1B5E" w:rsidRPr="00F13455" w:rsidTr="003F2060">
        <w:tc>
          <w:tcPr>
            <w:tcW w:w="7763" w:type="dxa"/>
          </w:tcPr>
          <w:p w:rsidR="003F1B5E" w:rsidRPr="00F13455" w:rsidRDefault="003F1B5E" w:rsidP="003F2060">
            <w:pPr>
              <w:spacing w:after="0"/>
              <w:rPr>
                <w:lang w:val="en-GB"/>
              </w:rPr>
            </w:pPr>
            <w:r>
              <w:rPr>
                <w:lang w:val="en-GB"/>
              </w:rPr>
              <w:t>13</w:t>
            </w:r>
            <w:r w:rsidRPr="00F13455">
              <w:rPr>
                <w:lang w:val="en-GB"/>
              </w:rPr>
              <w:t>. Was the moderator or predictor effect reasonably homogenous across studies?</w:t>
            </w:r>
          </w:p>
        </w:tc>
        <w:tc>
          <w:tcPr>
            <w:tcW w:w="1559" w:type="dxa"/>
          </w:tcPr>
          <w:p w:rsidR="003F1B5E" w:rsidRPr="00F13455" w:rsidRDefault="003F1B5E" w:rsidP="003F2060">
            <w:pPr>
              <w:spacing w:after="0" w:line="240" w:lineRule="auto"/>
              <w:rPr>
                <w:i/>
                <w:szCs w:val="20"/>
                <w:lang w:val="en-GB"/>
              </w:rPr>
            </w:pPr>
            <w:r>
              <w:rPr>
                <w:i/>
                <w:noProof/>
                <w:szCs w:val="20"/>
                <w:lang w:val="nl-NL" w:eastAsia="nl-NL"/>
              </w:rPr>
              <w:drawing>
                <wp:inline distT="0" distB="0" distL="0" distR="0">
                  <wp:extent cx="180975" cy="238125"/>
                  <wp:effectExtent l="19050" t="0" r="9525" b="0"/>
                  <wp:docPr id="91" name="Afbeelding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9"/>
                          <pic:cNvPicPr>
                            <a:picLocks noChangeAspect="1" noChangeArrowheads="1"/>
                          </pic:cNvPicPr>
                        </pic:nvPicPr>
                        <pic:blipFill>
                          <a:blip r:embed="rId17" cstate="print"/>
                          <a:srcRect/>
                          <a:stretch>
                            <a:fillRect/>
                          </a:stretch>
                        </pic:blipFill>
                        <pic:spPr bwMode="auto">
                          <a:xfrm>
                            <a:off x="0" y="0"/>
                            <a:ext cx="180975" cy="238125"/>
                          </a:xfrm>
                          <a:prstGeom prst="rect">
                            <a:avLst/>
                          </a:prstGeom>
                          <a:solidFill>
                            <a:srgbClr val="C0504D"/>
                          </a:solidFill>
                          <a:ln w="9525">
                            <a:noFill/>
                            <a:miter lim="800000"/>
                            <a:headEnd/>
                            <a:tailEnd/>
                          </a:ln>
                        </pic:spPr>
                      </pic:pic>
                    </a:graphicData>
                  </a:graphic>
                </wp:inline>
              </w:drawing>
            </w:r>
            <w:r>
              <w:rPr>
                <w:i/>
                <w:noProof/>
                <w:szCs w:val="20"/>
                <w:lang w:val="nl-NL" w:eastAsia="nl-NL"/>
              </w:rPr>
              <w:drawing>
                <wp:inline distT="0" distB="0" distL="0" distR="0">
                  <wp:extent cx="180975" cy="238125"/>
                  <wp:effectExtent l="19050" t="0" r="9525" b="0"/>
                  <wp:docPr id="92" name="Afbeelding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9"/>
                          <pic:cNvPicPr>
                            <a:picLocks noChangeAspect="1" noChangeArrowheads="1"/>
                          </pic:cNvPicPr>
                        </pic:nvPicPr>
                        <pic:blipFill>
                          <a:blip r:embed="rId17" cstate="print"/>
                          <a:srcRect/>
                          <a:stretch>
                            <a:fillRect/>
                          </a:stretch>
                        </pic:blipFill>
                        <pic:spPr bwMode="auto">
                          <a:xfrm>
                            <a:off x="0" y="0"/>
                            <a:ext cx="180975" cy="238125"/>
                          </a:xfrm>
                          <a:prstGeom prst="rect">
                            <a:avLst/>
                          </a:prstGeom>
                          <a:noFill/>
                          <a:ln w="9525">
                            <a:noFill/>
                            <a:miter lim="800000"/>
                            <a:headEnd/>
                            <a:tailEnd/>
                          </a:ln>
                        </pic:spPr>
                      </pic:pic>
                    </a:graphicData>
                  </a:graphic>
                </wp:inline>
              </w:drawing>
            </w:r>
            <w:r>
              <w:rPr>
                <w:i/>
                <w:noProof/>
                <w:szCs w:val="20"/>
                <w:lang w:val="nl-NL" w:eastAsia="nl-NL"/>
              </w:rPr>
              <w:drawing>
                <wp:inline distT="0" distB="0" distL="0" distR="0">
                  <wp:extent cx="180975" cy="238125"/>
                  <wp:effectExtent l="19050" t="0" r="9525" b="0"/>
                  <wp:docPr id="93" name="Afbeelding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9"/>
                          <pic:cNvPicPr>
                            <a:picLocks noChangeAspect="1" noChangeArrowheads="1"/>
                          </pic:cNvPicPr>
                        </pic:nvPicPr>
                        <pic:blipFill>
                          <a:blip r:embed="rId17" cstate="print"/>
                          <a:srcRect/>
                          <a:stretch>
                            <a:fillRect/>
                          </a:stretch>
                        </pic:blipFill>
                        <pic:spPr bwMode="auto">
                          <a:xfrm>
                            <a:off x="0" y="0"/>
                            <a:ext cx="180975" cy="238125"/>
                          </a:xfrm>
                          <a:prstGeom prst="rect">
                            <a:avLst/>
                          </a:prstGeom>
                          <a:noFill/>
                          <a:ln w="9525">
                            <a:noFill/>
                            <a:miter lim="800000"/>
                            <a:headEnd/>
                            <a:tailEnd/>
                          </a:ln>
                        </pic:spPr>
                      </pic:pic>
                    </a:graphicData>
                  </a:graphic>
                </wp:inline>
              </w:drawing>
            </w:r>
            <w:r>
              <w:rPr>
                <w:i/>
                <w:noProof/>
                <w:szCs w:val="20"/>
                <w:lang w:val="nl-NL" w:eastAsia="nl-NL"/>
              </w:rPr>
              <w:drawing>
                <wp:inline distT="0" distB="0" distL="0" distR="0">
                  <wp:extent cx="180975" cy="238125"/>
                  <wp:effectExtent l="19050" t="0" r="9525" b="0"/>
                  <wp:docPr id="94" name="Afbeelding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9"/>
                          <pic:cNvPicPr>
                            <a:picLocks noChangeAspect="1" noChangeArrowheads="1"/>
                          </pic:cNvPicPr>
                        </pic:nvPicPr>
                        <pic:blipFill>
                          <a:blip r:embed="rId17" cstate="print"/>
                          <a:srcRect/>
                          <a:stretch>
                            <a:fillRect/>
                          </a:stretch>
                        </pic:blipFill>
                        <pic:spPr bwMode="auto">
                          <a:xfrm>
                            <a:off x="0" y="0"/>
                            <a:ext cx="180975" cy="238125"/>
                          </a:xfrm>
                          <a:prstGeom prst="rect">
                            <a:avLst/>
                          </a:prstGeom>
                          <a:noFill/>
                          <a:ln w="9525">
                            <a:noFill/>
                            <a:miter lim="800000"/>
                            <a:headEnd/>
                            <a:tailEnd/>
                          </a:ln>
                        </pic:spPr>
                      </pic:pic>
                    </a:graphicData>
                  </a:graphic>
                </wp:inline>
              </w:drawing>
            </w:r>
          </w:p>
        </w:tc>
      </w:tr>
      <w:tr w:rsidR="003F1B5E" w:rsidRPr="00F13455" w:rsidTr="003F2060">
        <w:tc>
          <w:tcPr>
            <w:tcW w:w="7763" w:type="dxa"/>
          </w:tcPr>
          <w:p w:rsidR="003F1B5E" w:rsidRPr="00F13455" w:rsidRDefault="003F1B5E" w:rsidP="003F2060">
            <w:pPr>
              <w:spacing w:after="0"/>
              <w:rPr>
                <w:lang w:val="en-GB"/>
              </w:rPr>
            </w:pPr>
            <w:r>
              <w:rPr>
                <w:lang w:val="en-GB"/>
              </w:rPr>
              <w:t>14</w:t>
            </w:r>
            <w:r w:rsidRPr="00F13455">
              <w:rPr>
                <w:lang w:val="en-GB"/>
              </w:rPr>
              <w:t>. Was the moderator or predictor measured similarly across the included studies, or was an adequate conversion performed?</w:t>
            </w:r>
          </w:p>
        </w:tc>
        <w:tc>
          <w:tcPr>
            <w:tcW w:w="1559" w:type="dxa"/>
          </w:tcPr>
          <w:p w:rsidR="003F1B5E" w:rsidRPr="00F13455" w:rsidRDefault="003F1B5E" w:rsidP="003F2060">
            <w:pPr>
              <w:spacing w:after="0" w:line="240" w:lineRule="auto"/>
              <w:rPr>
                <w:i/>
                <w:noProof/>
                <w:szCs w:val="20"/>
                <w:lang w:val="en-GB" w:eastAsia="en-GB"/>
              </w:rPr>
            </w:pPr>
            <w:r>
              <w:rPr>
                <w:i/>
                <w:noProof/>
                <w:szCs w:val="20"/>
                <w:lang w:val="nl-NL" w:eastAsia="nl-NL"/>
              </w:rPr>
              <w:drawing>
                <wp:inline distT="0" distB="0" distL="0" distR="0">
                  <wp:extent cx="180975" cy="238125"/>
                  <wp:effectExtent l="19050" t="0" r="9525" b="0"/>
                  <wp:docPr id="95" name="Afbeelding 2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195"/>
                          <pic:cNvPicPr>
                            <a:picLocks noChangeAspect="1" noChangeArrowheads="1"/>
                          </pic:cNvPicPr>
                        </pic:nvPicPr>
                        <pic:blipFill>
                          <a:blip r:embed="rId17" cstate="print"/>
                          <a:srcRect/>
                          <a:stretch>
                            <a:fillRect/>
                          </a:stretch>
                        </pic:blipFill>
                        <pic:spPr bwMode="auto">
                          <a:xfrm>
                            <a:off x="0" y="0"/>
                            <a:ext cx="180975" cy="238125"/>
                          </a:xfrm>
                          <a:prstGeom prst="rect">
                            <a:avLst/>
                          </a:prstGeom>
                          <a:noFill/>
                          <a:ln w="9525">
                            <a:noFill/>
                            <a:miter lim="800000"/>
                            <a:headEnd/>
                            <a:tailEnd/>
                          </a:ln>
                        </pic:spPr>
                      </pic:pic>
                    </a:graphicData>
                  </a:graphic>
                </wp:inline>
              </w:drawing>
            </w:r>
            <w:r>
              <w:rPr>
                <w:i/>
                <w:noProof/>
                <w:szCs w:val="20"/>
                <w:lang w:val="nl-NL" w:eastAsia="nl-NL"/>
              </w:rPr>
              <w:drawing>
                <wp:inline distT="0" distB="0" distL="0" distR="0">
                  <wp:extent cx="180975" cy="238125"/>
                  <wp:effectExtent l="19050" t="0" r="9525" b="0"/>
                  <wp:docPr id="96" name="Afbeelding 2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196"/>
                          <pic:cNvPicPr>
                            <a:picLocks noChangeAspect="1" noChangeArrowheads="1"/>
                          </pic:cNvPicPr>
                        </pic:nvPicPr>
                        <pic:blipFill>
                          <a:blip r:embed="rId17" cstate="print"/>
                          <a:srcRect/>
                          <a:stretch>
                            <a:fillRect/>
                          </a:stretch>
                        </pic:blipFill>
                        <pic:spPr bwMode="auto">
                          <a:xfrm>
                            <a:off x="0" y="0"/>
                            <a:ext cx="180975" cy="238125"/>
                          </a:xfrm>
                          <a:prstGeom prst="rect">
                            <a:avLst/>
                          </a:prstGeom>
                          <a:noFill/>
                          <a:ln w="9525">
                            <a:noFill/>
                            <a:miter lim="800000"/>
                            <a:headEnd/>
                            <a:tailEnd/>
                          </a:ln>
                        </pic:spPr>
                      </pic:pic>
                    </a:graphicData>
                  </a:graphic>
                </wp:inline>
              </w:drawing>
            </w:r>
            <w:r>
              <w:rPr>
                <w:i/>
                <w:noProof/>
                <w:szCs w:val="20"/>
                <w:lang w:val="nl-NL" w:eastAsia="nl-NL"/>
              </w:rPr>
              <w:drawing>
                <wp:inline distT="0" distB="0" distL="0" distR="0">
                  <wp:extent cx="180975" cy="238125"/>
                  <wp:effectExtent l="19050" t="0" r="9525" b="0"/>
                  <wp:docPr id="97" name="Afbeelding 2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197"/>
                          <pic:cNvPicPr>
                            <a:picLocks noChangeAspect="1" noChangeArrowheads="1"/>
                          </pic:cNvPicPr>
                        </pic:nvPicPr>
                        <pic:blipFill>
                          <a:blip r:embed="rId17" cstate="print"/>
                          <a:srcRect/>
                          <a:stretch>
                            <a:fillRect/>
                          </a:stretch>
                        </pic:blipFill>
                        <pic:spPr bwMode="auto">
                          <a:xfrm>
                            <a:off x="0" y="0"/>
                            <a:ext cx="180975" cy="238125"/>
                          </a:xfrm>
                          <a:prstGeom prst="rect">
                            <a:avLst/>
                          </a:prstGeom>
                          <a:noFill/>
                          <a:ln w="9525">
                            <a:noFill/>
                            <a:miter lim="800000"/>
                            <a:headEnd/>
                            <a:tailEnd/>
                          </a:ln>
                        </pic:spPr>
                      </pic:pic>
                    </a:graphicData>
                  </a:graphic>
                </wp:inline>
              </w:drawing>
            </w:r>
            <w:r>
              <w:rPr>
                <w:i/>
                <w:noProof/>
                <w:szCs w:val="20"/>
                <w:lang w:val="nl-NL" w:eastAsia="nl-NL"/>
              </w:rPr>
              <w:drawing>
                <wp:inline distT="0" distB="0" distL="0" distR="0">
                  <wp:extent cx="180975" cy="238125"/>
                  <wp:effectExtent l="19050" t="0" r="9525" b="0"/>
                  <wp:docPr id="98" name="Afbeelding 2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198"/>
                          <pic:cNvPicPr>
                            <a:picLocks noChangeAspect="1" noChangeArrowheads="1"/>
                          </pic:cNvPicPr>
                        </pic:nvPicPr>
                        <pic:blipFill>
                          <a:blip r:embed="rId17" cstate="print"/>
                          <a:srcRect/>
                          <a:stretch>
                            <a:fillRect/>
                          </a:stretch>
                        </pic:blipFill>
                        <pic:spPr bwMode="auto">
                          <a:xfrm>
                            <a:off x="0" y="0"/>
                            <a:ext cx="180975" cy="238125"/>
                          </a:xfrm>
                          <a:prstGeom prst="rect">
                            <a:avLst/>
                          </a:prstGeom>
                          <a:noFill/>
                          <a:ln w="9525">
                            <a:noFill/>
                            <a:miter lim="800000"/>
                            <a:headEnd/>
                            <a:tailEnd/>
                          </a:ln>
                        </pic:spPr>
                      </pic:pic>
                    </a:graphicData>
                  </a:graphic>
                </wp:inline>
              </w:drawing>
            </w:r>
          </w:p>
        </w:tc>
      </w:tr>
      <w:tr w:rsidR="003F1B5E" w:rsidRPr="00F13455" w:rsidTr="003F2060">
        <w:trPr>
          <w:trHeight w:val="1498"/>
        </w:trPr>
        <w:tc>
          <w:tcPr>
            <w:tcW w:w="7763" w:type="dxa"/>
          </w:tcPr>
          <w:p w:rsidR="003F1B5E" w:rsidRPr="00F13455" w:rsidRDefault="003F1B5E" w:rsidP="003F2060">
            <w:pPr>
              <w:spacing w:after="0" w:line="240" w:lineRule="auto"/>
              <w:rPr>
                <w:sz w:val="10"/>
                <w:szCs w:val="10"/>
                <w:lang w:val="en-GB"/>
              </w:rPr>
            </w:pPr>
          </w:p>
        </w:tc>
        <w:tc>
          <w:tcPr>
            <w:tcW w:w="1559" w:type="dxa"/>
            <w:vMerge w:val="restart"/>
            <w:textDirection w:val="btLr"/>
          </w:tcPr>
          <w:p w:rsidR="003F1B5E" w:rsidRPr="00F13455" w:rsidRDefault="003F1B5E" w:rsidP="003F2060">
            <w:pPr>
              <w:spacing w:after="0" w:line="288" w:lineRule="auto"/>
              <w:ind w:left="113" w:right="113"/>
              <w:rPr>
                <w:szCs w:val="20"/>
                <w:lang w:val="en-GB"/>
              </w:rPr>
            </w:pPr>
            <w:r w:rsidRPr="00F13455">
              <w:rPr>
                <w:szCs w:val="20"/>
                <w:lang w:val="en-GB"/>
              </w:rPr>
              <w:t>Yes</w:t>
            </w:r>
          </w:p>
          <w:p w:rsidR="003F1B5E" w:rsidRPr="00F13455" w:rsidRDefault="003F1B5E" w:rsidP="003F2060">
            <w:pPr>
              <w:spacing w:after="0" w:line="288" w:lineRule="auto"/>
              <w:ind w:left="113" w:right="113"/>
              <w:rPr>
                <w:szCs w:val="20"/>
                <w:lang w:val="en-GB"/>
              </w:rPr>
            </w:pPr>
            <w:r w:rsidRPr="00F13455">
              <w:rPr>
                <w:szCs w:val="20"/>
                <w:lang w:val="en-GB"/>
              </w:rPr>
              <w:t>No</w:t>
            </w:r>
          </w:p>
          <w:p w:rsidR="003F1B5E" w:rsidRPr="00F13455" w:rsidRDefault="003F1B5E" w:rsidP="003F2060">
            <w:pPr>
              <w:spacing w:after="0" w:line="288" w:lineRule="auto"/>
              <w:ind w:left="113" w:right="113"/>
              <w:rPr>
                <w:szCs w:val="20"/>
                <w:lang w:val="en-GB"/>
              </w:rPr>
            </w:pPr>
            <w:r w:rsidRPr="00F13455">
              <w:rPr>
                <w:szCs w:val="20"/>
                <w:lang w:val="en-GB"/>
              </w:rPr>
              <w:t>Don't know</w:t>
            </w:r>
          </w:p>
          <w:p w:rsidR="003F1B5E" w:rsidRPr="00F13455" w:rsidRDefault="003F1B5E" w:rsidP="003F2060">
            <w:pPr>
              <w:spacing w:after="0" w:line="240" w:lineRule="auto"/>
              <w:ind w:left="113" w:right="113"/>
              <w:rPr>
                <w:i/>
                <w:noProof/>
                <w:sz w:val="10"/>
                <w:szCs w:val="10"/>
                <w:lang w:val="en-GB" w:eastAsia="en-GB"/>
              </w:rPr>
            </w:pPr>
          </w:p>
        </w:tc>
      </w:tr>
      <w:tr w:rsidR="003F1B5E" w:rsidRPr="00F13455" w:rsidTr="003F2060">
        <w:trPr>
          <w:cantSplit/>
          <w:trHeight w:val="80"/>
        </w:trPr>
        <w:tc>
          <w:tcPr>
            <w:tcW w:w="7763" w:type="dxa"/>
          </w:tcPr>
          <w:p w:rsidR="003F1B5E" w:rsidRPr="00F13455" w:rsidRDefault="003F1B5E" w:rsidP="003F2060">
            <w:pPr>
              <w:spacing w:after="0" w:line="240" w:lineRule="auto"/>
              <w:rPr>
                <w:lang w:val="en-GB"/>
              </w:rPr>
            </w:pPr>
            <w:r w:rsidRPr="00F13455">
              <w:rPr>
                <w:b/>
                <w:szCs w:val="20"/>
                <w:lang w:val="en-GB"/>
              </w:rPr>
              <w:t>Overall judgment</w:t>
            </w:r>
          </w:p>
        </w:tc>
        <w:tc>
          <w:tcPr>
            <w:tcW w:w="1559" w:type="dxa"/>
            <w:vMerge/>
            <w:textDirection w:val="btLr"/>
          </w:tcPr>
          <w:p w:rsidR="003F1B5E" w:rsidRPr="00F13455" w:rsidRDefault="003F1B5E" w:rsidP="003F2060">
            <w:pPr>
              <w:spacing w:after="0" w:line="240" w:lineRule="auto"/>
              <w:ind w:left="113" w:right="113"/>
              <w:rPr>
                <w:i/>
                <w:noProof/>
                <w:szCs w:val="20"/>
                <w:lang w:val="en-GB" w:eastAsia="en-GB"/>
              </w:rPr>
            </w:pPr>
          </w:p>
        </w:tc>
      </w:tr>
      <w:tr w:rsidR="003F1B5E" w:rsidRPr="00F13455" w:rsidTr="003F2060">
        <w:tc>
          <w:tcPr>
            <w:tcW w:w="7763" w:type="dxa"/>
            <w:tcBorders>
              <w:bottom w:val="single" w:sz="4" w:space="0" w:color="auto"/>
            </w:tcBorders>
          </w:tcPr>
          <w:p w:rsidR="003F1B5E" w:rsidRPr="00F13455" w:rsidRDefault="003F1B5E" w:rsidP="003F2060">
            <w:pPr>
              <w:spacing w:line="240" w:lineRule="auto"/>
              <w:rPr>
                <w:lang w:val="en-GB"/>
              </w:rPr>
            </w:pPr>
            <w:r w:rsidRPr="00F13455">
              <w:rPr>
                <w:lang w:val="en-GB"/>
              </w:rPr>
              <w:t>Considering the answers for individually appra</w:t>
            </w:r>
            <w:r>
              <w:rPr>
                <w:lang w:val="en-GB"/>
              </w:rPr>
              <w:t>ised studies as well as items 10</w:t>
            </w:r>
            <w:r w:rsidRPr="00F13455">
              <w:rPr>
                <w:lang w:val="en-GB"/>
              </w:rPr>
              <w:t>-1</w:t>
            </w:r>
            <w:r>
              <w:rPr>
                <w:lang w:val="en-GB"/>
              </w:rPr>
              <w:t>4</w:t>
            </w:r>
            <w:r w:rsidRPr="00F13455">
              <w:rPr>
                <w:lang w:val="en-GB"/>
              </w:rPr>
              <w:t xml:space="preserve">, would you say that claims regarding moderation or prediction of treatment outcomes are sufficiently substantiated and sufficiently relevant to take into account when making recommendations for treatment decisions? </w:t>
            </w:r>
          </w:p>
          <w:p w:rsidR="003F1B5E" w:rsidRPr="00F13455" w:rsidRDefault="003F1B5E" w:rsidP="003F2060">
            <w:pPr>
              <w:spacing w:line="240" w:lineRule="auto"/>
              <w:rPr>
                <w:lang w:val="en-GB"/>
              </w:rPr>
            </w:pPr>
            <w:r w:rsidRPr="00F13455">
              <w:rPr>
                <w:lang w:val="en-GB"/>
              </w:rPr>
              <w:t>Please clarify your main arguments to support your conclusion:</w:t>
            </w:r>
          </w:p>
        </w:tc>
        <w:tc>
          <w:tcPr>
            <w:tcW w:w="1559" w:type="dxa"/>
            <w:tcBorders>
              <w:bottom w:val="single" w:sz="4" w:space="0" w:color="auto"/>
            </w:tcBorders>
          </w:tcPr>
          <w:p w:rsidR="003F1B5E" w:rsidRPr="00F13455" w:rsidRDefault="003F1B5E" w:rsidP="003F2060">
            <w:pPr>
              <w:spacing w:after="0" w:line="240" w:lineRule="auto"/>
              <w:rPr>
                <w:i/>
                <w:noProof/>
                <w:szCs w:val="20"/>
                <w:lang w:val="en-GB" w:eastAsia="en-GB"/>
              </w:rPr>
            </w:pPr>
            <w:r>
              <w:rPr>
                <w:i/>
                <w:noProof/>
                <w:szCs w:val="20"/>
                <w:lang w:val="nl-NL" w:eastAsia="nl-NL"/>
              </w:rPr>
              <w:drawing>
                <wp:inline distT="0" distB="0" distL="0" distR="0">
                  <wp:extent cx="180975" cy="238125"/>
                  <wp:effectExtent l="19050" t="0" r="9525" b="0"/>
                  <wp:docPr id="99" name="Afbeelding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6"/>
                          <pic:cNvPicPr>
                            <a:picLocks noChangeAspect="1" noChangeArrowheads="1"/>
                          </pic:cNvPicPr>
                        </pic:nvPicPr>
                        <pic:blipFill>
                          <a:blip r:embed="rId17" cstate="print"/>
                          <a:srcRect/>
                          <a:stretch>
                            <a:fillRect/>
                          </a:stretch>
                        </pic:blipFill>
                        <pic:spPr bwMode="auto">
                          <a:xfrm>
                            <a:off x="0" y="0"/>
                            <a:ext cx="180975" cy="238125"/>
                          </a:xfrm>
                          <a:prstGeom prst="rect">
                            <a:avLst/>
                          </a:prstGeom>
                          <a:noFill/>
                          <a:ln w="9525">
                            <a:noFill/>
                            <a:miter lim="800000"/>
                            <a:headEnd/>
                            <a:tailEnd/>
                          </a:ln>
                        </pic:spPr>
                      </pic:pic>
                    </a:graphicData>
                  </a:graphic>
                </wp:inline>
              </w:drawing>
            </w:r>
            <w:r>
              <w:rPr>
                <w:i/>
                <w:noProof/>
                <w:szCs w:val="20"/>
                <w:lang w:val="nl-NL" w:eastAsia="nl-NL"/>
              </w:rPr>
              <w:drawing>
                <wp:inline distT="0" distB="0" distL="0" distR="0">
                  <wp:extent cx="180975" cy="238125"/>
                  <wp:effectExtent l="19050" t="0" r="9525" b="0"/>
                  <wp:docPr id="100" name="Afbeelding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6"/>
                          <pic:cNvPicPr>
                            <a:picLocks noChangeAspect="1" noChangeArrowheads="1"/>
                          </pic:cNvPicPr>
                        </pic:nvPicPr>
                        <pic:blipFill>
                          <a:blip r:embed="rId17" cstate="print"/>
                          <a:srcRect/>
                          <a:stretch>
                            <a:fillRect/>
                          </a:stretch>
                        </pic:blipFill>
                        <pic:spPr bwMode="auto">
                          <a:xfrm>
                            <a:off x="0" y="0"/>
                            <a:ext cx="180975" cy="238125"/>
                          </a:xfrm>
                          <a:prstGeom prst="rect">
                            <a:avLst/>
                          </a:prstGeom>
                          <a:noFill/>
                          <a:ln w="9525">
                            <a:noFill/>
                            <a:miter lim="800000"/>
                            <a:headEnd/>
                            <a:tailEnd/>
                          </a:ln>
                        </pic:spPr>
                      </pic:pic>
                    </a:graphicData>
                  </a:graphic>
                </wp:inline>
              </w:drawing>
            </w:r>
            <w:r>
              <w:rPr>
                <w:i/>
                <w:noProof/>
                <w:szCs w:val="20"/>
                <w:lang w:val="nl-NL" w:eastAsia="nl-NL"/>
              </w:rPr>
              <w:drawing>
                <wp:inline distT="0" distB="0" distL="0" distR="0">
                  <wp:extent cx="180975" cy="238125"/>
                  <wp:effectExtent l="19050" t="0" r="9525" b="0"/>
                  <wp:docPr id="101" name="Afbeelding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6"/>
                          <pic:cNvPicPr>
                            <a:picLocks noChangeAspect="1" noChangeArrowheads="1"/>
                          </pic:cNvPicPr>
                        </pic:nvPicPr>
                        <pic:blipFill>
                          <a:blip r:embed="rId17" cstate="print"/>
                          <a:srcRect/>
                          <a:stretch>
                            <a:fillRect/>
                          </a:stretch>
                        </pic:blipFill>
                        <pic:spPr bwMode="auto">
                          <a:xfrm>
                            <a:off x="0" y="0"/>
                            <a:ext cx="180975" cy="238125"/>
                          </a:xfrm>
                          <a:prstGeom prst="rect">
                            <a:avLst/>
                          </a:prstGeom>
                          <a:noFill/>
                          <a:ln w="9525">
                            <a:noFill/>
                            <a:miter lim="800000"/>
                            <a:headEnd/>
                            <a:tailEnd/>
                          </a:ln>
                        </pic:spPr>
                      </pic:pic>
                    </a:graphicData>
                  </a:graphic>
                </wp:inline>
              </w:drawing>
            </w:r>
          </w:p>
        </w:tc>
      </w:tr>
      <w:tr w:rsidR="003F1B5E" w:rsidRPr="00F13455" w:rsidTr="003F1B5E">
        <w:trPr>
          <w:trHeight w:val="1842"/>
        </w:trPr>
        <w:tc>
          <w:tcPr>
            <w:tcW w:w="7763" w:type="dxa"/>
            <w:tcBorders>
              <w:top w:val="single" w:sz="4" w:space="0" w:color="auto"/>
              <w:left w:val="single" w:sz="4" w:space="0" w:color="auto"/>
              <w:bottom w:val="single" w:sz="4" w:space="0" w:color="auto"/>
            </w:tcBorders>
          </w:tcPr>
          <w:p w:rsidR="003F1B5E" w:rsidRPr="00F13455" w:rsidRDefault="003F1B5E" w:rsidP="003F2060">
            <w:pPr>
              <w:spacing w:after="0"/>
              <w:rPr>
                <w:lang w:val="en-GB"/>
              </w:rPr>
            </w:pPr>
          </w:p>
        </w:tc>
        <w:tc>
          <w:tcPr>
            <w:tcW w:w="1559" w:type="dxa"/>
            <w:tcBorders>
              <w:top w:val="single" w:sz="4" w:space="0" w:color="auto"/>
              <w:bottom w:val="single" w:sz="4" w:space="0" w:color="auto"/>
              <w:right w:val="single" w:sz="4" w:space="0" w:color="auto"/>
            </w:tcBorders>
          </w:tcPr>
          <w:p w:rsidR="003F1B5E" w:rsidRPr="00F13455" w:rsidRDefault="003F1B5E" w:rsidP="003F2060">
            <w:pPr>
              <w:spacing w:after="0" w:line="240" w:lineRule="auto"/>
              <w:rPr>
                <w:i/>
                <w:noProof/>
                <w:szCs w:val="20"/>
                <w:lang w:val="en-GB" w:eastAsia="en-GB"/>
              </w:rPr>
            </w:pPr>
          </w:p>
        </w:tc>
      </w:tr>
    </w:tbl>
    <w:p w:rsidR="003F1B5E" w:rsidRPr="000354BA" w:rsidRDefault="003F1B5E" w:rsidP="003F1B5E">
      <w:pPr>
        <w:pStyle w:val="Standardtext"/>
        <w:jc w:val="center"/>
        <w:outlineLvl w:val="0"/>
        <w:rPr>
          <w:b/>
          <w:sz w:val="24"/>
          <w:szCs w:val="24"/>
          <w:lang w:val="en-GB"/>
        </w:rPr>
      </w:pPr>
      <w:r w:rsidRPr="00F13455">
        <w:rPr>
          <w:b/>
          <w:lang w:val="en-GB"/>
        </w:rPr>
        <w:br w:type="page"/>
      </w:r>
      <w:bookmarkStart w:id="10" w:name="_Toc435544267"/>
      <w:r w:rsidRPr="000354BA">
        <w:rPr>
          <w:b/>
          <w:sz w:val="24"/>
          <w:szCs w:val="24"/>
          <w:lang w:val="en-GB"/>
        </w:rPr>
        <w:lastRenderedPageBreak/>
        <w:t>Background on the appraisal items</w:t>
      </w:r>
      <w:bookmarkEnd w:id="10"/>
    </w:p>
    <w:p w:rsidR="003F1B5E" w:rsidRPr="00FD25DA" w:rsidRDefault="003F1B5E" w:rsidP="003F1B5E">
      <w:pPr>
        <w:rPr>
          <w:rFonts w:cs="Arial"/>
          <w:lang w:val="en-GB"/>
        </w:rPr>
      </w:pPr>
      <w:r>
        <w:rPr>
          <w:rFonts w:cs="Arial"/>
          <w:lang w:val="en-GB"/>
        </w:rPr>
        <w:t>B</w:t>
      </w:r>
      <w:r w:rsidRPr="00FD25DA">
        <w:rPr>
          <w:rFonts w:cs="Arial"/>
          <w:lang w:val="en-GB"/>
        </w:rPr>
        <w:t>elow, for each item a brief rationale is presented, considerations that you may want to take into account, and a brief discussion of possible implications when a study does not seem to meet the relevant criterion.</w:t>
      </w:r>
    </w:p>
    <w:p w:rsidR="003F1B5E" w:rsidRPr="005A255F" w:rsidRDefault="003F1B5E" w:rsidP="003F1B5E">
      <w:pPr>
        <w:spacing w:after="0"/>
        <w:rPr>
          <w:rFonts w:cs="Arial"/>
          <w:lang w:val="en-GB"/>
        </w:rPr>
      </w:pPr>
    </w:p>
    <w:p w:rsidR="003F1B5E" w:rsidRPr="005A255F" w:rsidRDefault="003F1B5E" w:rsidP="003F1B5E">
      <w:pPr>
        <w:pStyle w:val="Lijstalinea"/>
        <w:numPr>
          <w:ilvl w:val="0"/>
          <w:numId w:val="2"/>
        </w:numPr>
        <w:tabs>
          <w:tab w:val="left" w:pos="851"/>
        </w:tabs>
        <w:spacing w:after="0"/>
        <w:ind w:left="851" w:hanging="851"/>
        <w:jc w:val="left"/>
        <w:rPr>
          <w:rFonts w:ascii="Arial" w:hAnsi="Arial" w:cs="Arial"/>
          <w:sz w:val="22"/>
          <w:lang w:val="en-GB"/>
        </w:rPr>
      </w:pPr>
      <w:r w:rsidRPr="005A255F">
        <w:rPr>
          <w:rFonts w:ascii="Arial" w:hAnsi="Arial" w:cs="Arial"/>
          <w:b/>
          <w:sz w:val="22"/>
          <w:lang w:val="en-GB"/>
        </w:rPr>
        <w:t>A priori plausibility: was there sufficient empirical or theoretical support for the moderator or predictor that was examined?</w:t>
      </w:r>
    </w:p>
    <w:p w:rsidR="003F1B5E" w:rsidRPr="005A255F" w:rsidRDefault="003F1B5E" w:rsidP="003F1B5E">
      <w:pPr>
        <w:pStyle w:val="Lijstalinea"/>
        <w:spacing w:after="0"/>
        <w:ind w:left="851"/>
        <w:rPr>
          <w:rFonts w:ascii="Arial" w:hAnsi="Arial" w:cs="Arial"/>
          <w:sz w:val="22"/>
          <w:lang w:val="en-GB"/>
        </w:rPr>
      </w:pPr>
    </w:p>
    <w:p w:rsidR="003F1B5E" w:rsidRPr="005A255F" w:rsidRDefault="003F1B5E" w:rsidP="003F1B5E">
      <w:pPr>
        <w:pStyle w:val="Lijstalinea"/>
        <w:spacing w:after="0"/>
        <w:ind w:left="851"/>
        <w:rPr>
          <w:rFonts w:ascii="Arial" w:hAnsi="Arial" w:cs="Arial"/>
          <w:sz w:val="22"/>
          <w:lang w:val="en-GB"/>
        </w:rPr>
      </w:pPr>
      <w:r w:rsidRPr="005A255F">
        <w:rPr>
          <w:rFonts w:ascii="Arial" w:hAnsi="Arial" w:cs="Arial"/>
          <w:sz w:val="22"/>
          <w:lang w:val="en-GB"/>
        </w:rPr>
        <w:t>Basically, this item asks about independent empirical or theoretical support for the candidate moderator(s) or predictor(s) of treatment effect. In case of such support, it is less likely that the moderator or predictor effect was a spurious result.</w:t>
      </w:r>
    </w:p>
    <w:p w:rsidR="003F1B5E" w:rsidRPr="00FD25DA" w:rsidRDefault="003F1B5E" w:rsidP="003F1B5E">
      <w:pPr>
        <w:spacing w:after="0"/>
        <w:ind w:left="851"/>
        <w:rPr>
          <w:rFonts w:cs="Arial"/>
          <w:lang w:val="en-GB"/>
        </w:rPr>
      </w:pPr>
    </w:p>
    <w:p w:rsidR="003F1B5E" w:rsidRPr="00FD25DA" w:rsidRDefault="003F1B5E" w:rsidP="003F1B5E">
      <w:pPr>
        <w:spacing w:after="0"/>
        <w:ind w:left="1418" w:hanging="567"/>
        <w:rPr>
          <w:rFonts w:cs="Arial"/>
          <w:lang w:val="en-GB"/>
        </w:rPr>
      </w:pPr>
      <w:r w:rsidRPr="00FD25DA">
        <w:rPr>
          <w:rFonts w:cs="Arial"/>
          <w:b/>
          <w:lang w:val="en-GB"/>
        </w:rPr>
        <w:t>Consider:</w:t>
      </w:r>
      <w:r w:rsidRPr="00FD25DA">
        <w:rPr>
          <w:rFonts w:cs="Arial"/>
          <w:lang w:val="en-GB"/>
        </w:rPr>
        <w:t xml:space="preserve"> Whether the authors provided a plausible (biological) working mechanism. Preferably, this is based on experimental studies and generally accepted as a possible biological pathway. </w:t>
      </w:r>
      <w:r w:rsidR="004F3C66">
        <w:rPr>
          <w:rFonts w:cs="Arial"/>
          <w:lang w:val="en-GB"/>
        </w:rPr>
        <w:t>In case of a meta-analysis, a-priori is more difficult to define; assuming study collection was systematic, one could look at the amount of studies finding or suggesting the proposed moderator or predictor.</w:t>
      </w:r>
    </w:p>
    <w:p w:rsidR="003F1B5E" w:rsidRPr="00FD25DA" w:rsidRDefault="003F1B5E" w:rsidP="003F1B5E">
      <w:pPr>
        <w:spacing w:after="0"/>
        <w:ind w:left="851"/>
        <w:rPr>
          <w:rFonts w:cs="Arial"/>
          <w:lang w:val="en-GB"/>
        </w:rPr>
      </w:pPr>
    </w:p>
    <w:p w:rsidR="003F1B5E" w:rsidRPr="00FD25DA" w:rsidRDefault="003F1B5E" w:rsidP="003F1B5E">
      <w:pPr>
        <w:spacing w:after="0"/>
        <w:ind w:left="1418" w:hanging="567"/>
        <w:rPr>
          <w:rFonts w:cs="Arial"/>
          <w:lang w:val="en-GB"/>
        </w:rPr>
      </w:pPr>
      <w:r w:rsidRPr="00FD25DA">
        <w:rPr>
          <w:rFonts w:cs="Arial"/>
          <w:b/>
          <w:lang w:val="en-GB"/>
        </w:rPr>
        <w:t>Implications:</w:t>
      </w:r>
      <w:r w:rsidRPr="00FD25DA">
        <w:rPr>
          <w:rFonts w:cs="Arial"/>
          <w:lang w:val="en-GB"/>
        </w:rPr>
        <w:t xml:space="preserve"> A moderator or predictor effect is more likely to be a false-positive finding if there is no underlying theory on how the effect could influence the outcome. However, the observed effect may have been caused by other mechanisms, yet unknown. </w:t>
      </w:r>
    </w:p>
    <w:p w:rsidR="003F1B5E" w:rsidRPr="00FD25DA" w:rsidRDefault="003F1B5E" w:rsidP="003F1B5E">
      <w:pPr>
        <w:ind w:left="851"/>
        <w:rPr>
          <w:rFonts w:cs="Arial"/>
          <w:b/>
          <w:lang w:val="en-GB"/>
        </w:rPr>
      </w:pPr>
      <w:r w:rsidRPr="00FD25DA">
        <w:rPr>
          <w:rFonts w:cs="Arial"/>
          <w:b/>
          <w:lang w:val="en-GB"/>
        </w:rPr>
        <w:t xml:space="preserve"> </w:t>
      </w:r>
    </w:p>
    <w:p w:rsidR="003F1B5E" w:rsidRPr="005A255F" w:rsidRDefault="003F1B5E" w:rsidP="003F1B5E">
      <w:pPr>
        <w:pStyle w:val="Lijstalinea"/>
        <w:numPr>
          <w:ilvl w:val="0"/>
          <w:numId w:val="2"/>
        </w:numPr>
        <w:tabs>
          <w:tab w:val="left" w:pos="851"/>
        </w:tabs>
        <w:spacing w:after="0"/>
        <w:ind w:left="851" w:hanging="851"/>
        <w:jc w:val="left"/>
        <w:rPr>
          <w:rFonts w:ascii="Arial" w:hAnsi="Arial" w:cs="Arial"/>
          <w:sz w:val="22"/>
          <w:lang w:val="en-GB"/>
        </w:rPr>
      </w:pPr>
      <w:r w:rsidRPr="005A255F">
        <w:rPr>
          <w:rFonts w:ascii="Arial" w:hAnsi="Arial" w:cs="Arial"/>
          <w:b/>
          <w:sz w:val="22"/>
          <w:lang w:val="en-GB"/>
        </w:rPr>
        <w:t>Was the moderator or predictor specified a priori?</w:t>
      </w:r>
    </w:p>
    <w:p w:rsidR="003F1B5E" w:rsidRPr="005A255F" w:rsidRDefault="003F1B5E" w:rsidP="003F1B5E">
      <w:pPr>
        <w:pStyle w:val="Lijstalinea"/>
        <w:spacing w:after="0"/>
        <w:ind w:left="851"/>
        <w:rPr>
          <w:rFonts w:ascii="Arial" w:hAnsi="Arial" w:cs="Arial"/>
          <w:sz w:val="22"/>
          <w:lang w:val="en-GB"/>
        </w:rPr>
      </w:pPr>
    </w:p>
    <w:p w:rsidR="003F1B5E" w:rsidRPr="005A255F" w:rsidRDefault="003F1B5E" w:rsidP="003F1B5E">
      <w:pPr>
        <w:pStyle w:val="Lijstalinea"/>
        <w:spacing w:after="0"/>
        <w:ind w:left="851"/>
        <w:rPr>
          <w:rFonts w:ascii="Arial" w:hAnsi="Arial" w:cs="Arial"/>
          <w:sz w:val="22"/>
          <w:lang w:val="en-GB"/>
        </w:rPr>
      </w:pPr>
      <w:r w:rsidRPr="005A255F">
        <w:rPr>
          <w:rFonts w:ascii="Arial" w:hAnsi="Arial" w:cs="Arial"/>
          <w:sz w:val="22"/>
          <w:lang w:val="en-GB"/>
        </w:rPr>
        <w:t>A moderator or predictor effect should preferably be specified a priori. A finding is less likely to be a chance finding if the moderator or predictor effect (direction and/or size) was hypothesised before the start of the study.</w:t>
      </w:r>
    </w:p>
    <w:p w:rsidR="003F1B5E" w:rsidRPr="005A255F" w:rsidRDefault="003F1B5E" w:rsidP="003F1B5E">
      <w:pPr>
        <w:spacing w:after="0"/>
        <w:ind w:left="567"/>
        <w:rPr>
          <w:rFonts w:cs="Arial"/>
          <w:u w:val="single"/>
          <w:lang w:val="en-GB"/>
        </w:rPr>
      </w:pPr>
    </w:p>
    <w:p w:rsidR="003F1B5E" w:rsidRPr="005A255F" w:rsidRDefault="003F1B5E" w:rsidP="003F1B5E">
      <w:pPr>
        <w:ind w:left="1418" w:hanging="567"/>
        <w:rPr>
          <w:rFonts w:cs="Arial"/>
          <w:lang w:val="en-GB"/>
        </w:rPr>
      </w:pPr>
      <w:r w:rsidRPr="005A255F">
        <w:rPr>
          <w:rFonts w:cs="Arial"/>
          <w:b/>
          <w:lang w:val="en-GB"/>
        </w:rPr>
        <w:t>Consider:</w:t>
      </w:r>
      <w:r w:rsidRPr="005A255F">
        <w:rPr>
          <w:rFonts w:cs="Arial"/>
          <w:lang w:val="en-GB"/>
        </w:rPr>
        <w:t xml:space="preserve"> Whether the hypothesised effects and analyses were specified in a previously published study protocol, or whether they were explained by studies referenced in the paper, or whether authors explicitly stated that candidate factors were pre-specified. Any analysis to estimate the statistical power of the study for specified moderator/predictor effects also indicates that the moderator or predictor was pre-specified.</w:t>
      </w:r>
    </w:p>
    <w:p w:rsidR="003F1B5E" w:rsidRPr="005A255F" w:rsidRDefault="003F1B5E" w:rsidP="003F1B5E">
      <w:pPr>
        <w:spacing w:after="0"/>
        <w:ind w:left="1418" w:hanging="567"/>
        <w:rPr>
          <w:rFonts w:cs="Arial"/>
          <w:lang w:val="en-GB"/>
        </w:rPr>
      </w:pPr>
      <w:r w:rsidRPr="005A255F">
        <w:rPr>
          <w:rFonts w:cs="Arial"/>
          <w:b/>
          <w:lang w:val="en-GB"/>
        </w:rPr>
        <w:t>Implications:</w:t>
      </w:r>
      <w:r w:rsidRPr="005A255F">
        <w:rPr>
          <w:rFonts w:cs="Arial"/>
          <w:lang w:val="en-GB"/>
        </w:rPr>
        <w:t xml:space="preserve"> A moderator or predictor effect is more likely to be false-positive if its analysis was not pre-specified. In such cases, findings should be considered exploratory, in need of further verification</w:t>
      </w:r>
    </w:p>
    <w:p w:rsidR="003F1B5E" w:rsidRPr="005A255F" w:rsidRDefault="003F1B5E" w:rsidP="003F1B5E">
      <w:pPr>
        <w:ind w:left="1418" w:hanging="567"/>
        <w:rPr>
          <w:rFonts w:cs="Arial"/>
          <w:lang w:val="en-GB"/>
        </w:rPr>
      </w:pPr>
    </w:p>
    <w:p w:rsidR="003F1B5E" w:rsidRPr="005A255F" w:rsidRDefault="003F1B5E" w:rsidP="003F1B5E">
      <w:pPr>
        <w:pStyle w:val="Lijstalinea"/>
        <w:numPr>
          <w:ilvl w:val="0"/>
          <w:numId w:val="2"/>
        </w:numPr>
        <w:tabs>
          <w:tab w:val="left" w:pos="851"/>
        </w:tabs>
        <w:ind w:left="851" w:hanging="851"/>
        <w:jc w:val="left"/>
        <w:rPr>
          <w:rFonts w:ascii="Arial" w:hAnsi="Arial" w:cs="Arial"/>
          <w:b/>
          <w:sz w:val="22"/>
          <w:lang w:val="en-GB"/>
        </w:rPr>
      </w:pPr>
      <w:r w:rsidRPr="005A255F">
        <w:rPr>
          <w:rFonts w:ascii="Arial" w:hAnsi="Arial" w:cs="Arial"/>
          <w:b/>
          <w:sz w:val="22"/>
          <w:lang w:val="en-GB"/>
        </w:rPr>
        <w:t>Was the moderator or predictor variable measured before the allocation or start of the intervention?</w:t>
      </w:r>
    </w:p>
    <w:p w:rsidR="003F1B5E" w:rsidRPr="005A255F" w:rsidRDefault="003F1B5E" w:rsidP="003F1B5E">
      <w:pPr>
        <w:spacing w:after="0"/>
        <w:ind w:left="851"/>
        <w:rPr>
          <w:rFonts w:cs="Arial"/>
          <w:lang w:val="en-GB"/>
        </w:rPr>
      </w:pPr>
      <w:r w:rsidRPr="005A255F">
        <w:rPr>
          <w:rFonts w:cs="Arial"/>
          <w:lang w:val="en-GB"/>
        </w:rPr>
        <w:lastRenderedPageBreak/>
        <w:t xml:space="preserve">The earlier variables are measured in a study, the less prone their measurements are to bias (e.g. measurements errors correlated to the treatment arm the patients were allocated to). </w:t>
      </w:r>
    </w:p>
    <w:p w:rsidR="003F1B5E" w:rsidRPr="005A255F" w:rsidRDefault="003F1B5E" w:rsidP="003F1B5E">
      <w:pPr>
        <w:spacing w:after="0"/>
        <w:ind w:left="567"/>
        <w:rPr>
          <w:rFonts w:cs="Arial"/>
          <w:lang w:val="en-GB"/>
        </w:rPr>
      </w:pPr>
    </w:p>
    <w:p w:rsidR="003F1B5E" w:rsidRPr="005A255F" w:rsidRDefault="003F1B5E" w:rsidP="003F1B5E">
      <w:pPr>
        <w:ind w:left="1418" w:hanging="567"/>
        <w:rPr>
          <w:rFonts w:cs="Arial"/>
          <w:lang w:val="en-GB"/>
        </w:rPr>
      </w:pPr>
      <w:r w:rsidRPr="005A255F">
        <w:rPr>
          <w:rFonts w:cs="Arial"/>
          <w:b/>
          <w:lang w:val="en-GB"/>
        </w:rPr>
        <w:t>Consider:</w:t>
      </w:r>
      <w:r w:rsidRPr="005A255F">
        <w:rPr>
          <w:rFonts w:cs="Arial"/>
          <w:lang w:val="en-GB"/>
        </w:rPr>
        <w:t xml:space="preserve"> Whether the variable was measured before allocation or start of the intervention, for instance because the variable was used for stratified allocation or because it is explicitly stated. This does not apply to variables that are unlikely to be affected by treatment.</w:t>
      </w:r>
    </w:p>
    <w:p w:rsidR="003F1B5E" w:rsidRPr="005A255F" w:rsidRDefault="003F1B5E" w:rsidP="003F1B5E">
      <w:pPr>
        <w:spacing w:after="0"/>
        <w:ind w:left="1418" w:hanging="567"/>
        <w:rPr>
          <w:rFonts w:cs="Arial"/>
          <w:lang w:val="en-GB"/>
        </w:rPr>
      </w:pPr>
      <w:r w:rsidRPr="005A255F">
        <w:rPr>
          <w:rFonts w:cs="Arial"/>
          <w:b/>
          <w:lang w:val="en-GB"/>
        </w:rPr>
        <w:t xml:space="preserve">Implications: </w:t>
      </w:r>
      <w:r w:rsidRPr="005A255F">
        <w:rPr>
          <w:rFonts w:cs="Arial"/>
          <w:lang w:val="en-GB"/>
        </w:rPr>
        <w:t>If the variable is straightforward to measure without bias and insensitive to treatment</w:t>
      </w:r>
      <w:r w:rsidRPr="005A255F">
        <w:rPr>
          <w:rFonts w:cs="Arial"/>
          <w:b/>
          <w:lang w:val="en-GB"/>
        </w:rPr>
        <w:t xml:space="preserve"> </w:t>
      </w:r>
      <w:r w:rsidRPr="005A255F">
        <w:rPr>
          <w:rFonts w:cs="Arial"/>
          <w:lang w:val="en-GB"/>
        </w:rPr>
        <w:t>(e.g. age, gender) there is little reason for concern. Otherwise, two problems may arise: [1] the measured effect may be a mediator: the variable explains part of the outcome because it is part of the causal relationship between treatment and outcome. In this case the variable cannot be used to stratify treatments. [2] different types of measurement bias could have occurred. If the study was double-blinded this is less likely.</w:t>
      </w:r>
    </w:p>
    <w:p w:rsidR="003F1B5E" w:rsidRPr="005A255F" w:rsidRDefault="003F1B5E" w:rsidP="003F1B5E">
      <w:pPr>
        <w:ind w:left="1418" w:hanging="567"/>
        <w:rPr>
          <w:rFonts w:cs="Arial"/>
          <w:lang w:val="en-GB"/>
        </w:rPr>
      </w:pPr>
    </w:p>
    <w:p w:rsidR="003F1B5E" w:rsidRPr="005A255F" w:rsidRDefault="003F1B5E" w:rsidP="003F1B5E">
      <w:pPr>
        <w:pStyle w:val="Lijstalinea"/>
        <w:numPr>
          <w:ilvl w:val="0"/>
          <w:numId w:val="2"/>
        </w:numPr>
        <w:tabs>
          <w:tab w:val="left" w:pos="851"/>
        </w:tabs>
        <w:ind w:left="851" w:hanging="851"/>
        <w:jc w:val="left"/>
        <w:rPr>
          <w:rFonts w:ascii="Arial" w:hAnsi="Arial" w:cs="Arial"/>
          <w:b/>
          <w:sz w:val="22"/>
          <w:lang w:val="en-GB"/>
        </w:rPr>
      </w:pPr>
      <w:r w:rsidRPr="005A255F">
        <w:rPr>
          <w:rFonts w:ascii="Arial" w:hAnsi="Arial" w:cs="Arial"/>
          <w:b/>
          <w:sz w:val="22"/>
          <w:lang w:val="en-GB"/>
        </w:rPr>
        <w:t>Was measurement of the moderator or predictor reliable and valid in the target population?</w:t>
      </w:r>
    </w:p>
    <w:p w:rsidR="003F1B5E" w:rsidRPr="005A255F" w:rsidRDefault="003F1B5E" w:rsidP="003F1B5E">
      <w:pPr>
        <w:pStyle w:val="Lijstalinea"/>
        <w:ind w:left="567" w:hanging="567"/>
        <w:rPr>
          <w:rFonts w:ascii="Arial" w:hAnsi="Arial" w:cs="Arial"/>
          <w:b/>
          <w:sz w:val="22"/>
          <w:lang w:val="en-GB"/>
        </w:rPr>
      </w:pPr>
    </w:p>
    <w:p w:rsidR="003F1B5E" w:rsidRPr="005A255F" w:rsidRDefault="003F1B5E" w:rsidP="003F1B5E">
      <w:pPr>
        <w:pStyle w:val="Lijstalinea"/>
        <w:spacing w:before="240"/>
        <w:ind w:left="851"/>
        <w:rPr>
          <w:rFonts w:ascii="Arial" w:hAnsi="Arial" w:cs="Arial"/>
          <w:sz w:val="22"/>
          <w:lang w:val="en-GB"/>
        </w:rPr>
      </w:pPr>
      <w:r w:rsidRPr="005A255F">
        <w:rPr>
          <w:rFonts w:ascii="Arial" w:hAnsi="Arial" w:cs="Arial"/>
          <w:sz w:val="22"/>
          <w:lang w:val="en-GB"/>
        </w:rPr>
        <w:t>Unreliable or invalid measurements of predictors or moderators can result in either under- or overestimation of the moderator or predictor effect. If moderator or predictor is not measured using a reliable and valid method, the subgroup effect may be underestimated and the main treatment effect may be overestimated, or vice versa.</w:t>
      </w:r>
    </w:p>
    <w:p w:rsidR="003F1B5E" w:rsidRPr="005A255F" w:rsidRDefault="003F1B5E" w:rsidP="003F1B5E">
      <w:pPr>
        <w:pStyle w:val="Lijstalinea"/>
        <w:spacing w:before="240"/>
        <w:rPr>
          <w:rFonts w:ascii="Arial" w:hAnsi="Arial" w:cs="Arial"/>
          <w:sz w:val="22"/>
          <w:lang w:val="en-GB"/>
        </w:rPr>
      </w:pPr>
    </w:p>
    <w:p w:rsidR="003F1B5E" w:rsidRPr="005A255F" w:rsidRDefault="003F1B5E" w:rsidP="003F1B5E">
      <w:pPr>
        <w:pStyle w:val="Lijstalinea"/>
        <w:spacing w:before="240"/>
        <w:ind w:left="1418" w:hanging="567"/>
        <w:rPr>
          <w:rFonts w:ascii="Arial" w:hAnsi="Arial" w:cs="Arial"/>
          <w:sz w:val="22"/>
          <w:lang w:val="en-GB"/>
        </w:rPr>
      </w:pPr>
      <w:r w:rsidRPr="005A255F">
        <w:rPr>
          <w:rFonts w:ascii="Arial" w:hAnsi="Arial" w:cs="Arial"/>
          <w:b/>
          <w:sz w:val="22"/>
          <w:lang w:val="en-GB"/>
        </w:rPr>
        <w:t>Consider:</w:t>
      </w:r>
      <w:r w:rsidRPr="005A255F">
        <w:rPr>
          <w:rFonts w:ascii="Arial" w:hAnsi="Arial" w:cs="Arial"/>
          <w:sz w:val="22"/>
          <w:lang w:val="en-GB"/>
        </w:rPr>
        <w:t xml:space="preserve"> Whether the measurement method is reliable and valid in the target population as evidenced by pilot testing and/or existing publications on the measurement method. </w:t>
      </w:r>
      <w:r w:rsidR="00E5342D">
        <w:rPr>
          <w:rFonts w:ascii="Arial" w:hAnsi="Arial" w:cs="Arial"/>
          <w:sz w:val="22"/>
          <w:lang w:val="en-GB"/>
        </w:rPr>
        <w:t>Also consider</w:t>
      </w:r>
      <w:r w:rsidR="000A1B64">
        <w:rPr>
          <w:rFonts w:ascii="Arial" w:hAnsi="Arial" w:cs="Arial"/>
          <w:sz w:val="22"/>
          <w:lang w:val="en-GB"/>
        </w:rPr>
        <w:t>, if</w:t>
      </w:r>
      <w:r w:rsidR="00E5342D">
        <w:rPr>
          <w:rFonts w:ascii="Arial" w:hAnsi="Arial" w:cs="Arial"/>
          <w:sz w:val="22"/>
          <w:lang w:val="en-GB"/>
        </w:rPr>
        <w:t xml:space="preserve"> the population used to estimate or discover moderator or predictor effects is </w:t>
      </w:r>
      <w:r w:rsidR="000A1B64">
        <w:rPr>
          <w:rFonts w:ascii="Arial" w:hAnsi="Arial" w:cs="Arial"/>
          <w:sz w:val="22"/>
          <w:lang w:val="en-GB"/>
        </w:rPr>
        <w:t xml:space="preserve">not </w:t>
      </w:r>
      <w:r w:rsidR="00E5342D">
        <w:rPr>
          <w:rFonts w:ascii="Arial" w:hAnsi="Arial" w:cs="Arial"/>
          <w:sz w:val="22"/>
          <w:lang w:val="en-GB"/>
        </w:rPr>
        <w:t>the same as the overall population</w:t>
      </w:r>
      <w:r w:rsidR="000A1B64">
        <w:rPr>
          <w:rFonts w:ascii="Arial" w:hAnsi="Arial" w:cs="Arial"/>
          <w:sz w:val="22"/>
          <w:lang w:val="en-GB"/>
        </w:rPr>
        <w:t>, what implications in terms of bias such a selection may have introduced</w:t>
      </w:r>
      <w:r w:rsidR="00E86B16">
        <w:rPr>
          <w:rFonts w:ascii="Arial" w:hAnsi="Arial" w:cs="Arial"/>
          <w:sz w:val="22"/>
          <w:lang w:val="en-GB"/>
        </w:rPr>
        <w:t xml:space="preserve"> on external validity</w:t>
      </w:r>
      <w:r w:rsidR="00E5342D">
        <w:rPr>
          <w:rFonts w:ascii="Arial" w:hAnsi="Arial" w:cs="Arial"/>
          <w:sz w:val="22"/>
          <w:lang w:val="en-GB"/>
        </w:rPr>
        <w:t xml:space="preserve">. </w:t>
      </w:r>
      <w:r w:rsidR="000A1B64">
        <w:rPr>
          <w:rFonts w:ascii="Arial" w:hAnsi="Arial" w:cs="Arial"/>
          <w:sz w:val="22"/>
          <w:lang w:val="en-GB"/>
        </w:rPr>
        <w:t xml:space="preserve">For instance, part of a population may have been excluded for moderator analysis due to </w:t>
      </w:r>
      <w:r w:rsidR="00E86B16">
        <w:rPr>
          <w:rFonts w:ascii="Arial" w:hAnsi="Arial" w:cs="Arial"/>
          <w:sz w:val="22"/>
          <w:lang w:val="en-GB"/>
        </w:rPr>
        <w:t xml:space="preserve">data </w:t>
      </w:r>
      <w:r w:rsidR="000A1B64">
        <w:rPr>
          <w:rFonts w:ascii="Arial" w:hAnsi="Arial" w:cs="Arial"/>
          <w:sz w:val="22"/>
          <w:lang w:val="en-GB"/>
        </w:rPr>
        <w:t xml:space="preserve">missing </w:t>
      </w:r>
      <w:r w:rsidR="00E86B16">
        <w:rPr>
          <w:rFonts w:ascii="Arial" w:hAnsi="Arial" w:cs="Arial"/>
          <w:sz w:val="22"/>
          <w:lang w:val="en-GB"/>
        </w:rPr>
        <w:t>not at random</w:t>
      </w:r>
      <w:r w:rsidR="000A1B64">
        <w:rPr>
          <w:rFonts w:ascii="Arial" w:hAnsi="Arial" w:cs="Arial"/>
          <w:sz w:val="22"/>
          <w:lang w:val="en-GB"/>
        </w:rPr>
        <w:t>. If these missing values are in any way systematic, bias is introduced.</w:t>
      </w:r>
    </w:p>
    <w:p w:rsidR="003F1B5E" w:rsidRPr="005A255F" w:rsidRDefault="003F1B5E" w:rsidP="003F1B5E">
      <w:pPr>
        <w:pStyle w:val="Lijstalinea"/>
        <w:spacing w:before="240"/>
        <w:ind w:left="1418" w:hanging="567"/>
        <w:rPr>
          <w:rFonts w:ascii="Arial" w:hAnsi="Arial" w:cs="Arial"/>
          <w:sz w:val="22"/>
          <w:lang w:val="en-GB"/>
        </w:rPr>
      </w:pPr>
    </w:p>
    <w:p w:rsidR="003F1B5E" w:rsidRPr="005A255F" w:rsidRDefault="003F1B5E" w:rsidP="003F1B5E">
      <w:pPr>
        <w:pStyle w:val="Lijstalinea"/>
        <w:spacing w:before="240"/>
        <w:ind w:left="1418" w:hanging="567"/>
        <w:rPr>
          <w:rFonts w:ascii="Arial" w:hAnsi="Arial" w:cs="Arial"/>
          <w:sz w:val="22"/>
          <w:lang w:val="en-GB"/>
        </w:rPr>
      </w:pPr>
      <w:r w:rsidRPr="005A255F">
        <w:rPr>
          <w:rFonts w:ascii="Arial" w:hAnsi="Arial" w:cs="Arial"/>
          <w:b/>
          <w:sz w:val="22"/>
          <w:lang w:val="en-GB"/>
        </w:rPr>
        <w:t>Implications:</w:t>
      </w:r>
      <w:r w:rsidRPr="005A255F">
        <w:rPr>
          <w:rFonts w:ascii="Arial" w:hAnsi="Arial" w:cs="Arial"/>
          <w:sz w:val="22"/>
          <w:lang w:val="en-GB"/>
        </w:rPr>
        <w:t xml:space="preserve"> Credibility of the effect (size) is compromised, in proportion to doubts regarding reliability or validity of the measurement.</w:t>
      </w:r>
    </w:p>
    <w:p w:rsidR="003F1B5E" w:rsidRPr="005A255F" w:rsidRDefault="003F1B5E" w:rsidP="003F1B5E">
      <w:pPr>
        <w:pStyle w:val="Lijstalinea"/>
        <w:ind w:left="1418" w:hanging="567"/>
        <w:contextualSpacing w:val="0"/>
        <w:rPr>
          <w:rFonts w:ascii="Arial" w:hAnsi="Arial" w:cs="Arial"/>
          <w:sz w:val="22"/>
          <w:lang w:val="en-GB"/>
        </w:rPr>
      </w:pPr>
    </w:p>
    <w:p w:rsidR="003F1B5E" w:rsidRPr="005A255F" w:rsidRDefault="003F1B5E" w:rsidP="003F1B5E">
      <w:pPr>
        <w:pStyle w:val="Lijstalinea"/>
        <w:numPr>
          <w:ilvl w:val="0"/>
          <w:numId w:val="2"/>
        </w:numPr>
        <w:tabs>
          <w:tab w:val="left" w:pos="851"/>
        </w:tabs>
        <w:spacing w:before="240"/>
        <w:ind w:left="851" w:hanging="851"/>
        <w:jc w:val="left"/>
        <w:rPr>
          <w:rFonts w:ascii="Arial" w:hAnsi="Arial" w:cs="Arial"/>
          <w:b/>
          <w:sz w:val="22"/>
          <w:lang w:val="en-GB"/>
        </w:rPr>
      </w:pPr>
      <w:r w:rsidRPr="005A255F">
        <w:rPr>
          <w:rFonts w:ascii="Arial" w:hAnsi="Arial" w:cs="Arial"/>
          <w:b/>
          <w:sz w:val="22"/>
          <w:lang w:val="en-GB"/>
        </w:rPr>
        <w:t>In case of a moderator, was an interaction test used?</w:t>
      </w:r>
    </w:p>
    <w:p w:rsidR="003F1B5E" w:rsidRPr="005A255F" w:rsidRDefault="003F1B5E" w:rsidP="003F1B5E">
      <w:pPr>
        <w:spacing w:before="240"/>
        <w:ind w:left="851"/>
        <w:rPr>
          <w:rFonts w:cs="Arial"/>
          <w:lang w:val="en-GB"/>
        </w:rPr>
      </w:pPr>
      <w:r w:rsidRPr="005A255F">
        <w:rPr>
          <w:rFonts w:cs="Arial"/>
          <w:lang w:val="en-GB"/>
        </w:rPr>
        <w:t>In the literature, the terms ‘moderator’ and ‘predictor’ are occasionally used interchangeably (or other terms are used to describe their effects, such as effect modifier, determinant or interaction effect). Hence, it is important that the user first identifies whether the effect that is being appraised is actually a moderator, a predictor</w:t>
      </w:r>
      <w:r w:rsidR="00C3718D">
        <w:rPr>
          <w:rFonts w:cs="Arial"/>
          <w:lang w:val="en-GB"/>
        </w:rPr>
        <w:t>, both (a factor can have both moderation and prediction effects),</w:t>
      </w:r>
      <w:r w:rsidR="00C3718D" w:rsidRPr="005A255F">
        <w:rPr>
          <w:rFonts w:cs="Arial"/>
          <w:lang w:val="en-GB"/>
        </w:rPr>
        <w:t xml:space="preserve"> </w:t>
      </w:r>
      <w:r w:rsidRPr="005A255F">
        <w:rPr>
          <w:rFonts w:cs="Arial"/>
          <w:lang w:val="en-GB"/>
        </w:rPr>
        <w:t xml:space="preserve">or other effect (e.g. mediating effect or main effect). </w:t>
      </w:r>
      <w:r w:rsidRPr="00CE38DC">
        <w:rPr>
          <w:rFonts w:cs="Arial"/>
          <w:lang w:val="en-GB"/>
        </w:rPr>
        <w:t xml:space="preserve">Please be aware that a subgroup </w:t>
      </w:r>
      <w:r w:rsidRPr="00CE38DC">
        <w:rPr>
          <w:rFonts w:cs="Arial"/>
          <w:lang w:val="en-GB"/>
        </w:rPr>
        <w:lastRenderedPageBreak/>
        <w:t>difference should not be considered a moderator effect</w:t>
      </w:r>
      <w:r w:rsidR="00CE38DC" w:rsidRPr="00CE38DC">
        <w:rPr>
          <w:rFonts w:cs="Arial"/>
          <w:lang w:val="en-GB"/>
        </w:rPr>
        <w:t xml:space="preserve"> unless this difference is explicitly tested</w:t>
      </w:r>
      <w:r w:rsidRPr="00CE38DC">
        <w:rPr>
          <w:rFonts w:cs="Arial"/>
          <w:lang w:val="en-GB"/>
        </w:rPr>
        <w:t>.</w:t>
      </w:r>
    </w:p>
    <w:p w:rsidR="003F1B5E" w:rsidRPr="005A255F" w:rsidRDefault="003F1B5E" w:rsidP="003F1B5E">
      <w:pPr>
        <w:spacing w:before="240"/>
        <w:ind w:left="1418" w:hanging="567"/>
        <w:rPr>
          <w:rFonts w:cs="Arial"/>
          <w:lang w:val="en-GB"/>
        </w:rPr>
      </w:pPr>
      <w:r w:rsidRPr="005A255F">
        <w:rPr>
          <w:rFonts w:cs="Arial"/>
          <w:b/>
          <w:lang w:val="en-GB"/>
        </w:rPr>
        <w:t xml:space="preserve">Consider: </w:t>
      </w:r>
      <w:r w:rsidRPr="005A255F">
        <w:rPr>
          <w:rFonts w:cs="Arial"/>
          <w:lang w:val="en-GB"/>
        </w:rPr>
        <w:t xml:space="preserve">Whether an interaction-test was used (a treatment by moderator interaction) </w:t>
      </w:r>
      <w:r w:rsidR="00C3718D">
        <w:rPr>
          <w:rFonts w:cs="Arial"/>
          <w:lang w:val="en-GB"/>
        </w:rPr>
        <w:t xml:space="preserve">or a similar statistical test to determine the significance of </w:t>
      </w:r>
      <w:r w:rsidR="00C3718D" w:rsidRPr="00CE38DC">
        <w:rPr>
          <w:rFonts w:cs="Arial"/>
          <w:lang w:val="en-GB"/>
        </w:rPr>
        <w:t xml:space="preserve">subgroup differences </w:t>
      </w:r>
      <w:r w:rsidR="00CE38DC">
        <w:rPr>
          <w:rFonts w:cs="Arial"/>
          <w:lang w:val="en-GB"/>
        </w:rPr>
        <w:t>over different</w:t>
      </w:r>
      <w:r w:rsidR="00CE38DC" w:rsidRPr="00CE38DC">
        <w:rPr>
          <w:rFonts w:cs="Arial"/>
          <w:lang w:val="en-GB"/>
        </w:rPr>
        <w:t xml:space="preserve"> treatment groups</w:t>
      </w:r>
      <w:r w:rsidR="00C3718D" w:rsidRPr="00CE38DC">
        <w:rPr>
          <w:rFonts w:cs="Arial"/>
          <w:lang w:val="en-GB"/>
        </w:rPr>
        <w:t>.</w:t>
      </w:r>
      <w:r w:rsidR="00C3718D" w:rsidRPr="005A255F">
        <w:rPr>
          <w:rFonts w:cs="Arial"/>
          <w:lang w:val="en-GB"/>
        </w:rPr>
        <w:t xml:space="preserve"> </w:t>
      </w:r>
      <w:r w:rsidR="00C3718D">
        <w:rPr>
          <w:rFonts w:cs="Arial"/>
          <w:lang w:val="en-GB"/>
        </w:rPr>
        <w:t>Not</w:t>
      </w:r>
      <w:r w:rsidR="00CE38DC">
        <w:rPr>
          <w:rFonts w:cs="Arial"/>
          <w:lang w:val="en-GB"/>
        </w:rPr>
        <w:t>e that not</w:t>
      </w:r>
      <w:r w:rsidR="00C3718D">
        <w:rPr>
          <w:rFonts w:cs="Arial"/>
          <w:lang w:val="en-GB"/>
        </w:rPr>
        <w:t xml:space="preserve"> all moderator effects are multiplicative; additive moderator effects may appear similar to predictor effects and can only be distinguished by determining whether the factor can be used to explain outcome differences between subgroups receiving a treatment. </w:t>
      </w:r>
      <w:r w:rsidR="00CE38DC">
        <w:rPr>
          <w:rFonts w:cs="Arial"/>
          <w:lang w:val="en-GB"/>
        </w:rPr>
        <w:t>Also consider w</w:t>
      </w:r>
      <w:r w:rsidRPr="005A255F">
        <w:rPr>
          <w:rFonts w:cs="Arial"/>
          <w:lang w:val="en-GB"/>
        </w:rPr>
        <w:t>hether the effect can be considered a main effect instead (i.e. direct theoretical or statistical association with treatment).</w:t>
      </w:r>
    </w:p>
    <w:p w:rsidR="003F1B5E" w:rsidRPr="005A255F" w:rsidRDefault="003F1B5E" w:rsidP="003F1B5E">
      <w:pPr>
        <w:spacing w:before="240"/>
        <w:ind w:left="1418" w:hanging="567"/>
        <w:rPr>
          <w:rFonts w:cs="Arial"/>
          <w:lang w:val="en-GB"/>
        </w:rPr>
      </w:pPr>
      <w:r w:rsidRPr="005A255F">
        <w:rPr>
          <w:rFonts w:cs="Arial"/>
          <w:b/>
          <w:lang w:val="en-GB"/>
        </w:rPr>
        <w:t>Implications:</w:t>
      </w:r>
      <w:r w:rsidRPr="005A255F">
        <w:rPr>
          <w:rFonts w:cs="Arial"/>
          <w:lang w:val="en-GB"/>
        </w:rPr>
        <w:t xml:space="preserve"> If no interaction-test was used, or the results of such test were not statistically significant, the observed effect (if any) should be considered a predictor, not a moderator. If the moderator is associated/correlated with the treatment, it is a mediator.</w:t>
      </w:r>
    </w:p>
    <w:p w:rsidR="003F1B5E" w:rsidRPr="005A255F" w:rsidRDefault="003F1B5E" w:rsidP="003F1B5E">
      <w:pPr>
        <w:spacing w:before="240" w:after="0" w:line="240" w:lineRule="auto"/>
        <w:ind w:left="1418" w:hanging="567"/>
        <w:rPr>
          <w:rFonts w:cs="Arial"/>
          <w:b/>
          <w:lang w:val="en-GB"/>
        </w:rPr>
      </w:pPr>
    </w:p>
    <w:p w:rsidR="003F1B5E" w:rsidRPr="005A255F" w:rsidRDefault="003F1B5E" w:rsidP="003F1B5E">
      <w:pPr>
        <w:pStyle w:val="Lijstalinea"/>
        <w:numPr>
          <w:ilvl w:val="0"/>
          <w:numId w:val="2"/>
        </w:numPr>
        <w:tabs>
          <w:tab w:val="left" w:pos="851"/>
        </w:tabs>
        <w:ind w:left="851" w:hanging="851"/>
        <w:jc w:val="left"/>
        <w:rPr>
          <w:rFonts w:ascii="Arial" w:hAnsi="Arial" w:cs="Arial"/>
          <w:b/>
          <w:sz w:val="22"/>
          <w:lang w:val="en-GB"/>
        </w:rPr>
      </w:pPr>
      <w:r w:rsidRPr="005A255F">
        <w:rPr>
          <w:rFonts w:ascii="Arial" w:hAnsi="Arial" w:cs="Arial"/>
          <w:b/>
          <w:sz w:val="22"/>
          <w:lang w:val="en-GB"/>
        </w:rPr>
        <w:t>Was a limited number of moderators and predictors tested?</w:t>
      </w:r>
    </w:p>
    <w:p w:rsidR="003F1B5E" w:rsidRPr="005A255F" w:rsidRDefault="003F1B5E" w:rsidP="003F1B5E">
      <w:pPr>
        <w:spacing w:after="0"/>
        <w:ind w:left="851"/>
        <w:rPr>
          <w:rFonts w:cs="Arial"/>
          <w:lang w:val="en-GB"/>
        </w:rPr>
      </w:pPr>
      <w:r w:rsidRPr="005A255F">
        <w:rPr>
          <w:rFonts w:cs="Arial"/>
          <w:lang w:val="en-GB"/>
        </w:rPr>
        <w:t xml:space="preserve">There are two reasons for keeping the number of moderators and predictors tested at a minimum: The probability of finding false-positive effects due to chance (related to alpha-level), and the risk of </w:t>
      </w:r>
      <w:proofErr w:type="spellStart"/>
      <w:r w:rsidRPr="005A255F">
        <w:rPr>
          <w:rFonts w:cs="Arial"/>
          <w:lang w:val="en-GB"/>
        </w:rPr>
        <w:t>overfitting</w:t>
      </w:r>
      <w:proofErr w:type="spellEnd"/>
      <w:r w:rsidRPr="005A255F">
        <w:rPr>
          <w:rFonts w:cs="Arial"/>
          <w:lang w:val="en-GB"/>
        </w:rPr>
        <w:t xml:space="preserve"> of (regression) models. </w:t>
      </w:r>
    </w:p>
    <w:p w:rsidR="003F1B5E" w:rsidRPr="005A255F" w:rsidRDefault="003F1B5E" w:rsidP="003F1B5E">
      <w:pPr>
        <w:spacing w:after="0"/>
        <w:ind w:left="851"/>
        <w:rPr>
          <w:rFonts w:cs="Arial"/>
          <w:lang w:val="en-GB"/>
        </w:rPr>
      </w:pPr>
    </w:p>
    <w:p w:rsidR="003F1B5E" w:rsidRPr="005A255F" w:rsidRDefault="003F1B5E" w:rsidP="003F1B5E">
      <w:pPr>
        <w:tabs>
          <w:tab w:val="left" w:pos="1418"/>
        </w:tabs>
        <w:spacing w:after="0"/>
        <w:ind w:left="1418" w:hanging="567"/>
        <w:rPr>
          <w:rFonts w:cs="Arial"/>
          <w:lang w:val="en-GB"/>
        </w:rPr>
      </w:pPr>
      <w:r w:rsidRPr="005A255F">
        <w:rPr>
          <w:rFonts w:cs="Arial"/>
          <w:b/>
          <w:lang w:val="en-GB"/>
        </w:rPr>
        <w:t>Consider:</w:t>
      </w:r>
      <w:r w:rsidRPr="005A255F">
        <w:rPr>
          <w:rFonts w:cs="Arial"/>
          <w:lang w:val="en-GB"/>
        </w:rPr>
        <w:t xml:space="preserve"> Consider the total number of moderators and predictors tested in a study. There are no firm criteria to determine what number of tests can still be considered adequate. These problems are (at least partially) related to the amount of tests performed in relation to study size. There are some rules of thumb relating to multivariate analysis: Some sources state that 20 subjects per moderator is the bare minimum </w:t>
      </w:r>
      <w:r w:rsidR="00CB71AC" w:rsidRPr="005A255F">
        <w:rPr>
          <w:rFonts w:cs="Arial"/>
          <w:lang w:val="en-GB"/>
        </w:rPr>
        <w:fldChar w:fldCharType="begin"/>
      </w:r>
      <w:r>
        <w:rPr>
          <w:rFonts w:cs="Arial"/>
          <w:lang w:val="en-GB"/>
        </w:rPr>
        <w:instrText xml:space="preserve"> ADDIN EN.CITE &lt;EndNote&gt;&lt;Cite&gt;&lt;Author&gt;Pincus&lt;/Author&gt;&lt;Year&gt;2011&lt;/Year&gt;&lt;RecNum&gt;6&lt;/RecNum&gt;&lt;DisplayText&gt;(Pincus et al., 2011)&lt;/DisplayText&gt;&lt;record&gt;&lt;rec-number&gt;6&lt;/rec-number&gt;&lt;foreign-keys&gt;&lt;key app="EN" db-id="xp9ttsez4sazwdeteps5pszh255sv295w5vx" timestamp="1445682663"&gt;6&lt;/key&gt;&lt;/foreign-keys&gt;&lt;ref-type name="Journal Article"&gt;17&lt;/ref-type&gt;&lt;contributors&gt;&lt;authors&gt;&lt;author&gt;Pincus, Tamar&lt;/author&gt;&lt;author&gt;Miles, Clare&lt;/author&gt;&lt;author&gt;Froud, Robert&lt;/author&gt;&lt;author&gt;Underwood, Martin&lt;/author&gt;&lt;author&gt;Carnes, Dawn&lt;/author&gt;&lt;author&gt;Taylor, Stephanie&lt;/author&gt;&lt;/authors&gt;&lt;/contributors&gt;&lt;titles&gt;&lt;title&gt;Methodological criteria for the assessment of moderators in systematic reviews of randomised controlled trials: a consensus study&lt;/title&gt;&lt;secondary-title&gt;BMC Medical Research Methodology&lt;/secondary-title&gt;&lt;/titles&gt;&lt;pages&gt;14&lt;/pages&gt;&lt;volume&gt;11&lt;/volume&gt;&lt;number&gt;1&lt;/number&gt;&lt;dates&gt;&lt;year&gt;2011&lt;/year&gt;&lt;/dates&gt;&lt;isbn&gt;1471-2288&lt;/isbn&gt;&lt;accession-num&gt;doi:10.1186/1471-2288-11-14&lt;/accession-num&gt;&lt;urls&gt;&lt;related-urls&gt;&lt;url&gt;http://www.biomedcentral.com/1471-2288/11/14&lt;/url&gt;&lt;/related-urls&gt;&lt;/urls&gt;&lt;/record&gt;&lt;/Cite&gt;&lt;/EndNote&gt;</w:instrText>
      </w:r>
      <w:r w:rsidR="00CB71AC" w:rsidRPr="005A255F">
        <w:rPr>
          <w:rFonts w:cs="Arial"/>
          <w:lang w:val="en-GB"/>
        </w:rPr>
        <w:fldChar w:fldCharType="separate"/>
      </w:r>
      <w:r>
        <w:rPr>
          <w:rFonts w:cs="Arial"/>
          <w:noProof/>
          <w:lang w:val="en-GB"/>
        </w:rPr>
        <w:t>(Pincus et al., 2011)</w:t>
      </w:r>
      <w:r w:rsidR="00CB71AC" w:rsidRPr="005A255F">
        <w:rPr>
          <w:rFonts w:cs="Arial"/>
          <w:lang w:val="en-GB"/>
        </w:rPr>
        <w:fldChar w:fldCharType="end"/>
      </w:r>
      <w:r w:rsidRPr="005A255F">
        <w:rPr>
          <w:rFonts w:cs="Arial"/>
          <w:lang w:val="en-GB"/>
        </w:rPr>
        <w:t xml:space="preserve">, other rules of thumb range between 2-20 cases per regression parameter, and up to 50 per parameter in the case of stepwise regression </w:t>
      </w:r>
      <w:r w:rsidR="00CB71AC" w:rsidRPr="005A255F">
        <w:rPr>
          <w:rFonts w:cs="Arial"/>
          <w:lang w:val="en-GB"/>
        </w:rPr>
        <w:fldChar w:fldCharType="begin">
          <w:fldData xml:space="preserve">PEVuZE5vdGU+PENpdGU+PEF1dGhvcj5Wb29yaGlzPC9BdXRob3I+PFllYXI+MjAwNzwvWWVhcj48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</w:fldData>
        </w:fldChar>
      </w:r>
      <w:r>
        <w:rPr>
          <w:rFonts w:cs="Arial"/>
          <w:lang w:val="en-GB"/>
        </w:rPr>
        <w:instrText xml:space="preserve"> ADDIN EN.CITE </w:instrText>
      </w:r>
      <w:r w:rsidR="00CB71AC">
        <w:rPr>
          <w:rFonts w:cs="Arial"/>
          <w:lang w:val="en-GB"/>
        </w:rPr>
        <w:fldChar w:fldCharType="begin">
          <w:fldData xml:space="preserve">PEVuZE5vdGU+PENpdGU+PEF1dGhvcj5Wb29yaGlzPC9BdXRob3I+PFllYXI+MjAwNzwvWWVhcj48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</w:fldData>
        </w:fldChar>
      </w:r>
      <w:r>
        <w:rPr>
          <w:rFonts w:cs="Arial"/>
          <w:lang w:val="en-GB"/>
        </w:rPr>
        <w:instrText xml:space="preserve"> ADDIN EN.CITE.DATA </w:instrText>
      </w:r>
      <w:r w:rsidR="00CB71AC">
        <w:rPr>
          <w:rFonts w:cs="Arial"/>
          <w:lang w:val="en-GB"/>
        </w:rPr>
      </w:r>
      <w:r w:rsidR="00CB71AC">
        <w:rPr>
          <w:rFonts w:cs="Arial"/>
          <w:lang w:val="en-GB"/>
        </w:rPr>
        <w:fldChar w:fldCharType="end"/>
      </w:r>
      <w:r w:rsidR="00CB71AC" w:rsidRPr="005A255F">
        <w:rPr>
          <w:rFonts w:cs="Arial"/>
          <w:lang w:val="en-GB"/>
        </w:rPr>
      </w:r>
      <w:r w:rsidR="00CB71AC" w:rsidRPr="005A255F">
        <w:rPr>
          <w:rFonts w:cs="Arial"/>
          <w:lang w:val="en-GB"/>
        </w:rPr>
        <w:fldChar w:fldCharType="separate"/>
      </w:r>
      <w:r>
        <w:rPr>
          <w:rFonts w:cs="Arial"/>
          <w:noProof/>
          <w:lang w:val="en-GB"/>
        </w:rPr>
        <w:t>(Austin &amp; Steyerberg, 2015; Voorhis &amp; Morgan, 2007)</w:t>
      </w:r>
      <w:r w:rsidR="00CB71AC" w:rsidRPr="005A255F">
        <w:rPr>
          <w:rFonts w:cs="Arial"/>
          <w:lang w:val="en-GB"/>
        </w:rPr>
        <w:fldChar w:fldCharType="end"/>
      </w:r>
      <w:r w:rsidRPr="005A255F">
        <w:rPr>
          <w:rFonts w:cs="Arial"/>
          <w:lang w:val="en-GB"/>
        </w:rPr>
        <w:t xml:space="preserve">. The minimal number of cases per parameter increases when effect sizes are expected to be small, when there are substantial measurement errors or when data are skewed </w:t>
      </w:r>
      <w:r w:rsidR="00CB71AC" w:rsidRPr="005A255F">
        <w:rPr>
          <w:rFonts w:cs="Arial"/>
          <w:lang w:val="en-GB"/>
        </w:rPr>
        <w:fldChar w:fldCharType="begin"/>
      </w:r>
      <w:r>
        <w:rPr>
          <w:rFonts w:cs="Arial"/>
          <w:lang w:val="en-GB"/>
        </w:rPr>
        <w:instrText xml:space="preserve"> ADDIN EN.CITE &lt;EndNote&gt;&lt;Cite&gt;&lt;Author&gt;Voorhis&lt;/Author&gt;&lt;Year&gt;2007&lt;/Year&gt;&lt;RecNum&gt;400&lt;/RecNum&gt;&lt;DisplayText&gt;(Voorhis &amp;amp; Morgan, 2007)&lt;/DisplayText&gt;&lt;record&gt;&lt;rec-number&gt;400&lt;/rec-number&gt;&lt;foreign-keys&gt;&lt;key app="EN" db-id="eewadav2nz2d94etav4vtr2ff5pftedzte0t" timestamp="1445682086"&gt;400&lt;/key&gt;&lt;/foreign-keys&gt;&lt;ref-type name="Journal Article"&gt;17&lt;/ref-type&gt;&lt;contributors&gt;&lt;authors&gt;&lt;author&gt;Carmen R. Wilson Van Voorhis&lt;/author&gt;&lt;author&gt;Betsy L. Morgan&lt;/author&gt;&lt;/authors&gt;&lt;/contributors&gt;&lt;titles&gt;&lt;title&gt;Understanding Power and Rules of Thumb for Determining Sample Sizes&lt;/title&gt;&lt;secondary-title&gt;Tutorials in Quantitative Methods for Psychology&lt;/secondary-title&gt;&lt;/titles&gt;&lt;periodical&gt;&lt;full-title&gt;Tutorials in Quantitative Methods for Psychology&lt;/full-title&gt;&lt;/periodical&gt;&lt;keywords&gt;&lt;keyword&gt;Statistics&lt;/keyword&gt;&lt;keyword&gt;statistical power&lt;/keyword&gt;&lt;/keywords&gt;&lt;dates&gt;&lt;year&gt;2007&lt;/year&gt;&lt;/dates&gt;&lt;urls&gt;&lt;related-urls&gt;&lt;url&gt;http://www.tqmp.org/Content/vol03-2/p043/p043.pdf&lt;/url&gt;&lt;/related-urls&gt;&lt;/urls&gt;&lt;/record&gt;&lt;/Cite&gt;&lt;/EndNote&gt;</w:instrText>
      </w:r>
      <w:r w:rsidR="00CB71AC" w:rsidRPr="005A255F">
        <w:rPr>
          <w:rFonts w:cs="Arial"/>
          <w:lang w:val="en-GB"/>
        </w:rPr>
        <w:fldChar w:fldCharType="separate"/>
      </w:r>
      <w:r>
        <w:rPr>
          <w:rFonts w:cs="Arial"/>
          <w:noProof/>
          <w:lang w:val="en-GB"/>
        </w:rPr>
        <w:t>(Voorhis &amp; Morgan, 2007)</w:t>
      </w:r>
      <w:r w:rsidR="00CB71AC" w:rsidRPr="005A255F">
        <w:rPr>
          <w:rFonts w:cs="Arial"/>
          <w:lang w:val="en-GB"/>
        </w:rPr>
        <w:fldChar w:fldCharType="end"/>
      </w:r>
      <w:r w:rsidRPr="005A255F">
        <w:rPr>
          <w:rFonts w:cs="Arial"/>
          <w:lang w:val="en-GB"/>
        </w:rPr>
        <w:t xml:space="preserve">. For </w:t>
      </w:r>
      <w:proofErr w:type="spellStart"/>
      <w:r w:rsidRPr="005A255F">
        <w:rPr>
          <w:rFonts w:cs="Arial"/>
          <w:lang w:val="en-GB"/>
        </w:rPr>
        <w:t>univariate</w:t>
      </w:r>
      <w:proofErr w:type="spellEnd"/>
      <w:r w:rsidRPr="005A255F">
        <w:rPr>
          <w:rFonts w:cs="Arial"/>
          <w:lang w:val="en-GB"/>
        </w:rPr>
        <w:t xml:space="preserve"> analysis, specific statistical methods may be used to perform or correct for multiple testing (e.g. </w:t>
      </w:r>
      <w:proofErr w:type="spellStart"/>
      <w:r w:rsidRPr="005A255F">
        <w:rPr>
          <w:rFonts w:cs="Arial"/>
          <w:lang w:val="en-GB"/>
        </w:rPr>
        <w:t>Bonferroni</w:t>
      </w:r>
      <w:proofErr w:type="spellEnd"/>
      <w:r w:rsidRPr="005A255F">
        <w:rPr>
          <w:rFonts w:cs="Arial"/>
          <w:lang w:val="en-GB"/>
        </w:rPr>
        <w:t xml:space="preserve"> correction); statistical expertise may be required to appraise such cases.</w:t>
      </w:r>
    </w:p>
    <w:p w:rsidR="003F1B5E" w:rsidRPr="005A255F" w:rsidRDefault="003F1B5E" w:rsidP="003F1B5E">
      <w:pPr>
        <w:spacing w:after="0"/>
        <w:ind w:left="720"/>
        <w:rPr>
          <w:rFonts w:cs="Arial"/>
          <w:lang w:val="en-GB"/>
        </w:rPr>
      </w:pPr>
    </w:p>
    <w:p w:rsidR="003F1B5E" w:rsidRPr="005A255F" w:rsidRDefault="003F1B5E" w:rsidP="003F1B5E">
      <w:pPr>
        <w:spacing w:after="0"/>
        <w:ind w:left="1418" w:hanging="567"/>
        <w:rPr>
          <w:rFonts w:cs="Arial"/>
          <w:lang w:val="en-GB"/>
        </w:rPr>
      </w:pPr>
      <w:r w:rsidRPr="005A255F">
        <w:rPr>
          <w:rFonts w:cs="Arial"/>
          <w:b/>
          <w:lang w:val="en-GB"/>
        </w:rPr>
        <w:t>Implications:</w:t>
      </w:r>
      <w:r w:rsidRPr="005A255F">
        <w:rPr>
          <w:rFonts w:cs="Arial"/>
          <w:lang w:val="en-GB"/>
        </w:rPr>
        <w:t xml:space="preserve"> Depending on the p-value that is still considered significant (often set at 0.05) or the size of the confidence interval (often set at 95%), a certain number of hypotheses are expected to be significant based on chance alone (in the case of a p-value of 0.05, this is 5% of all tested hypotheses). Hence, if more tests are performed, the more likely that a finding is false-positive.</w:t>
      </w:r>
    </w:p>
    <w:p w:rsidR="003F1B5E" w:rsidRPr="005A255F" w:rsidRDefault="003F1B5E" w:rsidP="003F1B5E">
      <w:pPr>
        <w:ind w:left="1418" w:hanging="567"/>
        <w:rPr>
          <w:rFonts w:cs="Arial"/>
          <w:lang w:val="en-GB"/>
        </w:rPr>
      </w:pPr>
    </w:p>
    <w:p w:rsidR="003F1B5E" w:rsidRPr="005A255F" w:rsidRDefault="003F1B5E" w:rsidP="003F1B5E">
      <w:pPr>
        <w:pStyle w:val="Lijstalinea"/>
        <w:numPr>
          <w:ilvl w:val="0"/>
          <w:numId w:val="2"/>
        </w:numPr>
        <w:tabs>
          <w:tab w:val="left" w:pos="851"/>
        </w:tabs>
        <w:ind w:left="851" w:hanging="851"/>
        <w:jc w:val="left"/>
        <w:rPr>
          <w:rFonts w:ascii="Arial" w:hAnsi="Arial" w:cs="Arial"/>
          <w:b/>
          <w:sz w:val="22"/>
          <w:lang w:val="en-GB"/>
        </w:rPr>
      </w:pPr>
      <w:r w:rsidRPr="005A255F">
        <w:rPr>
          <w:rFonts w:ascii="Arial" w:hAnsi="Arial" w:cs="Arial"/>
          <w:b/>
          <w:sz w:val="22"/>
          <w:lang w:val="en-GB"/>
        </w:rPr>
        <w:t>Was sample size adequate for the moderator or predictor analysis?</w:t>
      </w:r>
    </w:p>
    <w:p w:rsidR="003F1B5E" w:rsidRPr="005A255F" w:rsidRDefault="003F1B5E" w:rsidP="003F1B5E">
      <w:pPr>
        <w:spacing w:after="0"/>
        <w:ind w:left="851"/>
        <w:rPr>
          <w:rFonts w:cs="Arial"/>
          <w:lang w:val="en-GB"/>
        </w:rPr>
      </w:pPr>
      <w:r w:rsidRPr="005A255F">
        <w:rPr>
          <w:rFonts w:cs="Arial"/>
          <w:lang w:val="en-GB"/>
        </w:rPr>
        <w:lastRenderedPageBreak/>
        <w:t>Without adequate sample size, the odds of false-negative moderator or predictor effects is increased (i.e. moderators or predictors may be missed). This, in turn, may result in underestimation of other effects if such findings are used as a basis for multivariate analysis. The user may wish to perform post-hoc power analysis or look at similar studies that do provide a power analysis if none is provided in the study.</w:t>
      </w:r>
      <w:r w:rsidR="00C3718D" w:rsidRPr="00C3718D">
        <w:rPr>
          <w:rFonts w:cs="Arial"/>
          <w:lang w:val="en-GB"/>
        </w:rPr>
        <w:t xml:space="preserve"> </w:t>
      </w:r>
      <w:r w:rsidR="00C3718D">
        <w:rPr>
          <w:rFonts w:cs="Arial"/>
          <w:lang w:val="en-GB"/>
        </w:rPr>
        <w:t>There is no agreed upon best practice in sample size calculation for moderator or predictor analysis, so some leniency here should be employed.</w:t>
      </w:r>
    </w:p>
    <w:p w:rsidR="003F1B5E" w:rsidRPr="005A255F" w:rsidRDefault="003F1B5E" w:rsidP="003F1B5E">
      <w:pPr>
        <w:spacing w:before="240" w:after="0"/>
        <w:ind w:left="1418" w:hanging="567"/>
        <w:rPr>
          <w:rFonts w:cs="Arial"/>
          <w:lang w:val="en-GB"/>
        </w:rPr>
      </w:pPr>
      <w:r w:rsidRPr="005A255F">
        <w:rPr>
          <w:rFonts w:cs="Arial"/>
          <w:b/>
          <w:lang w:val="en-GB"/>
        </w:rPr>
        <w:t xml:space="preserve">Consider: </w:t>
      </w:r>
      <w:r w:rsidRPr="005A255F">
        <w:rPr>
          <w:rFonts w:cs="Arial"/>
          <w:lang w:val="en-GB"/>
        </w:rPr>
        <w:t>Consider whether a power analysis (ad hoc or post hoc) was performed or other consideration on study size were described; did the researchers succeed in including and following up the requisite number of patients? Also, consider measures such as model fit and error sizes. Please keep in mind that any significant finding can indicate that a large enough sample was used.</w:t>
      </w:r>
    </w:p>
    <w:p w:rsidR="003F1B5E" w:rsidRPr="005A255F" w:rsidRDefault="003F1B5E" w:rsidP="003F1B5E">
      <w:pPr>
        <w:spacing w:before="240" w:after="0"/>
        <w:ind w:left="1418" w:hanging="567"/>
        <w:rPr>
          <w:rFonts w:cs="Arial"/>
          <w:lang w:val="en-GB"/>
        </w:rPr>
      </w:pPr>
      <w:r w:rsidRPr="005A255F">
        <w:rPr>
          <w:rFonts w:cs="Arial"/>
          <w:b/>
          <w:lang w:val="en-GB"/>
        </w:rPr>
        <w:t xml:space="preserve">Implications: </w:t>
      </w:r>
      <w:r w:rsidRPr="005A255F">
        <w:rPr>
          <w:rFonts w:cs="Arial"/>
          <w:lang w:val="en-GB"/>
        </w:rPr>
        <w:t>If the sample size of a study was inadequate, then any effects that did not reach significance may have actually been significant effects if a larger study was performed. Hence, observed effects to be not statistically significant cannot be dismissed. If interaction terms are not significant and study size was too small, there may yet be a moderator effect.</w:t>
      </w:r>
    </w:p>
    <w:p w:rsidR="003F1B5E" w:rsidRPr="005A255F" w:rsidRDefault="003F1B5E" w:rsidP="003F1B5E">
      <w:pPr>
        <w:spacing w:after="0"/>
        <w:ind w:left="720"/>
        <w:rPr>
          <w:rFonts w:cs="Arial"/>
          <w:lang w:val="en-GB"/>
        </w:rPr>
      </w:pPr>
    </w:p>
    <w:p w:rsidR="003F1B5E" w:rsidRPr="005A255F" w:rsidRDefault="003F1B5E" w:rsidP="003F1B5E">
      <w:pPr>
        <w:pStyle w:val="Lijstalinea"/>
        <w:numPr>
          <w:ilvl w:val="0"/>
          <w:numId w:val="2"/>
        </w:numPr>
        <w:tabs>
          <w:tab w:val="left" w:pos="851"/>
        </w:tabs>
        <w:ind w:left="851" w:hanging="851"/>
        <w:jc w:val="left"/>
        <w:rPr>
          <w:rFonts w:ascii="Arial" w:hAnsi="Arial" w:cs="Arial"/>
          <w:b/>
          <w:sz w:val="22"/>
          <w:lang w:val="en-GB"/>
        </w:rPr>
      </w:pPr>
      <w:r w:rsidRPr="005A255F">
        <w:rPr>
          <w:rFonts w:ascii="Arial" w:hAnsi="Arial" w:cs="Arial"/>
          <w:b/>
          <w:sz w:val="22"/>
          <w:lang w:val="en-GB"/>
        </w:rPr>
        <w:t>Were results presented for all candidate moderators or predictors that were examined?</w:t>
      </w:r>
    </w:p>
    <w:p w:rsidR="003F1B5E" w:rsidRPr="005A255F" w:rsidRDefault="003F1B5E" w:rsidP="003F1B5E">
      <w:pPr>
        <w:spacing w:after="0"/>
        <w:ind w:left="851"/>
        <w:rPr>
          <w:rFonts w:cs="Arial"/>
          <w:lang w:val="en-GB"/>
        </w:rPr>
      </w:pPr>
      <w:r w:rsidRPr="005A255F">
        <w:rPr>
          <w:rFonts w:cs="Arial"/>
          <w:lang w:val="en-GB"/>
        </w:rPr>
        <w:t xml:space="preserve">Conceivably, more candidate moderators or predictors were investigated, but only those for which significant associations were found are being reported (selective reporting or reporting bias). This may be established by examining published study protocols. </w:t>
      </w:r>
      <w:r w:rsidR="0090659E">
        <w:rPr>
          <w:rFonts w:cs="Arial"/>
          <w:lang w:val="en-GB"/>
        </w:rPr>
        <w:t>Additionally, to properly interpret moderator effects, predictor effects of the same variable (if any) should be investigated and presented as well.</w:t>
      </w:r>
    </w:p>
    <w:p w:rsidR="003F1B5E" w:rsidRPr="005A255F" w:rsidRDefault="003F1B5E" w:rsidP="003F1B5E">
      <w:pPr>
        <w:spacing w:after="0"/>
        <w:ind w:left="851"/>
        <w:rPr>
          <w:rFonts w:cs="Arial"/>
          <w:lang w:val="en-GB"/>
        </w:rPr>
      </w:pPr>
    </w:p>
    <w:p w:rsidR="003F1B5E" w:rsidRPr="005A255F" w:rsidRDefault="003F1B5E" w:rsidP="003F1B5E">
      <w:pPr>
        <w:ind w:left="1418" w:hanging="567"/>
        <w:rPr>
          <w:rFonts w:cs="Arial"/>
          <w:lang w:val="en-GB"/>
        </w:rPr>
      </w:pPr>
      <w:r w:rsidRPr="005A255F">
        <w:rPr>
          <w:rFonts w:cs="Arial"/>
          <w:b/>
          <w:lang w:val="en-GB"/>
        </w:rPr>
        <w:t>Consider:</w:t>
      </w:r>
      <w:r w:rsidRPr="005A255F">
        <w:rPr>
          <w:rFonts w:cs="Arial"/>
          <w:lang w:val="en-GB"/>
        </w:rPr>
        <w:t xml:space="preserve"> Any clues that there were more moderators or predictors tested, such as</w:t>
      </w:r>
      <w:r w:rsidR="00C3718D">
        <w:rPr>
          <w:rFonts w:cs="Arial"/>
          <w:lang w:val="en-GB"/>
        </w:rPr>
        <w:t xml:space="preserve"> statements like</w:t>
      </w:r>
      <w:r w:rsidR="00C3718D" w:rsidRPr="005A255F">
        <w:rPr>
          <w:rFonts w:cs="Arial"/>
          <w:lang w:val="en-GB"/>
        </w:rPr>
        <w:t xml:space="preserve"> </w:t>
      </w:r>
      <w:r w:rsidRPr="005A255F">
        <w:rPr>
          <w:rFonts w:cs="Arial"/>
          <w:lang w:val="en-GB"/>
        </w:rPr>
        <w:t xml:space="preserve">‘all other variables were not significant’ or ‘results were corrected for baseline characteristics’ without explicit statement of the results. Consider variables that were mentioned in the protocol (if any) but not reported, or moderators or predictors that were much more likely to be researched than those reported in the study. On the other hand, if a study reports insignificant moderators/predictors, this may be considered an indication that the researchers were comprehensive in reporting moderation or prediction effects. </w:t>
      </w:r>
    </w:p>
    <w:p w:rsidR="003F1B5E" w:rsidRPr="005A255F" w:rsidRDefault="003F1B5E" w:rsidP="003F1B5E">
      <w:pPr>
        <w:ind w:left="1418" w:hanging="567"/>
        <w:rPr>
          <w:rFonts w:cs="Arial"/>
          <w:lang w:val="en-GB"/>
        </w:rPr>
      </w:pPr>
      <w:r w:rsidRPr="005A255F">
        <w:rPr>
          <w:rFonts w:cs="Arial"/>
          <w:b/>
          <w:lang w:val="en-GB"/>
        </w:rPr>
        <w:t>Implications:</w:t>
      </w:r>
      <w:r w:rsidRPr="005A255F">
        <w:rPr>
          <w:rFonts w:cs="Arial"/>
          <w:lang w:val="en-GB"/>
        </w:rPr>
        <w:t xml:space="preserve"> If it is likely that more moderators or predictors were investigated than reported, it is possible that results were selectively reported. This increases the likelihood that reported effects were chance findings.</w:t>
      </w:r>
    </w:p>
    <w:p w:rsidR="003F1B5E" w:rsidRPr="005A255F" w:rsidRDefault="003F1B5E" w:rsidP="003F1B5E">
      <w:pPr>
        <w:pStyle w:val="Lijstalinea"/>
        <w:rPr>
          <w:rFonts w:ascii="Arial" w:hAnsi="Arial" w:cs="Arial"/>
          <w:b/>
          <w:sz w:val="22"/>
          <w:lang w:val="en-GB"/>
        </w:rPr>
      </w:pPr>
    </w:p>
    <w:p w:rsidR="003F1B5E" w:rsidRPr="005A255F" w:rsidRDefault="003F1B5E" w:rsidP="003F1B5E">
      <w:pPr>
        <w:pStyle w:val="Lijstalinea"/>
        <w:numPr>
          <w:ilvl w:val="0"/>
          <w:numId w:val="2"/>
        </w:numPr>
        <w:tabs>
          <w:tab w:val="left" w:pos="851"/>
        </w:tabs>
        <w:ind w:left="851" w:hanging="851"/>
        <w:jc w:val="left"/>
        <w:rPr>
          <w:rFonts w:ascii="Arial" w:hAnsi="Arial" w:cs="Arial"/>
          <w:b/>
          <w:sz w:val="22"/>
          <w:lang w:val="en-GB"/>
        </w:rPr>
      </w:pPr>
      <w:r w:rsidRPr="005A255F">
        <w:rPr>
          <w:rFonts w:ascii="Arial" w:hAnsi="Arial" w:cs="Arial"/>
          <w:b/>
          <w:sz w:val="22"/>
          <w:lang w:val="en-GB"/>
        </w:rPr>
        <w:t>Did statistical tests or confidence intervals indicate that observed moderator or predictor effects were unlikely to be merely due to chance variation?</w:t>
      </w:r>
    </w:p>
    <w:p w:rsidR="003F1B5E" w:rsidRPr="005A255F" w:rsidRDefault="003F1B5E" w:rsidP="003F1B5E">
      <w:pPr>
        <w:spacing w:after="0"/>
        <w:ind w:left="851"/>
        <w:rPr>
          <w:rFonts w:cs="Arial"/>
          <w:lang w:val="en-GB"/>
        </w:rPr>
      </w:pPr>
      <w:r w:rsidRPr="005A255F">
        <w:rPr>
          <w:rFonts w:cs="Arial"/>
          <w:lang w:val="en-GB"/>
        </w:rPr>
        <w:t>Statistical tests help distinguish chance findings from real findings. Although the results of these tests do not prove that a moderator or predictor effect is real or not, they do add to the evidence that an observed effect is likely to be true.</w:t>
      </w:r>
    </w:p>
    <w:p w:rsidR="003F1B5E" w:rsidRPr="005A255F" w:rsidRDefault="003F1B5E" w:rsidP="003F1B5E">
      <w:pPr>
        <w:spacing w:before="240" w:after="0"/>
        <w:ind w:left="1418" w:hanging="567"/>
        <w:rPr>
          <w:rFonts w:cs="Arial"/>
          <w:lang w:val="en-GB"/>
        </w:rPr>
      </w:pPr>
      <w:r w:rsidRPr="005A255F">
        <w:rPr>
          <w:rFonts w:cs="Arial"/>
          <w:b/>
          <w:lang w:val="en-GB"/>
        </w:rPr>
        <w:lastRenderedPageBreak/>
        <w:t xml:space="preserve">Consider: </w:t>
      </w:r>
      <w:r w:rsidRPr="005A255F">
        <w:rPr>
          <w:rFonts w:cs="Arial"/>
          <w:lang w:val="en-GB"/>
        </w:rPr>
        <w:t xml:space="preserve">Whether the (pooled) moderator or predictor effect shows significance (confidence interval not including 1, or regression parameter range not including 0, or p-value lower than the value considered significant; usually 0.05 or lower in the case of many tests or the utilisation of a </w:t>
      </w:r>
      <w:proofErr w:type="spellStart"/>
      <w:r w:rsidRPr="005A255F">
        <w:rPr>
          <w:rFonts w:cs="Arial"/>
          <w:lang w:val="en-GB"/>
        </w:rPr>
        <w:t>Bonferroni</w:t>
      </w:r>
      <w:proofErr w:type="spellEnd"/>
      <w:r w:rsidRPr="005A255F">
        <w:rPr>
          <w:rFonts w:cs="Arial"/>
          <w:lang w:val="en-GB"/>
        </w:rPr>
        <w:t xml:space="preserve"> or other correction). If a correction for multiple testing was used, consider the validity of this method as well as its assumptions (see also items 5 and 6).</w:t>
      </w:r>
    </w:p>
    <w:p w:rsidR="003F1B5E" w:rsidRPr="005A255F" w:rsidRDefault="003F1B5E" w:rsidP="003F1B5E">
      <w:pPr>
        <w:spacing w:before="240" w:after="0"/>
        <w:ind w:left="1418" w:hanging="567"/>
        <w:rPr>
          <w:rFonts w:cs="Arial"/>
          <w:lang w:val="en-GB"/>
        </w:rPr>
      </w:pPr>
      <w:r w:rsidRPr="005A255F">
        <w:rPr>
          <w:rFonts w:cs="Arial"/>
          <w:b/>
          <w:lang w:val="en-GB"/>
        </w:rPr>
        <w:t xml:space="preserve">Implications: </w:t>
      </w:r>
      <w:r w:rsidRPr="005A255F">
        <w:rPr>
          <w:rFonts w:cs="Arial"/>
          <w:lang w:val="en-GB"/>
        </w:rPr>
        <w:t>Smaller intervals and better significance add to the credibility of the observed effect. Insignificance of moderator (interaction-term) effects may indicate that there is another effect (e.g. predictor-effect) or that study size was inadequate. Insignificance of a predictor-effect may indicate the predictor-effect does not exist or that the study was too small.</w:t>
      </w:r>
    </w:p>
    <w:p w:rsidR="003F1B5E" w:rsidRPr="005A255F" w:rsidRDefault="003F1B5E" w:rsidP="003F1B5E">
      <w:pPr>
        <w:ind w:left="720"/>
        <w:rPr>
          <w:rFonts w:cs="Arial"/>
          <w:u w:val="single"/>
          <w:lang w:val="en-GB"/>
        </w:rPr>
      </w:pPr>
    </w:p>
    <w:p w:rsidR="003F1B5E" w:rsidRPr="005A255F" w:rsidRDefault="003F1B5E" w:rsidP="003F1B5E">
      <w:pPr>
        <w:pStyle w:val="Lijstalinea"/>
        <w:numPr>
          <w:ilvl w:val="0"/>
          <w:numId w:val="2"/>
        </w:numPr>
        <w:ind w:left="851" w:hanging="851"/>
        <w:jc w:val="left"/>
        <w:rPr>
          <w:rFonts w:ascii="Arial" w:hAnsi="Arial" w:cs="Arial"/>
          <w:b/>
          <w:sz w:val="22"/>
          <w:lang w:val="en-GB"/>
        </w:rPr>
      </w:pPr>
      <w:r w:rsidRPr="005A255F">
        <w:rPr>
          <w:rFonts w:ascii="Arial" w:hAnsi="Arial" w:cs="Arial"/>
          <w:b/>
          <w:sz w:val="22"/>
          <w:lang w:val="en-GB"/>
        </w:rPr>
        <w:t>Was the moderator or predictor effect consistent with related moderators or predictors, or across related outcomes measured within the study [or between studies]?</w:t>
      </w:r>
    </w:p>
    <w:p w:rsidR="003F1B5E" w:rsidRPr="005A255F" w:rsidRDefault="003F1B5E" w:rsidP="003F1B5E">
      <w:pPr>
        <w:spacing w:after="0"/>
        <w:ind w:left="851"/>
        <w:rPr>
          <w:rFonts w:cs="Arial"/>
          <w:lang w:val="en-GB"/>
        </w:rPr>
      </w:pPr>
      <w:r w:rsidRPr="005A255F">
        <w:rPr>
          <w:rFonts w:cs="Arial"/>
          <w:lang w:val="en-GB"/>
        </w:rPr>
        <w:t xml:space="preserve">Consistence between moderator or predictor effects adds to the credibility of the results. </w:t>
      </w:r>
      <w:r w:rsidR="00C3718D" w:rsidRPr="005A255F">
        <w:rPr>
          <w:rFonts w:cs="Arial"/>
          <w:lang w:val="en-GB"/>
        </w:rPr>
        <w:t>Inconsistenc</w:t>
      </w:r>
      <w:r w:rsidR="00C3718D">
        <w:rPr>
          <w:rFonts w:cs="Arial"/>
          <w:lang w:val="en-GB"/>
        </w:rPr>
        <w:t>y</w:t>
      </w:r>
      <w:r w:rsidR="00C3718D" w:rsidRPr="005A255F">
        <w:rPr>
          <w:rFonts w:cs="Arial"/>
          <w:lang w:val="en-GB"/>
        </w:rPr>
        <w:t xml:space="preserve"> </w:t>
      </w:r>
      <w:r w:rsidRPr="005A255F">
        <w:rPr>
          <w:rFonts w:cs="Arial"/>
          <w:lang w:val="en-GB"/>
        </w:rPr>
        <w:t>between findings may suggest chance findings or incorrect assumptions in theories or analysis (e.g. correlations between two regression models parameters may result in two oppositely directed effects). ‘Related’ means sharing a (</w:t>
      </w:r>
      <w:proofErr w:type="spellStart"/>
      <w:r w:rsidRPr="005A255F">
        <w:rPr>
          <w:rFonts w:cs="Arial"/>
          <w:lang w:val="en-GB"/>
        </w:rPr>
        <w:t>pathophysiological</w:t>
      </w:r>
      <w:proofErr w:type="spellEnd"/>
      <w:r w:rsidRPr="005A255F">
        <w:rPr>
          <w:rFonts w:cs="Arial"/>
          <w:lang w:val="en-GB"/>
        </w:rPr>
        <w:t>) pathway or related characteristics (e.g. employment and income). The stronger such measures are related, the more consistent the results should be. For systematic reviews or a body of evidence, this item does not involve the comparison of the same moderator or predictor effect across different studies, but the comparison of different moderator or predictor effects.</w:t>
      </w:r>
      <w:r w:rsidRPr="005A255F" w:rsidDel="002127A0">
        <w:rPr>
          <w:rFonts w:cs="Arial"/>
          <w:lang w:val="en-GB"/>
        </w:rPr>
        <w:t xml:space="preserve"> </w:t>
      </w:r>
    </w:p>
    <w:p w:rsidR="003F1B5E" w:rsidRPr="005A255F" w:rsidRDefault="003F1B5E" w:rsidP="003F1B5E">
      <w:pPr>
        <w:spacing w:after="0"/>
        <w:ind w:left="720"/>
        <w:rPr>
          <w:rFonts w:cs="Arial"/>
          <w:lang w:val="en-GB"/>
        </w:rPr>
      </w:pPr>
    </w:p>
    <w:p w:rsidR="003F1B5E" w:rsidRPr="005A255F" w:rsidRDefault="003F1B5E" w:rsidP="003F1B5E">
      <w:pPr>
        <w:ind w:left="1418" w:hanging="567"/>
        <w:rPr>
          <w:rFonts w:cs="Arial"/>
          <w:lang w:val="en-GB"/>
        </w:rPr>
      </w:pPr>
      <w:r w:rsidRPr="005A255F">
        <w:rPr>
          <w:rFonts w:cs="Arial"/>
          <w:b/>
          <w:lang w:val="en-GB"/>
        </w:rPr>
        <w:t xml:space="preserve">Consider: </w:t>
      </w:r>
      <w:r w:rsidRPr="005A255F">
        <w:rPr>
          <w:rFonts w:cs="Arial"/>
          <w:lang w:val="en-GB"/>
        </w:rPr>
        <w:t>Whether</w:t>
      </w:r>
      <w:r w:rsidRPr="005A255F">
        <w:rPr>
          <w:rFonts w:cs="Arial"/>
          <w:b/>
          <w:lang w:val="en-GB"/>
        </w:rPr>
        <w:t xml:space="preserve"> </w:t>
      </w:r>
      <w:r w:rsidRPr="005A255F">
        <w:rPr>
          <w:rFonts w:cs="Arial"/>
          <w:lang w:val="en-GB"/>
        </w:rPr>
        <w:t>multiple related moderators or predictors show the same effects (variation in effect size may apply) for the same outcome; whether a single moderator or predictor shows similar effect across different related outcomes (e.g. survival and incidence of infection).</w:t>
      </w:r>
    </w:p>
    <w:p w:rsidR="003F1B5E" w:rsidRPr="005A255F" w:rsidRDefault="003F1B5E" w:rsidP="003F1B5E">
      <w:pPr>
        <w:ind w:left="1418" w:hanging="567"/>
        <w:rPr>
          <w:rFonts w:cs="Arial"/>
          <w:lang w:val="en-GB"/>
        </w:rPr>
      </w:pPr>
      <w:r w:rsidRPr="005A255F">
        <w:rPr>
          <w:rFonts w:cs="Arial"/>
          <w:b/>
          <w:lang w:val="en-GB"/>
        </w:rPr>
        <w:t xml:space="preserve">Implications: </w:t>
      </w:r>
      <w:r w:rsidR="00E5342D">
        <w:rPr>
          <w:rFonts w:cs="Arial"/>
          <w:lang w:val="en-GB"/>
        </w:rPr>
        <w:t>I</w:t>
      </w:r>
      <w:r w:rsidR="00E5342D" w:rsidRPr="005A255F">
        <w:rPr>
          <w:rFonts w:cs="Arial"/>
          <w:lang w:val="en-GB"/>
        </w:rPr>
        <w:t xml:space="preserve">f </w:t>
      </w:r>
      <w:r w:rsidRPr="005A255F">
        <w:rPr>
          <w:rFonts w:cs="Arial"/>
          <w:lang w:val="en-GB"/>
        </w:rPr>
        <w:t>related moderators or outcomes show similar effects, this contributes to the credibility of individual findings. If contradictory effects are found, other effects may underlie the observed moderator or predictor effects, or observed effects apply only under specific conditions.</w:t>
      </w:r>
    </w:p>
    <w:p w:rsidR="003F1B5E" w:rsidRPr="005A255F" w:rsidRDefault="003F1B5E" w:rsidP="003F1B5E">
      <w:pPr>
        <w:rPr>
          <w:rFonts w:cs="Arial"/>
          <w:b/>
          <w:lang w:val="en-GB"/>
        </w:rPr>
      </w:pPr>
    </w:p>
    <w:p w:rsidR="003F1B5E" w:rsidRPr="005A255F" w:rsidRDefault="003F1B5E" w:rsidP="003F1B5E">
      <w:pPr>
        <w:pStyle w:val="Lijstalinea"/>
        <w:numPr>
          <w:ilvl w:val="0"/>
          <w:numId w:val="2"/>
        </w:numPr>
        <w:tabs>
          <w:tab w:val="left" w:pos="851"/>
        </w:tabs>
        <w:ind w:left="851" w:hanging="851"/>
        <w:jc w:val="left"/>
        <w:rPr>
          <w:rFonts w:ascii="Arial" w:hAnsi="Arial" w:cs="Arial"/>
          <w:b/>
          <w:sz w:val="22"/>
          <w:lang w:val="en-GB"/>
        </w:rPr>
      </w:pPr>
      <w:r w:rsidRPr="005A255F">
        <w:rPr>
          <w:rFonts w:ascii="Arial" w:hAnsi="Arial" w:cs="Arial"/>
          <w:b/>
          <w:sz w:val="22"/>
          <w:lang w:val="en-GB"/>
        </w:rPr>
        <w:t>Were the setting and study population comparable to the setting and population in which the information would be used?</w:t>
      </w:r>
    </w:p>
    <w:p w:rsidR="003F1B5E" w:rsidRPr="005A255F" w:rsidRDefault="003F1B5E" w:rsidP="003F1B5E">
      <w:pPr>
        <w:pStyle w:val="Lijstalinea"/>
        <w:spacing w:after="0"/>
        <w:rPr>
          <w:rFonts w:ascii="Arial" w:hAnsi="Arial" w:cs="Arial"/>
          <w:sz w:val="22"/>
          <w:u w:val="single"/>
          <w:lang w:val="en-GB"/>
        </w:rPr>
      </w:pPr>
    </w:p>
    <w:p w:rsidR="003F1B5E" w:rsidRPr="005A255F" w:rsidRDefault="003F1B5E" w:rsidP="003F1B5E">
      <w:pPr>
        <w:pStyle w:val="Lijstalinea"/>
        <w:spacing w:after="0"/>
        <w:ind w:left="851"/>
        <w:rPr>
          <w:rFonts w:ascii="Arial" w:hAnsi="Arial" w:cs="Arial"/>
          <w:sz w:val="22"/>
          <w:lang w:val="en-GB"/>
        </w:rPr>
      </w:pPr>
      <w:r w:rsidRPr="005A255F">
        <w:rPr>
          <w:rFonts w:ascii="Arial" w:hAnsi="Arial" w:cs="Arial"/>
          <w:sz w:val="22"/>
          <w:lang w:val="en-GB"/>
        </w:rPr>
        <w:t>The identification of moderators and predictors helps increasing the transferability of findings, but it remains important to determine whether findings from a study can be validly applied to the target setting.</w:t>
      </w:r>
    </w:p>
    <w:p w:rsidR="003F1B5E" w:rsidRPr="005A255F" w:rsidRDefault="003F1B5E" w:rsidP="003F1B5E">
      <w:pPr>
        <w:pStyle w:val="Lijstalinea"/>
        <w:spacing w:after="0"/>
        <w:ind w:left="851"/>
        <w:rPr>
          <w:rFonts w:ascii="Arial" w:hAnsi="Arial" w:cs="Arial"/>
          <w:sz w:val="22"/>
          <w:lang w:val="en-GB"/>
        </w:rPr>
      </w:pPr>
    </w:p>
    <w:p w:rsidR="003F1B5E" w:rsidRPr="005A255F" w:rsidRDefault="003F1B5E" w:rsidP="003F1B5E">
      <w:pPr>
        <w:pStyle w:val="Lijstalinea"/>
        <w:spacing w:before="240" w:after="0"/>
        <w:ind w:left="1418" w:hanging="567"/>
        <w:rPr>
          <w:rFonts w:ascii="Arial" w:hAnsi="Arial" w:cs="Arial"/>
          <w:b/>
          <w:sz w:val="22"/>
          <w:lang w:val="en-GB"/>
        </w:rPr>
      </w:pPr>
      <w:r w:rsidRPr="005A255F">
        <w:rPr>
          <w:rFonts w:ascii="Arial" w:hAnsi="Arial" w:cs="Arial"/>
          <w:b/>
          <w:sz w:val="22"/>
          <w:lang w:val="en-GB"/>
        </w:rPr>
        <w:t xml:space="preserve">Consider: </w:t>
      </w:r>
      <w:r w:rsidRPr="005A255F">
        <w:rPr>
          <w:rFonts w:ascii="Arial" w:hAnsi="Arial" w:cs="Arial"/>
          <w:sz w:val="22"/>
          <w:lang w:val="en-GB"/>
        </w:rPr>
        <w:t xml:space="preserve">Whether target and sampled population are similar for moderators and predictors that have been tested (e.g. same range of age), as well as similar </w:t>
      </w:r>
      <w:r w:rsidRPr="005A255F">
        <w:rPr>
          <w:rFonts w:ascii="Arial" w:hAnsi="Arial" w:cs="Arial"/>
          <w:sz w:val="22"/>
          <w:lang w:val="en-GB"/>
        </w:rPr>
        <w:lastRenderedPageBreak/>
        <w:t xml:space="preserve">on moderators and predictors that have not been tested (geographical location, socio-economical-status, support from others, etc.). </w:t>
      </w:r>
    </w:p>
    <w:p w:rsidR="003F1B5E" w:rsidRPr="005A255F" w:rsidRDefault="003F1B5E" w:rsidP="003F1B5E">
      <w:pPr>
        <w:pStyle w:val="Lijstalinea"/>
        <w:spacing w:before="240" w:after="0"/>
        <w:ind w:left="1418" w:hanging="567"/>
        <w:rPr>
          <w:rFonts w:ascii="Arial" w:hAnsi="Arial" w:cs="Arial"/>
          <w:b/>
          <w:sz w:val="22"/>
          <w:lang w:val="en-GB"/>
        </w:rPr>
      </w:pPr>
    </w:p>
    <w:p w:rsidR="003F1B5E" w:rsidRPr="005A255F" w:rsidRDefault="003F1B5E" w:rsidP="003F1B5E">
      <w:pPr>
        <w:pStyle w:val="Lijstalinea"/>
        <w:spacing w:before="240" w:after="0"/>
        <w:ind w:left="1418" w:hanging="567"/>
        <w:rPr>
          <w:rFonts w:ascii="Arial" w:hAnsi="Arial" w:cs="Arial"/>
          <w:b/>
          <w:sz w:val="22"/>
          <w:lang w:val="en-GB"/>
        </w:rPr>
      </w:pPr>
      <w:r w:rsidRPr="005A255F">
        <w:rPr>
          <w:rFonts w:ascii="Arial" w:hAnsi="Arial" w:cs="Arial"/>
          <w:b/>
          <w:sz w:val="22"/>
          <w:lang w:val="en-GB"/>
        </w:rPr>
        <w:t xml:space="preserve">Implications: </w:t>
      </w:r>
      <w:r w:rsidRPr="005A255F">
        <w:rPr>
          <w:rFonts w:ascii="Arial" w:hAnsi="Arial" w:cs="Arial"/>
          <w:sz w:val="22"/>
          <w:lang w:val="en-GB"/>
        </w:rPr>
        <w:t xml:space="preserve">Credibility of findings is compromised when they have to be extrapolated to different settings or populations. Moderator or predictor effects may behave differently in other settings (being moderated themselves), for instance because of underlying or related moderator or predictor effects, or practical differences in the treatment applied. </w:t>
      </w:r>
    </w:p>
    <w:p w:rsidR="003F1B5E" w:rsidRPr="005A255F" w:rsidRDefault="003F1B5E" w:rsidP="003F1B5E">
      <w:pPr>
        <w:rPr>
          <w:rFonts w:cs="Arial"/>
          <w:b/>
          <w:lang w:val="en-GB"/>
        </w:rPr>
      </w:pPr>
    </w:p>
    <w:p w:rsidR="003F1B5E" w:rsidRPr="005A255F" w:rsidRDefault="003F1B5E" w:rsidP="003F1B5E">
      <w:pPr>
        <w:pStyle w:val="Lijstalinea"/>
        <w:numPr>
          <w:ilvl w:val="0"/>
          <w:numId w:val="2"/>
        </w:numPr>
        <w:tabs>
          <w:tab w:val="left" w:pos="851"/>
        </w:tabs>
        <w:ind w:left="851" w:hanging="851"/>
        <w:jc w:val="left"/>
        <w:rPr>
          <w:rFonts w:ascii="Arial" w:hAnsi="Arial" w:cs="Arial"/>
          <w:sz w:val="22"/>
          <w:lang w:val="en-GB"/>
        </w:rPr>
      </w:pPr>
      <w:r w:rsidRPr="005A255F">
        <w:rPr>
          <w:rFonts w:ascii="Arial" w:hAnsi="Arial" w:cs="Arial"/>
          <w:b/>
          <w:sz w:val="22"/>
          <w:lang w:val="en-GB"/>
        </w:rPr>
        <w:t>Is the moderator or predictor effect clinically important?</w:t>
      </w:r>
    </w:p>
    <w:p w:rsidR="003F1B5E" w:rsidRPr="005A255F" w:rsidRDefault="003F1B5E" w:rsidP="003F1B5E">
      <w:pPr>
        <w:tabs>
          <w:tab w:val="left" w:pos="851"/>
        </w:tabs>
        <w:ind w:left="851"/>
        <w:rPr>
          <w:rFonts w:cs="Arial"/>
          <w:lang w:val="en-GB"/>
        </w:rPr>
      </w:pPr>
      <w:r w:rsidRPr="005A255F">
        <w:rPr>
          <w:rFonts w:cs="Arial"/>
          <w:lang w:val="en-GB"/>
        </w:rPr>
        <w:t xml:space="preserve">A clinically important moderator or predictor is one that has a considerable effect (i.e. larger than any measurement error as well as sufficient size) and one that is likely to be able to be implemented in practice. For example, ethical, legal or practical issues may prohibit the use of moderators or predictors in clinical practice or assessment, thus reducing its usefulness. Unless authors make explicit statements on the clinical importance of a moderator or predictor effect, specific expertise may be needed to address this item. </w:t>
      </w:r>
    </w:p>
    <w:p w:rsidR="003F1B5E" w:rsidRPr="005A255F" w:rsidRDefault="003F1B5E" w:rsidP="003F1B5E">
      <w:pPr>
        <w:tabs>
          <w:tab w:val="left" w:pos="851"/>
        </w:tabs>
        <w:ind w:left="851"/>
        <w:rPr>
          <w:rFonts w:cs="Arial"/>
          <w:lang w:val="en-GB"/>
        </w:rPr>
      </w:pPr>
      <w:r w:rsidRPr="005A255F">
        <w:rPr>
          <w:rFonts w:cs="Arial"/>
          <w:lang w:val="en-GB"/>
        </w:rPr>
        <w:t>Differences between subgroups (predictor or moderator effects) should always be interpreted with caution, even if they are based on formal tests. Explicit presentation of findings in different subgroups may help in the correct interpretation of the relevance of the results. The difference between subgroups can be presented as a mean difference (with standard deviation), standardized mean differences or Cohen’s d.</w:t>
      </w:r>
    </w:p>
    <w:p w:rsidR="003F1B5E" w:rsidRPr="005A255F" w:rsidRDefault="003F1B5E" w:rsidP="003F1B5E">
      <w:pPr>
        <w:ind w:left="1418" w:hanging="567"/>
        <w:rPr>
          <w:rFonts w:cs="Arial"/>
          <w:lang w:val="en-GB"/>
        </w:rPr>
      </w:pPr>
      <w:r w:rsidRPr="005A255F">
        <w:rPr>
          <w:rFonts w:cs="Arial"/>
          <w:b/>
          <w:lang w:val="en-GB"/>
        </w:rPr>
        <w:t>Consider:</w:t>
      </w:r>
      <w:r w:rsidRPr="005A255F">
        <w:rPr>
          <w:rFonts w:cs="Arial"/>
          <w:lang w:val="en-GB"/>
        </w:rPr>
        <w:t xml:space="preserve"> consider whether the reported group moderator or predictor effect is clinically relevant. Also consider whether confidence intervals or statistical significance were reported; as without these measures clinical importance is more difficult to estimate. Confidence intervals add to the interpretability of effects and add to the validity of the estimation of effects when used in models.</w:t>
      </w:r>
      <w:r w:rsidR="00202903" w:rsidRPr="00202903">
        <w:rPr>
          <w:rFonts w:cs="Arial"/>
          <w:lang w:val="en-GB"/>
        </w:rPr>
        <w:t xml:space="preserve"> In the case of individual patient data meta analysis (IPDMA), please disregard</w:t>
      </w:r>
      <w:r w:rsidR="00202903">
        <w:rPr>
          <w:rFonts w:cs="Arial"/>
          <w:lang w:val="en-GB"/>
        </w:rPr>
        <w:t xml:space="preserve"> individual studies effects</w:t>
      </w:r>
      <w:r w:rsidR="00202903" w:rsidRPr="00202903">
        <w:rPr>
          <w:rFonts w:cs="Arial"/>
          <w:lang w:val="en-GB"/>
        </w:rPr>
        <w:t xml:space="preserve"> as they may show only very small </w:t>
      </w:r>
      <w:r w:rsidR="00202903">
        <w:rPr>
          <w:rFonts w:cs="Arial"/>
          <w:lang w:val="en-GB"/>
        </w:rPr>
        <w:t xml:space="preserve">or unstable </w:t>
      </w:r>
      <w:r w:rsidR="00202903" w:rsidRPr="00202903">
        <w:rPr>
          <w:rFonts w:cs="Arial"/>
          <w:lang w:val="en-GB"/>
        </w:rPr>
        <w:t>effects due to their limited size. For IPDMA, pooled effect size should be considered only.</w:t>
      </w:r>
    </w:p>
    <w:p w:rsidR="003F1B5E" w:rsidRPr="005A255F" w:rsidRDefault="003F1B5E" w:rsidP="003F1B5E">
      <w:pPr>
        <w:ind w:left="1418"/>
        <w:rPr>
          <w:rFonts w:cs="Arial"/>
          <w:lang w:val="en-GB"/>
        </w:rPr>
      </w:pPr>
      <w:r w:rsidRPr="005A255F">
        <w:rPr>
          <w:rFonts w:cs="Arial"/>
          <w:lang w:val="en-GB"/>
        </w:rPr>
        <w:t>Furthermore, whether the effects that were found, in relation to their practical implementation, may be considered of benefit. This needs to be related to any difficulties one may encounter when implementing the moderator or predictor. For instance, ethical problems may be overcome if the effect is very large. If the authors made statements on clinical importance, be critical and try to assess whether their arguments stand firm.</w:t>
      </w:r>
      <w:r w:rsidRPr="005A255F" w:rsidDel="007517B8">
        <w:rPr>
          <w:rFonts w:cs="Arial"/>
          <w:lang w:val="en-GB"/>
        </w:rPr>
        <w:t xml:space="preserve"> </w:t>
      </w:r>
    </w:p>
    <w:p w:rsidR="003F1B5E" w:rsidRPr="00F13455" w:rsidRDefault="003F1B5E" w:rsidP="00411422">
      <w:pPr>
        <w:ind w:left="1418" w:hanging="567"/>
        <w:rPr>
          <w:lang w:val="en-GB"/>
        </w:rPr>
      </w:pPr>
      <w:r w:rsidRPr="005A255F">
        <w:rPr>
          <w:rFonts w:cs="Arial"/>
          <w:b/>
          <w:lang w:val="en-GB"/>
        </w:rPr>
        <w:t xml:space="preserve">Implications: </w:t>
      </w:r>
      <w:r w:rsidRPr="005A255F">
        <w:rPr>
          <w:rFonts w:cs="Arial"/>
          <w:lang w:val="en-GB"/>
        </w:rPr>
        <w:t>for individual studies the implications may be small. It is better to reconsider clinical importance in view of all the evidence available on the moderator or predictor. If the finding is from a large study or body of evidence, the implication may be that the observed effect, although credible, may not be practicable in daily care.</w:t>
      </w:r>
    </w:p>
    <w:p w:rsidR="003F1B5E" w:rsidRPr="00F13455" w:rsidRDefault="003F1B5E" w:rsidP="003F1B5E">
      <w:pPr>
        <w:pStyle w:val="Standardtext"/>
        <w:jc w:val="center"/>
        <w:outlineLvl w:val="0"/>
        <w:rPr>
          <w:b/>
          <w:sz w:val="24"/>
          <w:szCs w:val="24"/>
          <w:lang w:val="en-GB"/>
        </w:rPr>
      </w:pPr>
      <w:r w:rsidRPr="00F13455">
        <w:rPr>
          <w:lang w:val="en-GB"/>
        </w:rPr>
        <w:br w:type="page"/>
      </w:r>
      <w:bookmarkStart w:id="11" w:name="_Toc435544268"/>
      <w:r w:rsidRPr="00F13455">
        <w:rPr>
          <w:b/>
          <w:sz w:val="24"/>
          <w:szCs w:val="24"/>
          <w:lang w:val="en-GB"/>
        </w:rPr>
        <w:lastRenderedPageBreak/>
        <w:t>Items for body of evidence</w:t>
      </w:r>
      <w:bookmarkEnd w:id="11"/>
    </w:p>
    <w:p w:rsidR="003F1B5E" w:rsidRPr="005A255F" w:rsidRDefault="003F1B5E" w:rsidP="003F1B5E">
      <w:pPr>
        <w:pStyle w:val="Lijstalinea"/>
        <w:numPr>
          <w:ilvl w:val="0"/>
          <w:numId w:val="2"/>
        </w:numPr>
        <w:tabs>
          <w:tab w:val="left" w:pos="851"/>
        </w:tabs>
        <w:ind w:left="851" w:hanging="851"/>
        <w:jc w:val="left"/>
        <w:rPr>
          <w:rFonts w:ascii="Arial" w:hAnsi="Arial" w:cs="Arial"/>
          <w:b/>
          <w:sz w:val="22"/>
          <w:lang w:val="en-GB"/>
        </w:rPr>
      </w:pPr>
      <w:r w:rsidRPr="005A255F">
        <w:rPr>
          <w:rFonts w:ascii="Arial" w:hAnsi="Arial" w:cs="Arial"/>
          <w:b/>
          <w:sz w:val="22"/>
          <w:lang w:val="en-GB"/>
        </w:rPr>
        <w:t>Was the moderator or predictor effect reasonably homogenous across studies?</w:t>
      </w:r>
    </w:p>
    <w:p w:rsidR="003F1B5E" w:rsidRPr="005A255F" w:rsidRDefault="003F1B5E" w:rsidP="003F1B5E">
      <w:pPr>
        <w:pStyle w:val="Lijstalinea"/>
        <w:spacing w:after="0"/>
        <w:ind w:left="786"/>
        <w:rPr>
          <w:rFonts w:ascii="Arial" w:hAnsi="Arial" w:cs="Arial"/>
          <w:sz w:val="22"/>
          <w:lang w:val="en-GB"/>
        </w:rPr>
      </w:pPr>
    </w:p>
    <w:p w:rsidR="003F1B5E" w:rsidRPr="005A255F" w:rsidRDefault="003F1B5E" w:rsidP="003F1B5E">
      <w:pPr>
        <w:pStyle w:val="Lijstalinea"/>
        <w:spacing w:after="0"/>
        <w:ind w:left="851"/>
        <w:rPr>
          <w:rFonts w:ascii="Arial" w:hAnsi="Arial" w:cs="Arial"/>
          <w:sz w:val="22"/>
          <w:lang w:val="en-GB"/>
        </w:rPr>
      </w:pPr>
      <w:r w:rsidRPr="005A255F">
        <w:rPr>
          <w:rFonts w:ascii="Arial" w:hAnsi="Arial" w:cs="Arial"/>
          <w:sz w:val="22"/>
          <w:lang w:val="en-GB"/>
        </w:rPr>
        <w:t>Moderator and predictor effects should be homogenous across different studies. Effect sizes are likely to vary to some degree, but the greater the differences the less likely the moderator or predictor effect is a true effect. This is especially true if the effects over studies are contradictory (e.g. one study showing a protective effect, while another showing a harmful effect of a moderator). If low agreement between studies is found, it is important to determine possible causes: differences in study populations, study designs, methods of analysis, or actually different moderator or predictor effects?</w:t>
      </w:r>
      <w:r w:rsidR="00392EDF">
        <w:rPr>
          <w:rFonts w:ascii="Arial" w:hAnsi="Arial" w:cs="Arial"/>
          <w:sz w:val="22"/>
          <w:lang w:val="en-GB"/>
        </w:rPr>
        <w:t xml:space="preserve"> The opposite is also true: if studies find high agreement but are different in population or methods, something may be wrong as well.</w:t>
      </w:r>
    </w:p>
    <w:p w:rsidR="003F1B5E" w:rsidRPr="005A255F" w:rsidRDefault="003F1B5E" w:rsidP="003F1B5E">
      <w:pPr>
        <w:pStyle w:val="Lijstalinea"/>
        <w:spacing w:after="0"/>
        <w:ind w:left="851"/>
        <w:rPr>
          <w:rFonts w:ascii="Arial" w:hAnsi="Arial" w:cs="Arial"/>
          <w:sz w:val="22"/>
          <w:lang w:val="en-GB"/>
        </w:rPr>
      </w:pPr>
    </w:p>
    <w:p w:rsidR="003F1B5E" w:rsidRPr="005A255F" w:rsidRDefault="003F1B5E" w:rsidP="003F1B5E">
      <w:pPr>
        <w:pStyle w:val="Lijstalinea"/>
        <w:ind w:left="1418" w:hanging="567"/>
        <w:rPr>
          <w:rFonts w:ascii="Arial" w:hAnsi="Arial" w:cs="Arial"/>
          <w:sz w:val="22"/>
          <w:lang w:val="en-GB"/>
        </w:rPr>
      </w:pPr>
      <w:r w:rsidRPr="005A255F">
        <w:rPr>
          <w:rFonts w:ascii="Arial" w:hAnsi="Arial" w:cs="Arial"/>
          <w:b/>
          <w:sz w:val="22"/>
          <w:lang w:val="en-GB"/>
        </w:rPr>
        <w:t xml:space="preserve">Consider: </w:t>
      </w:r>
      <w:r w:rsidRPr="005A255F">
        <w:rPr>
          <w:rFonts w:ascii="Arial" w:hAnsi="Arial" w:cs="Arial"/>
          <w:sz w:val="22"/>
          <w:lang w:val="en-GB"/>
        </w:rPr>
        <w:t>Whether the moderator or predictor effects are approximately equally sized (i.e. the conclusion of the moderator or predictor effect would not change if studies are excluded) across studies and point in the same direction.</w:t>
      </w:r>
      <w:r w:rsidR="00202903" w:rsidRPr="00202903">
        <w:rPr>
          <w:rFonts w:ascii="Arial" w:hAnsi="Arial" w:cs="Arial"/>
          <w:sz w:val="22"/>
          <w:lang w:val="en-GB"/>
        </w:rPr>
        <w:t xml:space="preserve"> In the case of individual patient data meta analysis (IPDMA), please disregard</w:t>
      </w:r>
      <w:r w:rsidR="00202903">
        <w:rPr>
          <w:rFonts w:ascii="Arial" w:hAnsi="Arial" w:cs="Arial"/>
          <w:sz w:val="22"/>
          <w:lang w:val="en-GB"/>
        </w:rPr>
        <w:t xml:space="preserve"> individual studies effects</w:t>
      </w:r>
      <w:r w:rsidR="00202903" w:rsidRPr="00202903">
        <w:rPr>
          <w:rFonts w:ascii="Arial" w:hAnsi="Arial" w:cs="Arial"/>
          <w:sz w:val="22"/>
          <w:lang w:val="en-GB"/>
        </w:rPr>
        <w:t xml:space="preserve"> as they may show only very small </w:t>
      </w:r>
      <w:r w:rsidR="00202903">
        <w:rPr>
          <w:rFonts w:ascii="Arial" w:hAnsi="Arial" w:cs="Arial"/>
          <w:sz w:val="22"/>
          <w:lang w:val="en-GB"/>
        </w:rPr>
        <w:t xml:space="preserve">or unstable </w:t>
      </w:r>
      <w:r w:rsidR="00202903" w:rsidRPr="00202903">
        <w:rPr>
          <w:rFonts w:ascii="Arial" w:hAnsi="Arial" w:cs="Arial"/>
          <w:sz w:val="22"/>
          <w:lang w:val="en-GB"/>
        </w:rPr>
        <w:t>effects due to their limited size. For IPDMA, pooled effect size should be considered only.</w:t>
      </w:r>
      <w:r w:rsidRPr="005A255F">
        <w:rPr>
          <w:rFonts w:ascii="Arial" w:hAnsi="Arial" w:cs="Arial"/>
          <w:sz w:val="22"/>
          <w:lang w:val="en-GB"/>
        </w:rPr>
        <w:t xml:space="preserve"> </w:t>
      </w:r>
      <w:r w:rsidR="00392EDF">
        <w:rPr>
          <w:rFonts w:ascii="Arial" w:hAnsi="Arial" w:cs="Arial"/>
          <w:sz w:val="22"/>
          <w:lang w:val="en-GB"/>
        </w:rPr>
        <w:t>Moderator or predictor analysis in other meta-analysis methods should be used with caution, as the chance of underlying ecological bias – that is study properties being a cause for the found effects – should be considered first.</w:t>
      </w:r>
    </w:p>
    <w:p w:rsidR="003F1B5E" w:rsidRPr="005A255F" w:rsidRDefault="003F1B5E" w:rsidP="003F1B5E">
      <w:pPr>
        <w:pStyle w:val="Lijstalinea"/>
        <w:ind w:left="1418" w:hanging="567"/>
        <w:rPr>
          <w:rFonts w:ascii="Arial" w:hAnsi="Arial" w:cs="Arial"/>
          <w:b/>
          <w:sz w:val="22"/>
          <w:lang w:val="en-GB"/>
        </w:rPr>
      </w:pPr>
    </w:p>
    <w:p w:rsidR="003F1B5E" w:rsidRPr="005A255F" w:rsidRDefault="003F1B5E" w:rsidP="003F1B5E">
      <w:pPr>
        <w:pStyle w:val="Lijstalinea"/>
        <w:ind w:left="1418" w:hanging="567"/>
        <w:rPr>
          <w:rFonts w:ascii="Arial" w:hAnsi="Arial" w:cs="Arial"/>
          <w:sz w:val="22"/>
          <w:lang w:val="en-GB"/>
        </w:rPr>
      </w:pPr>
      <w:r w:rsidRPr="005A255F">
        <w:rPr>
          <w:rFonts w:ascii="Arial" w:hAnsi="Arial" w:cs="Arial"/>
          <w:b/>
          <w:sz w:val="22"/>
          <w:lang w:val="en-GB"/>
        </w:rPr>
        <w:t xml:space="preserve">Implications: </w:t>
      </w:r>
      <w:r w:rsidRPr="005A255F">
        <w:rPr>
          <w:rFonts w:ascii="Arial" w:hAnsi="Arial" w:cs="Arial"/>
          <w:sz w:val="22"/>
          <w:lang w:val="en-GB"/>
        </w:rPr>
        <w:t xml:space="preserve">Differences in the size or direction of effects impact the credibility of the findings. This impact can be quantified by performing a meta-analysis. If larger differences are found, or even worse, differences in direction of an effect, the credibility of findings is clearly compromised. </w:t>
      </w:r>
    </w:p>
    <w:p w:rsidR="003F1B5E" w:rsidRPr="005A255F" w:rsidRDefault="003F1B5E" w:rsidP="003F1B5E">
      <w:pPr>
        <w:pStyle w:val="Lijstalinea"/>
        <w:ind w:left="1418"/>
        <w:rPr>
          <w:rFonts w:ascii="Arial" w:hAnsi="Arial" w:cs="Arial"/>
          <w:sz w:val="22"/>
          <w:lang w:val="en-GB"/>
        </w:rPr>
      </w:pPr>
      <w:r w:rsidRPr="005A255F">
        <w:rPr>
          <w:rFonts w:ascii="Arial" w:hAnsi="Arial" w:cs="Arial"/>
          <w:sz w:val="22"/>
          <w:lang w:val="en-GB"/>
        </w:rPr>
        <w:t>It may also be possible that differences between studies can be explained. If this is the case, one could say that there are moderated moderators or predictors. Establishing the effects of such an extra level of moderation should, however, be regarded as an additional analysis. That is, all considerations in this checklist apply to that moderator as well. It may be quite challenging to estimate the effects of these factors to a useful degree without performing further research.</w:t>
      </w:r>
    </w:p>
    <w:p w:rsidR="003F1B5E" w:rsidRPr="005A255F" w:rsidRDefault="003F1B5E" w:rsidP="003F1B5E">
      <w:pPr>
        <w:pStyle w:val="Lijstalinea"/>
        <w:ind w:left="1418"/>
        <w:rPr>
          <w:rFonts w:ascii="Arial" w:hAnsi="Arial" w:cs="Arial"/>
          <w:sz w:val="22"/>
          <w:lang w:val="en-GB"/>
        </w:rPr>
      </w:pPr>
    </w:p>
    <w:p w:rsidR="003F1B5E" w:rsidRPr="005A255F" w:rsidRDefault="003F1B5E" w:rsidP="003F1B5E">
      <w:pPr>
        <w:pStyle w:val="Lijstalinea"/>
        <w:numPr>
          <w:ilvl w:val="0"/>
          <w:numId w:val="2"/>
        </w:numPr>
        <w:tabs>
          <w:tab w:val="left" w:pos="851"/>
        </w:tabs>
        <w:ind w:left="851" w:hanging="851"/>
        <w:jc w:val="left"/>
        <w:rPr>
          <w:rFonts w:ascii="Arial" w:hAnsi="Arial" w:cs="Arial"/>
          <w:b/>
          <w:sz w:val="22"/>
          <w:lang w:val="en-GB"/>
        </w:rPr>
      </w:pPr>
      <w:r w:rsidRPr="005A255F">
        <w:rPr>
          <w:rFonts w:ascii="Arial" w:hAnsi="Arial" w:cs="Arial"/>
          <w:b/>
          <w:sz w:val="22"/>
          <w:lang w:val="en-GB"/>
        </w:rPr>
        <w:t>Was the moderator or predictor measured similarly across the included studies, or was there an adequate conversion performed?</w:t>
      </w:r>
    </w:p>
    <w:p w:rsidR="003F1B5E" w:rsidRPr="005A255F" w:rsidRDefault="003F1B5E" w:rsidP="003F1B5E">
      <w:pPr>
        <w:pStyle w:val="Lijstalinea"/>
        <w:ind w:left="851"/>
        <w:rPr>
          <w:rFonts w:ascii="Arial" w:hAnsi="Arial" w:cs="Arial"/>
          <w:b/>
          <w:sz w:val="22"/>
          <w:lang w:val="en-GB"/>
        </w:rPr>
      </w:pPr>
    </w:p>
    <w:p w:rsidR="003F1B5E" w:rsidRPr="005A255F" w:rsidRDefault="003F1B5E" w:rsidP="003F1B5E">
      <w:pPr>
        <w:pStyle w:val="Lijstalinea"/>
        <w:ind w:left="851"/>
        <w:rPr>
          <w:rFonts w:ascii="Arial" w:hAnsi="Arial" w:cs="Arial"/>
          <w:sz w:val="22"/>
          <w:lang w:val="en-GB"/>
        </w:rPr>
      </w:pPr>
      <w:r w:rsidRPr="005A255F">
        <w:rPr>
          <w:rFonts w:ascii="Arial" w:hAnsi="Arial" w:cs="Arial"/>
          <w:sz w:val="22"/>
          <w:lang w:val="en-GB"/>
        </w:rPr>
        <w:t xml:space="preserve">One problem that moderators and predictor share with many outcomes is that they can be measured differently between studies. Another problem with moderators and predictors is that if moderators or predictors are investigated in a multivariate method, they can greatly influence the effect of the other moderators or predictors in the same model. </w:t>
      </w:r>
    </w:p>
    <w:p w:rsidR="003F1B5E" w:rsidRPr="005A255F" w:rsidRDefault="003F1B5E" w:rsidP="003F1B5E">
      <w:pPr>
        <w:pStyle w:val="Lijstalinea"/>
        <w:ind w:left="851"/>
        <w:rPr>
          <w:rFonts w:ascii="Arial" w:hAnsi="Arial" w:cs="Arial"/>
          <w:sz w:val="22"/>
          <w:lang w:val="en-GB"/>
        </w:rPr>
      </w:pPr>
    </w:p>
    <w:p w:rsidR="003F1B5E" w:rsidRPr="005A255F" w:rsidRDefault="003F1B5E" w:rsidP="003F1B5E">
      <w:pPr>
        <w:pStyle w:val="Lijstalinea"/>
        <w:ind w:left="1418" w:hanging="567"/>
        <w:rPr>
          <w:rFonts w:ascii="Arial" w:hAnsi="Arial" w:cs="Arial"/>
          <w:sz w:val="22"/>
          <w:lang w:val="en-GB"/>
        </w:rPr>
      </w:pPr>
      <w:r w:rsidRPr="005A255F">
        <w:rPr>
          <w:rFonts w:ascii="Arial" w:hAnsi="Arial" w:cs="Arial"/>
          <w:b/>
          <w:sz w:val="22"/>
          <w:lang w:val="en-GB"/>
        </w:rPr>
        <w:lastRenderedPageBreak/>
        <w:t>Consider:</w:t>
      </w:r>
      <w:r w:rsidRPr="005A255F">
        <w:rPr>
          <w:rFonts w:ascii="Arial" w:hAnsi="Arial" w:cs="Arial"/>
          <w:sz w:val="22"/>
          <w:lang w:val="en-GB"/>
        </w:rPr>
        <w:t xml:space="preserve"> Whether the moderator or predictor effect is measured using a similar instrument (e.g. the same questionnaire, scale or other tool). If this is not the case, consider whether conversions are possible. Also consider, if moderators or predictors are assessed in multivariate analysis, whether a similar set of moderators/predictors/other factors is taken into account.</w:t>
      </w:r>
    </w:p>
    <w:p w:rsidR="003F1B5E" w:rsidRPr="005A255F" w:rsidRDefault="003F1B5E" w:rsidP="003F1B5E">
      <w:pPr>
        <w:pStyle w:val="Lijstalinea"/>
        <w:ind w:left="851"/>
        <w:rPr>
          <w:rFonts w:ascii="Arial" w:hAnsi="Arial" w:cs="Arial"/>
          <w:sz w:val="22"/>
          <w:lang w:val="en-GB"/>
        </w:rPr>
      </w:pPr>
    </w:p>
    <w:p w:rsidR="003F1B5E" w:rsidRPr="005A255F" w:rsidRDefault="003F1B5E" w:rsidP="003F1B5E">
      <w:pPr>
        <w:pStyle w:val="Lijstalinea"/>
        <w:ind w:left="1418" w:hanging="567"/>
        <w:rPr>
          <w:rFonts w:ascii="Arial" w:hAnsi="Arial" w:cs="Arial"/>
          <w:sz w:val="22"/>
          <w:lang w:val="en-GB"/>
        </w:rPr>
      </w:pPr>
      <w:r w:rsidRPr="005A255F">
        <w:rPr>
          <w:rFonts w:ascii="Arial" w:hAnsi="Arial" w:cs="Arial"/>
          <w:b/>
          <w:sz w:val="22"/>
          <w:lang w:val="en-GB"/>
        </w:rPr>
        <w:t>Implications:</w:t>
      </w:r>
      <w:r w:rsidRPr="005A255F">
        <w:rPr>
          <w:rFonts w:ascii="Arial" w:hAnsi="Arial" w:cs="Arial"/>
          <w:sz w:val="22"/>
          <w:lang w:val="en-GB"/>
        </w:rPr>
        <w:t xml:space="preserve"> If measurements of moderators or predictors are not comparable, it is difficult to determine a pooled effect, to determine usefulness of results or credibility of a body of evidence. If that is the case, one should adhere to the tools that are used in the target setting. </w:t>
      </w:r>
    </w:p>
    <w:p w:rsidR="003F1B5E" w:rsidRDefault="003F1B5E" w:rsidP="003F1B5E">
      <w:pPr>
        <w:pStyle w:val="Lijstalinea"/>
        <w:ind w:left="1418"/>
        <w:rPr>
          <w:rFonts w:ascii="Arial" w:hAnsi="Arial" w:cs="Arial"/>
          <w:sz w:val="22"/>
          <w:lang w:val="en-GB"/>
        </w:rPr>
      </w:pPr>
      <w:r w:rsidRPr="005A255F">
        <w:rPr>
          <w:rFonts w:ascii="Arial" w:hAnsi="Arial" w:cs="Arial"/>
          <w:sz w:val="22"/>
          <w:lang w:val="en-GB"/>
        </w:rPr>
        <w:t>If the moderator or predictor was included in multivariate models with different sets of other included factors, those other factors may greatly influence the observed effect of a moderator, and thus the comparability of the moderator or predictor across studies. Furthermore, it may be more difficult to determine the effect size if it cannot be established which other moderator or predictors need to be taken into account.</w:t>
      </w:r>
    </w:p>
    <w:p w:rsidR="00392EDF" w:rsidRPr="005A255F" w:rsidRDefault="00392EDF" w:rsidP="003F1B5E">
      <w:pPr>
        <w:pStyle w:val="Lijstalinea"/>
        <w:ind w:left="1418"/>
        <w:rPr>
          <w:rFonts w:ascii="Arial" w:hAnsi="Arial" w:cs="Arial"/>
          <w:sz w:val="22"/>
          <w:lang w:val="en-GB"/>
        </w:rPr>
      </w:pPr>
      <w:r>
        <w:rPr>
          <w:rFonts w:ascii="Arial" w:hAnsi="Arial" w:cs="Arial"/>
          <w:sz w:val="22"/>
          <w:lang w:val="en-GB"/>
        </w:rPr>
        <w:t xml:space="preserve">Meta-analyses based on studies with incomparable measurement methods will result in ecological bias – that is, any finding found over studies may in </w:t>
      </w:r>
      <w:proofErr w:type="spellStart"/>
      <w:r>
        <w:rPr>
          <w:rFonts w:ascii="Arial" w:hAnsi="Arial" w:cs="Arial"/>
          <w:sz w:val="22"/>
          <w:lang w:val="en-GB"/>
        </w:rPr>
        <w:t>afact</w:t>
      </w:r>
      <w:proofErr w:type="spellEnd"/>
      <w:r>
        <w:rPr>
          <w:rFonts w:ascii="Arial" w:hAnsi="Arial" w:cs="Arial"/>
          <w:sz w:val="22"/>
          <w:lang w:val="en-GB"/>
        </w:rPr>
        <w:t xml:space="preserve"> be explained by properties of the originating studies.</w:t>
      </w:r>
    </w:p>
    <w:p w:rsidR="003F1B5E" w:rsidRDefault="003F1B5E">
      <w:pPr>
        <w:rPr>
          <w:rFonts w:eastAsia="Times New Roman" w:cs="Arial"/>
          <w:b/>
          <w:bCs/>
          <w:sz w:val="24"/>
          <w:szCs w:val="24"/>
          <w:lang w:val="en-GB" w:eastAsia="de-DE"/>
        </w:rPr>
      </w:pPr>
    </w:p>
    <w:p w:rsidR="003F1B5E" w:rsidRPr="003F1B5E" w:rsidRDefault="003F1B5E">
      <w:pPr>
        <w:rPr>
          <w:rFonts w:eastAsia="Times New Roman" w:cs="Arial"/>
          <w:b/>
          <w:bCs/>
          <w:sz w:val="24"/>
          <w:szCs w:val="24"/>
          <w:lang w:val="en-GB" w:eastAsia="de-DE"/>
        </w:rPr>
      </w:pPr>
      <w:r w:rsidRPr="003F1B5E">
        <w:rPr>
          <w:rFonts w:eastAsia="Times New Roman" w:cs="Arial"/>
          <w:b/>
          <w:bCs/>
          <w:sz w:val="24"/>
          <w:szCs w:val="24"/>
          <w:lang w:val="en-GB" w:eastAsia="de-DE"/>
        </w:rPr>
        <w:t>References</w:t>
      </w:r>
    </w:p>
    <w:p w:rsidR="003F1B5E" w:rsidRPr="003F1B5E" w:rsidRDefault="00CB71AC" w:rsidP="003F1B5E">
      <w:pPr>
        <w:pStyle w:val="EndNoteBibliography"/>
        <w:spacing w:after="0"/>
        <w:ind w:left="720" w:hanging="720"/>
      </w:pPr>
      <w:r w:rsidRPr="00CB71AC">
        <w:fldChar w:fldCharType="begin"/>
      </w:r>
      <w:r w:rsidR="003F1B5E">
        <w:instrText xml:space="preserve"> ADDIN EN.REFLIST </w:instrText>
      </w:r>
      <w:r w:rsidRPr="00CB71AC">
        <w:fldChar w:fldCharType="separate"/>
      </w:r>
      <w:r w:rsidR="003F1B5E" w:rsidRPr="003F1B5E">
        <w:t xml:space="preserve">Austin, P. C., &amp; Steyerberg, E. W. (2015). The number of subjects per variable required in linear regression analyses. </w:t>
      </w:r>
      <w:r w:rsidR="003F1B5E" w:rsidRPr="003F1B5E">
        <w:rPr>
          <w:i/>
        </w:rPr>
        <w:t>J Clin Epidemiol, 68</w:t>
      </w:r>
      <w:r w:rsidR="003F1B5E" w:rsidRPr="003F1B5E">
        <w:t>(6), 627-636. doi: 10.1016/j.jclinepi.2014.12.014</w:t>
      </w:r>
    </w:p>
    <w:p w:rsidR="003F1B5E" w:rsidRPr="003F1B5E" w:rsidRDefault="003F1B5E" w:rsidP="003F1B5E">
      <w:pPr>
        <w:pStyle w:val="EndNoteBibliography"/>
        <w:spacing w:after="0"/>
        <w:ind w:left="720" w:hanging="720"/>
      </w:pPr>
      <w:r w:rsidRPr="003F1B5E">
        <w:t xml:space="preserve">Baron, R. M., &amp; Kenny, D. A. (1986). The moderator-mediator variable distinction in social psychological research: conceptual, strategic, and statistical considerations. </w:t>
      </w:r>
      <w:r w:rsidRPr="003F1B5E">
        <w:rPr>
          <w:i/>
        </w:rPr>
        <w:t>Journal of Personality and Social Psychology, 51</w:t>
      </w:r>
      <w:r w:rsidRPr="003F1B5E">
        <w:t xml:space="preserve">, 1173-1182. </w:t>
      </w:r>
    </w:p>
    <w:p w:rsidR="003F1B5E" w:rsidRPr="003F1B5E" w:rsidRDefault="003F1B5E" w:rsidP="003F1B5E">
      <w:pPr>
        <w:pStyle w:val="EndNoteBibliography"/>
        <w:spacing w:after="0"/>
        <w:ind w:left="720" w:hanging="720"/>
      </w:pPr>
      <w:r w:rsidRPr="003F1B5E">
        <w:t xml:space="preserve">Katrak, P., Bialocerkowski, A. E., Massy-Westropp, N., Kumar, S., &amp; Grimmer, K. A. (2004). A systematic review of the content of critical appraisal tools. </w:t>
      </w:r>
      <w:r w:rsidRPr="003F1B5E">
        <w:rPr>
          <w:i/>
        </w:rPr>
        <w:t>BMC Med Res Methodol, 4</w:t>
      </w:r>
      <w:r w:rsidRPr="003F1B5E">
        <w:t>, 22. doi: 10.1186/1471-2288-4-22</w:t>
      </w:r>
    </w:p>
    <w:p w:rsidR="003F1B5E" w:rsidRPr="003F1B5E" w:rsidRDefault="003F1B5E" w:rsidP="003F1B5E">
      <w:pPr>
        <w:pStyle w:val="EndNoteBibliography"/>
        <w:spacing w:after="0"/>
        <w:ind w:left="720" w:hanging="720"/>
      </w:pPr>
      <w:r w:rsidRPr="003F1B5E">
        <w:t xml:space="preserve">Pincus, T., Miles, C., Froud, R., Underwood, M., Carnes, D., &amp; Taylor, S. (2011). Methodological criteria for the assessment of moderators in systematic reviews of randomised controlled trials: a consensus study. </w:t>
      </w:r>
      <w:r w:rsidRPr="003F1B5E">
        <w:rPr>
          <w:i/>
        </w:rPr>
        <w:t>BMC Medical Research Methodology, 11</w:t>
      </w:r>
      <w:r w:rsidRPr="003F1B5E">
        <w:t xml:space="preserve">(1), 14. </w:t>
      </w:r>
    </w:p>
    <w:p w:rsidR="003F1B5E" w:rsidRPr="003F1B5E" w:rsidRDefault="003F1B5E" w:rsidP="003F1B5E">
      <w:pPr>
        <w:pStyle w:val="EndNoteBibliography"/>
        <w:ind w:left="720" w:hanging="720"/>
      </w:pPr>
      <w:r w:rsidRPr="003F1B5E">
        <w:t xml:space="preserve">Voorhis, C. R. W. V., &amp; Morgan, B. L. (2007). Understanding Power and Rules of Thumb for Determining Sample Sizes. </w:t>
      </w:r>
      <w:r w:rsidRPr="003F1B5E">
        <w:rPr>
          <w:i/>
        </w:rPr>
        <w:t>Tutorials in Quantitative Methods for Psychology</w:t>
      </w:r>
      <w:r w:rsidRPr="003F1B5E">
        <w:t xml:space="preserve">. </w:t>
      </w:r>
    </w:p>
    <w:p w:rsidR="003F2060" w:rsidRDefault="00CB71AC">
      <w:r>
        <w:fldChar w:fldCharType="end"/>
      </w:r>
    </w:p>
    <w:sectPr w:rsidR="003F2060" w:rsidSect="00DB3684">
      <w:pgSz w:w="11906" w:h="16838"/>
      <w:pgMar w:top="1417" w:right="1417" w:bottom="1276" w:left="1417" w:header="708" w:footer="708"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6EC2E7C" w15:done="0"/>
  <w15:commentEx w15:paraId="0DC043D6" w15:done="0"/>
  <w15:commentEx w15:paraId="23F7231D" w15:done="0"/>
  <w15:commentEx w15:paraId="16765D2E" w15:done="0"/>
  <w15:commentEx w15:paraId="6C952A6C" w15:done="0"/>
  <w15:commentEx w15:paraId="1FE6CC17" w15:done="0"/>
  <w15:commentEx w15:paraId="4CC112F6" w15:done="0"/>
  <w15:commentEx w15:paraId="308E1D79" w15:done="0"/>
  <w15:commentEx w15:paraId="4FAF66AA"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38DC" w:rsidRDefault="00CE38DC" w:rsidP="003F1B5E">
      <w:pPr>
        <w:spacing w:after="0" w:line="240" w:lineRule="auto"/>
      </w:pPr>
      <w:r>
        <w:separator/>
      </w:r>
    </w:p>
  </w:endnote>
  <w:endnote w:type="continuationSeparator" w:id="0">
    <w:p w:rsidR="00CE38DC" w:rsidRDefault="00CE38DC" w:rsidP="003F1B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38DC" w:rsidRDefault="00CE38DC" w:rsidP="003F1B5E">
      <w:pPr>
        <w:spacing w:after="0" w:line="240" w:lineRule="auto"/>
      </w:pPr>
      <w:r>
        <w:separator/>
      </w:r>
    </w:p>
  </w:footnote>
  <w:footnote w:type="continuationSeparator" w:id="0">
    <w:p w:rsidR="00CE38DC" w:rsidRDefault="00CE38DC" w:rsidP="003F1B5E">
      <w:pPr>
        <w:spacing w:after="0" w:line="240" w:lineRule="auto"/>
      </w:pPr>
      <w:r>
        <w:continuationSeparator/>
      </w:r>
    </w:p>
  </w:footnote>
  <w:footnote w:id="1">
    <w:p w:rsidR="00CE38DC" w:rsidRPr="00683C8B" w:rsidRDefault="00CE38DC" w:rsidP="003F1B5E">
      <w:pPr>
        <w:pStyle w:val="Voetnoottekst"/>
        <w:jc w:val="left"/>
        <w:rPr>
          <w:lang w:val="en-GB"/>
        </w:rPr>
      </w:pPr>
      <w:r w:rsidRPr="00683C8B">
        <w:rPr>
          <w:rStyle w:val="Voetnootmarkering"/>
          <w:lang w:val="en-GB"/>
        </w:rPr>
        <w:footnoteRef/>
      </w:r>
      <w:r w:rsidRPr="00683C8B">
        <w:rPr>
          <w:lang w:val="en-GB"/>
        </w:rPr>
        <w:t xml:space="preserve"> </w:t>
      </w:r>
      <w:r w:rsidRPr="00683C8B">
        <w:rPr>
          <w:i/>
          <w:lang w:val="en-GB"/>
        </w:rPr>
        <w:t>CASP appraisal tools are available from http://www.casp-uk.net/#!checklists/cb36</w:t>
      </w:r>
    </w:p>
  </w:footnote>
  <w:footnote w:id="2">
    <w:p w:rsidR="00CE38DC" w:rsidRPr="00BF4603" w:rsidRDefault="00CE38DC" w:rsidP="003F1B5E">
      <w:pPr>
        <w:pStyle w:val="Voetnoottekst"/>
        <w:ind w:left="567" w:hanging="567"/>
        <w:jc w:val="left"/>
        <w:rPr>
          <w:lang w:val="en-GB"/>
        </w:rPr>
      </w:pPr>
      <w:r w:rsidRPr="00683C8B">
        <w:rPr>
          <w:rStyle w:val="Voetnootmarkering"/>
          <w:lang w:val="en-GB"/>
        </w:rPr>
        <w:footnoteRef/>
      </w:r>
      <w:r w:rsidRPr="00683C8B">
        <w:rPr>
          <w:lang w:val="en-GB"/>
        </w:rPr>
        <w:t xml:space="preserve"> http://ohg.cochrane.org/sites/ohg.cochrane.org/files/uploads/ Risk%20of%20bias%20assessment%20tool.pdf</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60B88"/>
    <w:multiLevelType w:val="hybridMultilevel"/>
    <w:tmpl w:val="3CB20CB4"/>
    <w:lvl w:ilvl="0" w:tplc="BEB0EFEA">
      <w:start w:val="1"/>
      <w:numFmt w:val="decimal"/>
      <w:lvlText w:val="Item %1."/>
      <w:lvlJc w:val="left"/>
      <w:pPr>
        <w:ind w:left="0" w:firstLine="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31938EA"/>
    <w:multiLevelType w:val="hybridMultilevel"/>
    <w:tmpl w:val="B2E812BC"/>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49F212A0"/>
    <w:multiLevelType w:val="multilevel"/>
    <w:tmpl w:val="39C49E66"/>
    <w:lvl w:ilvl="0">
      <w:start w:val="1"/>
      <w:numFmt w:val="decimal"/>
      <w:pStyle w:val="1"/>
      <w:lvlText w:val="%1"/>
      <w:lvlJc w:val="left"/>
      <w:pPr>
        <w:ind w:left="632" w:hanging="432"/>
      </w:pPr>
      <w:rPr>
        <w:rFonts w:hint="default"/>
      </w:rPr>
    </w:lvl>
    <w:lvl w:ilvl="1">
      <w:start w:val="1"/>
      <w:numFmt w:val="decimal"/>
      <w:pStyle w:val="Kop2"/>
      <w:lvlText w:val="%1.%2"/>
      <w:lvlJc w:val="left"/>
      <w:pPr>
        <w:ind w:left="776" w:hanging="576"/>
      </w:pPr>
      <w:rPr>
        <w:rFonts w:hint="default"/>
      </w:rPr>
    </w:lvl>
    <w:lvl w:ilvl="2">
      <w:start w:val="1"/>
      <w:numFmt w:val="decimal"/>
      <w:pStyle w:val="Kop3"/>
      <w:lvlText w:val="%1.%2.%3"/>
      <w:lvlJc w:val="left"/>
      <w:pPr>
        <w:ind w:left="1346" w:hanging="7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Kop4"/>
      <w:lvlText w:val="%1.%2.%3.%4"/>
      <w:lvlJc w:val="left"/>
      <w:pPr>
        <w:ind w:left="1064" w:hanging="86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pStyle w:val="Kop5"/>
      <w:lvlText w:val="%1.%2.%3.%4.%5"/>
      <w:lvlJc w:val="left"/>
      <w:pPr>
        <w:ind w:left="1208" w:hanging="1008"/>
      </w:pPr>
      <w:rPr>
        <w:rFonts w:hint="default"/>
      </w:rPr>
    </w:lvl>
    <w:lvl w:ilvl="5">
      <w:start w:val="1"/>
      <w:numFmt w:val="decimal"/>
      <w:pStyle w:val="Kop6"/>
      <w:lvlText w:val="%1.%2.%3.%4.%5.%6"/>
      <w:lvlJc w:val="left"/>
      <w:pPr>
        <w:ind w:left="1352" w:hanging="1152"/>
      </w:pPr>
      <w:rPr>
        <w:rFonts w:hint="default"/>
      </w:rPr>
    </w:lvl>
    <w:lvl w:ilvl="6">
      <w:start w:val="1"/>
      <w:numFmt w:val="decimal"/>
      <w:pStyle w:val="Kop7"/>
      <w:lvlText w:val="%1.%2.%3.%4.%5.%6.%7"/>
      <w:lvlJc w:val="left"/>
      <w:pPr>
        <w:ind w:left="1496" w:hanging="1296"/>
      </w:pPr>
      <w:rPr>
        <w:rFonts w:hint="default"/>
      </w:rPr>
    </w:lvl>
    <w:lvl w:ilvl="7">
      <w:start w:val="1"/>
      <w:numFmt w:val="decimal"/>
      <w:pStyle w:val="Kop8"/>
      <w:lvlText w:val="%1.%2.%3.%4.%5.%6.%7.%8"/>
      <w:lvlJc w:val="left"/>
      <w:pPr>
        <w:ind w:left="1640" w:hanging="1440"/>
      </w:pPr>
      <w:rPr>
        <w:rFonts w:hint="default"/>
      </w:rPr>
    </w:lvl>
    <w:lvl w:ilvl="8">
      <w:start w:val="1"/>
      <w:numFmt w:val="decimal"/>
      <w:pStyle w:val="Kop9"/>
      <w:lvlText w:val="%1.%2.%3.%4.%5.%6.%7.%8.%9"/>
      <w:lvlJc w:val="left"/>
      <w:pPr>
        <w:ind w:left="1784" w:hanging="1584"/>
      </w:pPr>
      <w:rPr>
        <w:rFonts w:hint="default"/>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gebruiker">
    <w15:presenceInfo w15:providerId="None" w15:userId="Microsoft Office-gebruik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trackRevisions/>
  <w:defaultTabStop w:val="720"/>
  <w:hyphenationZone w:val="425"/>
  <w:characterSpacingControl w:val="doNotCompress"/>
  <w:footnotePr>
    <w:footnote w:id="-1"/>
    <w:footnote w:id="0"/>
  </w:footnotePr>
  <w:endnotePr>
    <w:endnote w:id="-1"/>
    <w:endnote w:id="0"/>
  </w:endnotePr>
  <w:compat/>
  <w:docVars>
    <w:docVar w:name="EN.Layout" w:val="&lt;ENLayout&gt;&lt;Style&gt;APA 6th&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3F1B5E"/>
    <w:rsid w:val="00000625"/>
    <w:rsid w:val="00040BA3"/>
    <w:rsid w:val="0005630F"/>
    <w:rsid w:val="000958BB"/>
    <w:rsid w:val="000A1B64"/>
    <w:rsid w:val="000B7B1F"/>
    <w:rsid w:val="0010387E"/>
    <w:rsid w:val="00150601"/>
    <w:rsid w:val="00174032"/>
    <w:rsid w:val="001972D9"/>
    <w:rsid w:val="001F5D66"/>
    <w:rsid w:val="00202903"/>
    <w:rsid w:val="00222684"/>
    <w:rsid w:val="002776CD"/>
    <w:rsid w:val="002C78EC"/>
    <w:rsid w:val="00392EDF"/>
    <w:rsid w:val="003C5C26"/>
    <w:rsid w:val="003F1B5E"/>
    <w:rsid w:val="003F2060"/>
    <w:rsid w:val="0040171A"/>
    <w:rsid w:val="00411422"/>
    <w:rsid w:val="004C2FEF"/>
    <w:rsid w:val="004C40AA"/>
    <w:rsid w:val="004F3C66"/>
    <w:rsid w:val="00544144"/>
    <w:rsid w:val="00547D18"/>
    <w:rsid w:val="00560502"/>
    <w:rsid w:val="005B0F5A"/>
    <w:rsid w:val="005B5FC4"/>
    <w:rsid w:val="005F5FCE"/>
    <w:rsid w:val="006131C6"/>
    <w:rsid w:val="0061768C"/>
    <w:rsid w:val="00620066"/>
    <w:rsid w:val="006A7B30"/>
    <w:rsid w:val="00721B02"/>
    <w:rsid w:val="00771B96"/>
    <w:rsid w:val="00777B7F"/>
    <w:rsid w:val="007A350A"/>
    <w:rsid w:val="007C27BD"/>
    <w:rsid w:val="00816C1D"/>
    <w:rsid w:val="00840FC4"/>
    <w:rsid w:val="00856402"/>
    <w:rsid w:val="008C2B36"/>
    <w:rsid w:val="008F2D13"/>
    <w:rsid w:val="0090659E"/>
    <w:rsid w:val="00911767"/>
    <w:rsid w:val="009A5488"/>
    <w:rsid w:val="009D7705"/>
    <w:rsid w:val="009F6855"/>
    <w:rsid w:val="00A67803"/>
    <w:rsid w:val="00A929F4"/>
    <w:rsid w:val="00B305CC"/>
    <w:rsid w:val="00B36517"/>
    <w:rsid w:val="00BB2ACB"/>
    <w:rsid w:val="00BD446B"/>
    <w:rsid w:val="00C243C0"/>
    <w:rsid w:val="00C3718D"/>
    <w:rsid w:val="00C40A8A"/>
    <w:rsid w:val="00C95743"/>
    <w:rsid w:val="00CA2C65"/>
    <w:rsid w:val="00CB71AC"/>
    <w:rsid w:val="00CE38DC"/>
    <w:rsid w:val="00D4093C"/>
    <w:rsid w:val="00DA0F82"/>
    <w:rsid w:val="00DB3684"/>
    <w:rsid w:val="00DE3544"/>
    <w:rsid w:val="00E5342D"/>
    <w:rsid w:val="00E86B16"/>
    <w:rsid w:val="00EE564E"/>
    <w:rsid w:val="00FA2640"/>
    <w:rsid w:val="00FB23F4"/>
    <w:rsid w:val="00FE608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next w:val="Standardtext"/>
    <w:qFormat/>
    <w:rsid w:val="003F1B5E"/>
    <w:pPr>
      <w:jc w:val="both"/>
    </w:pPr>
    <w:rPr>
      <w:rFonts w:ascii="Arial" w:eastAsia="Calibri" w:hAnsi="Arial" w:cs="Times New Roman"/>
      <w:lang w:val="de-DE"/>
    </w:rPr>
  </w:style>
  <w:style w:type="paragraph" w:styleId="Kop2">
    <w:name w:val="heading 2"/>
    <w:basedOn w:val="Standaard"/>
    <w:next w:val="Standaard"/>
    <w:link w:val="Kop2Char"/>
    <w:uiPriority w:val="9"/>
    <w:qFormat/>
    <w:rsid w:val="003F1B5E"/>
    <w:pPr>
      <w:keepNext/>
      <w:numPr>
        <w:ilvl w:val="1"/>
        <w:numId w:val="1"/>
      </w:numPr>
      <w:autoSpaceDE w:val="0"/>
      <w:autoSpaceDN w:val="0"/>
      <w:adjustRightInd w:val="0"/>
      <w:spacing w:after="0" w:line="240" w:lineRule="auto"/>
      <w:jc w:val="center"/>
      <w:outlineLvl w:val="1"/>
    </w:pPr>
    <w:rPr>
      <w:rFonts w:eastAsia="Times New Roman"/>
      <w:b/>
      <w:bCs/>
      <w:sz w:val="24"/>
      <w:szCs w:val="20"/>
      <w:lang w:val="en-US"/>
    </w:rPr>
  </w:style>
  <w:style w:type="paragraph" w:styleId="Kop3">
    <w:name w:val="heading 3"/>
    <w:basedOn w:val="Standaard"/>
    <w:next w:val="Standaard"/>
    <w:link w:val="Kop3Char"/>
    <w:uiPriority w:val="9"/>
    <w:unhideWhenUsed/>
    <w:qFormat/>
    <w:rsid w:val="003F1B5E"/>
    <w:pPr>
      <w:keepNext/>
      <w:keepLines/>
      <w:numPr>
        <w:ilvl w:val="2"/>
        <w:numId w:val="1"/>
      </w:numPr>
      <w:spacing w:before="200" w:after="0"/>
      <w:outlineLvl w:val="2"/>
    </w:pPr>
    <w:rPr>
      <w:rFonts w:eastAsia="Times New Roman"/>
      <w:bCs/>
      <w:sz w:val="24"/>
    </w:rPr>
  </w:style>
  <w:style w:type="paragraph" w:styleId="Kop4">
    <w:name w:val="heading 4"/>
    <w:basedOn w:val="Standaard"/>
    <w:next w:val="Standaard"/>
    <w:link w:val="Kop4Char"/>
    <w:uiPriority w:val="9"/>
    <w:unhideWhenUsed/>
    <w:qFormat/>
    <w:rsid w:val="003F1B5E"/>
    <w:pPr>
      <w:keepNext/>
      <w:keepLines/>
      <w:numPr>
        <w:ilvl w:val="3"/>
        <w:numId w:val="1"/>
      </w:numPr>
      <w:spacing w:before="200" w:after="0"/>
      <w:outlineLvl w:val="3"/>
    </w:pPr>
    <w:rPr>
      <w:rFonts w:ascii="Cambria" w:eastAsia="Times New Roman" w:hAnsi="Cambria"/>
      <w:b/>
      <w:bCs/>
      <w:i/>
      <w:iCs/>
      <w:color w:val="4F81BD"/>
    </w:rPr>
  </w:style>
  <w:style w:type="paragraph" w:styleId="Kop5">
    <w:name w:val="heading 5"/>
    <w:basedOn w:val="Standaard"/>
    <w:next w:val="Standaard"/>
    <w:link w:val="Kop5Char"/>
    <w:uiPriority w:val="9"/>
    <w:unhideWhenUsed/>
    <w:qFormat/>
    <w:rsid w:val="003F1B5E"/>
    <w:pPr>
      <w:keepNext/>
      <w:keepLines/>
      <w:numPr>
        <w:ilvl w:val="4"/>
        <w:numId w:val="1"/>
      </w:numPr>
      <w:spacing w:before="200" w:after="0"/>
      <w:outlineLvl w:val="4"/>
    </w:pPr>
    <w:rPr>
      <w:rFonts w:ascii="Cambria" w:eastAsia="Times New Roman" w:hAnsi="Cambria"/>
      <w:b/>
      <w:color w:val="243F60"/>
    </w:rPr>
  </w:style>
  <w:style w:type="paragraph" w:styleId="Kop6">
    <w:name w:val="heading 6"/>
    <w:basedOn w:val="Standaard"/>
    <w:next w:val="Standaard"/>
    <w:link w:val="Kop6Char"/>
    <w:uiPriority w:val="9"/>
    <w:unhideWhenUsed/>
    <w:qFormat/>
    <w:rsid w:val="003F1B5E"/>
    <w:pPr>
      <w:keepNext/>
      <w:keepLines/>
      <w:numPr>
        <w:ilvl w:val="5"/>
        <w:numId w:val="1"/>
      </w:numPr>
      <w:spacing w:before="200" w:after="0"/>
      <w:outlineLvl w:val="5"/>
    </w:pPr>
    <w:rPr>
      <w:rFonts w:ascii="Cambria" w:eastAsia="Times New Roman" w:hAnsi="Cambria"/>
      <w:i/>
      <w:iCs/>
      <w:color w:val="243F60"/>
    </w:rPr>
  </w:style>
  <w:style w:type="paragraph" w:styleId="Kop7">
    <w:name w:val="heading 7"/>
    <w:basedOn w:val="Standaard"/>
    <w:next w:val="Standaard"/>
    <w:link w:val="Kop7Char"/>
    <w:uiPriority w:val="9"/>
    <w:unhideWhenUsed/>
    <w:qFormat/>
    <w:rsid w:val="003F1B5E"/>
    <w:pPr>
      <w:keepNext/>
      <w:keepLines/>
      <w:numPr>
        <w:ilvl w:val="6"/>
        <w:numId w:val="1"/>
      </w:numPr>
      <w:spacing w:before="200" w:after="0"/>
      <w:outlineLvl w:val="6"/>
    </w:pPr>
    <w:rPr>
      <w:rFonts w:ascii="Cambria" w:eastAsia="Times New Roman" w:hAnsi="Cambria"/>
      <w:i/>
      <w:iCs/>
      <w:color w:val="404040"/>
    </w:rPr>
  </w:style>
  <w:style w:type="paragraph" w:styleId="Kop8">
    <w:name w:val="heading 8"/>
    <w:basedOn w:val="Standaard"/>
    <w:next w:val="Standaard"/>
    <w:link w:val="Kop8Char"/>
    <w:uiPriority w:val="9"/>
    <w:unhideWhenUsed/>
    <w:qFormat/>
    <w:rsid w:val="003F1B5E"/>
    <w:pPr>
      <w:keepNext/>
      <w:keepLines/>
      <w:numPr>
        <w:ilvl w:val="7"/>
        <w:numId w:val="1"/>
      </w:numPr>
      <w:spacing w:before="200" w:after="0"/>
      <w:outlineLvl w:val="7"/>
    </w:pPr>
    <w:rPr>
      <w:rFonts w:ascii="Cambria" w:eastAsia="Times New Roman" w:hAnsi="Cambria"/>
      <w:color w:val="404040"/>
      <w:szCs w:val="20"/>
    </w:rPr>
  </w:style>
  <w:style w:type="paragraph" w:styleId="Kop9">
    <w:name w:val="heading 9"/>
    <w:basedOn w:val="Standaard"/>
    <w:next w:val="Standaard"/>
    <w:link w:val="Kop9Char"/>
    <w:uiPriority w:val="9"/>
    <w:unhideWhenUsed/>
    <w:qFormat/>
    <w:rsid w:val="003F1B5E"/>
    <w:pPr>
      <w:keepNext/>
      <w:keepLines/>
      <w:numPr>
        <w:ilvl w:val="8"/>
        <w:numId w:val="1"/>
      </w:numPr>
      <w:spacing w:before="200" w:after="0"/>
      <w:outlineLvl w:val="8"/>
    </w:pPr>
    <w:rPr>
      <w:rFonts w:ascii="Cambria" w:eastAsia="Times New Roman" w:hAnsi="Cambria"/>
      <w:i/>
      <w:iCs/>
      <w:color w:val="40404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3F1B5E"/>
    <w:rPr>
      <w:rFonts w:ascii="Arial" w:eastAsia="Times New Roman" w:hAnsi="Arial" w:cs="Times New Roman"/>
      <w:b/>
      <w:bCs/>
      <w:sz w:val="24"/>
      <w:szCs w:val="20"/>
      <w:lang w:val="en-US"/>
    </w:rPr>
  </w:style>
  <w:style w:type="character" w:customStyle="1" w:styleId="Kop3Char">
    <w:name w:val="Kop 3 Char"/>
    <w:basedOn w:val="Standaardalinea-lettertype"/>
    <w:link w:val="Kop3"/>
    <w:uiPriority w:val="9"/>
    <w:rsid w:val="003F1B5E"/>
    <w:rPr>
      <w:rFonts w:ascii="Arial" w:eastAsia="Times New Roman" w:hAnsi="Arial" w:cs="Times New Roman"/>
      <w:bCs/>
      <w:sz w:val="24"/>
      <w:lang w:val="de-DE"/>
    </w:rPr>
  </w:style>
  <w:style w:type="character" w:customStyle="1" w:styleId="Kop4Char">
    <w:name w:val="Kop 4 Char"/>
    <w:basedOn w:val="Standaardalinea-lettertype"/>
    <w:link w:val="Kop4"/>
    <w:uiPriority w:val="9"/>
    <w:rsid w:val="003F1B5E"/>
    <w:rPr>
      <w:rFonts w:ascii="Cambria" w:eastAsia="Times New Roman" w:hAnsi="Cambria" w:cs="Times New Roman"/>
      <w:b/>
      <w:bCs/>
      <w:i/>
      <w:iCs/>
      <w:color w:val="4F81BD"/>
      <w:lang w:val="de-DE"/>
    </w:rPr>
  </w:style>
  <w:style w:type="character" w:customStyle="1" w:styleId="Kop5Char">
    <w:name w:val="Kop 5 Char"/>
    <w:basedOn w:val="Standaardalinea-lettertype"/>
    <w:link w:val="Kop5"/>
    <w:uiPriority w:val="9"/>
    <w:rsid w:val="003F1B5E"/>
    <w:rPr>
      <w:rFonts w:ascii="Cambria" w:eastAsia="Times New Roman" w:hAnsi="Cambria" w:cs="Times New Roman"/>
      <w:b/>
      <w:color w:val="243F60"/>
      <w:lang w:val="de-DE"/>
    </w:rPr>
  </w:style>
  <w:style w:type="character" w:customStyle="1" w:styleId="Kop6Char">
    <w:name w:val="Kop 6 Char"/>
    <w:basedOn w:val="Standaardalinea-lettertype"/>
    <w:link w:val="Kop6"/>
    <w:uiPriority w:val="9"/>
    <w:rsid w:val="003F1B5E"/>
    <w:rPr>
      <w:rFonts w:ascii="Cambria" w:eastAsia="Times New Roman" w:hAnsi="Cambria" w:cs="Times New Roman"/>
      <w:i/>
      <w:iCs/>
      <w:color w:val="243F60"/>
      <w:lang w:val="de-DE"/>
    </w:rPr>
  </w:style>
  <w:style w:type="character" w:customStyle="1" w:styleId="Kop7Char">
    <w:name w:val="Kop 7 Char"/>
    <w:basedOn w:val="Standaardalinea-lettertype"/>
    <w:link w:val="Kop7"/>
    <w:uiPriority w:val="9"/>
    <w:rsid w:val="003F1B5E"/>
    <w:rPr>
      <w:rFonts w:ascii="Cambria" w:eastAsia="Times New Roman" w:hAnsi="Cambria" w:cs="Times New Roman"/>
      <w:i/>
      <w:iCs/>
      <w:color w:val="404040"/>
      <w:lang w:val="de-DE"/>
    </w:rPr>
  </w:style>
  <w:style w:type="character" w:customStyle="1" w:styleId="Kop8Char">
    <w:name w:val="Kop 8 Char"/>
    <w:basedOn w:val="Standaardalinea-lettertype"/>
    <w:link w:val="Kop8"/>
    <w:uiPriority w:val="9"/>
    <w:rsid w:val="003F1B5E"/>
    <w:rPr>
      <w:rFonts w:ascii="Cambria" w:eastAsia="Times New Roman" w:hAnsi="Cambria" w:cs="Times New Roman"/>
      <w:color w:val="404040"/>
      <w:szCs w:val="20"/>
      <w:lang w:val="de-DE"/>
    </w:rPr>
  </w:style>
  <w:style w:type="character" w:customStyle="1" w:styleId="Kop9Char">
    <w:name w:val="Kop 9 Char"/>
    <w:basedOn w:val="Standaardalinea-lettertype"/>
    <w:link w:val="Kop9"/>
    <w:uiPriority w:val="9"/>
    <w:rsid w:val="003F1B5E"/>
    <w:rPr>
      <w:rFonts w:ascii="Cambria" w:eastAsia="Times New Roman" w:hAnsi="Cambria" w:cs="Times New Roman"/>
      <w:i/>
      <w:iCs/>
      <w:color w:val="404040"/>
      <w:szCs w:val="20"/>
      <w:lang w:val="de-DE"/>
    </w:rPr>
  </w:style>
  <w:style w:type="paragraph" w:customStyle="1" w:styleId="1">
    <w:name w:val="1"/>
    <w:basedOn w:val="Standaard"/>
    <w:qFormat/>
    <w:rsid w:val="003F1B5E"/>
    <w:pPr>
      <w:keepNext/>
      <w:keepLines/>
      <w:numPr>
        <w:numId w:val="1"/>
      </w:numPr>
      <w:tabs>
        <w:tab w:val="left" w:pos="1134"/>
      </w:tabs>
      <w:autoSpaceDE w:val="0"/>
      <w:autoSpaceDN w:val="0"/>
      <w:adjustRightInd w:val="0"/>
      <w:spacing w:before="360" w:after="240"/>
      <w:ind w:left="1134" w:hanging="1134"/>
      <w:outlineLvl w:val="0"/>
    </w:pPr>
    <w:rPr>
      <w:rFonts w:eastAsia="Times New Roman" w:cs="Arial"/>
      <w:b/>
      <w:bCs/>
      <w:caps/>
      <w:sz w:val="24"/>
      <w:szCs w:val="20"/>
      <w:lang w:val="en-US"/>
    </w:rPr>
  </w:style>
  <w:style w:type="paragraph" w:customStyle="1" w:styleId="2">
    <w:name w:val="2"/>
    <w:basedOn w:val="Kop2"/>
    <w:link w:val="2Zchn"/>
    <w:qFormat/>
    <w:rsid w:val="003F1B5E"/>
    <w:pPr>
      <w:keepLines/>
      <w:tabs>
        <w:tab w:val="left" w:pos="1134"/>
      </w:tabs>
      <w:spacing w:before="360" w:after="240" w:line="276" w:lineRule="auto"/>
      <w:ind w:left="0" w:firstLine="0"/>
      <w:jc w:val="left"/>
    </w:pPr>
    <w:rPr>
      <w:rFonts w:cs="Arial"/>
      <w:b w:val="0"/>
    </w:rPr>
  </w:style>
  <w:style w:type="character" w:customStyle="1" w:styleId="2Zchn">
    <w:name w:val="2 Zchn"/>
    <w:basedOn w:val="Kop2Char"/>
    <w:link w:val="2"/>
    <w:rsid w:val="003F1B5E"/>
    <w:rPr>
      <w:rFonts w:ascii="Arial" w:eastAsia="Times New Roman" w:hAnsi="Arial" w:cs="Arial"/>
      <w:b/>
      <w:bCs/>
      <w:sz w:val="24"/>
      <w:szCs w:val="20"/>
      <w:lang w:val="en-US"/>
    </w:rPr>
  </w:style>
  <w:style w:type="paragraph" w:customStyle="1" w:styleId="Standardtext">
    <w:name w:val="Standard text"/>
    <w:link w:val="StandardtextZchn"/>
    <w:qFormat/>
    <w:rsid w:val="003F1B5E"/>
    <w:pPr>
      <w:spacing w:before="120"/>
      <w:jc w:val="both"/>
    </w:pPr>
    <w:rPr>
      <w:rFonts w:ascii="Arial" w:eastAsia="Times New Roman" w:hAnsi="Arial" w:cs="Arial"/>
      <w:bCs/>
      <w:lang w:val="en-US" w:eastAsia="de-DE"/>
    </w:rPr>
  </w:style>
  <w:style w:type="character" w:customStyle="1" w:styleId="StandardtextZchn">
    <w:name w:val="Standard text Zchn"/>
    <w:basedOn w:val="Standaardalinea-lettertype"/>
    <w:link w:val="Standardtext"/>
    <w:rsid w:val="003F1B5E"/>
    <w:rPr>
      <w:rFonts w:ascii="Arial" w:eastAsia="Times New Roman" w:hAnsi="Arial" w:cs="Arial"/>
      <w:bCs/>
      <w:lang w:val="en-US" w:eastAsia="de-DE"/>
    </w:rPr>
  </w:style>
  <w:style w:type="paragraph" w:styleId="Lijstalinea">
    <w:name w:val="List Paragraph"/>
    <w:basedOn w:val="Standaard"/>
    <w:link w:val="LijstalineaChar"/>
    <w:uiPriority w:val="34"/>
    <w:qFormat/>
    <w:rsid w:val="003F1B5E"/>
    <w:pPr>
      <w:ind w:left="720"/>
      <w:contextualSpacing/>
    </w:pPr>
    <w:rPr>
      <w:rFonts w:ascii="Calibri" w:hAnsi="Calibri"/>
      <w:sz w:val="20"/>
    </w:rPr>
  </w:style>
  <w:style w:type="paragraph" w:styleId="Voetnoottekst">
    <w:name w:val="footnote text"/>
    <w:basedOn w:val="Standaard"/>
    <w:link w:val="VoetnoottekstChar"/>
    <w:uiPriority w:val="99"/>
    <w:unhideWhenUsed/>
    <w:rsid w:val="003F1B5E"/>
    <w:pPr>
      <w:spacing w:after="0" w:line="240" w:lineRule="auto"/>
    </w:pPr>
    <w:rPr>
      <w:szCs w:val="20"/>
    </w:rPr>
  </w:style>
  <w:style w:type="character" w:customStyle="1" w:styleId="VoetnoottekstChar">
    <w:name w:val="Voetnoottekst Char"/>
    <w:basedOn w:val="Standaardalinea-lettertype"/>
    <w:link w:val="Voetnoottekst"/>
    <w:uiPriority w:val="99"/>
    <w:rsid w:val="003F1B5E"/>
    <w:rPr>
      <w:rFonts w:ascii="Arial" w:eastAsia="Calibri" w:hAnsi="Arial" w:cs="Times New Roman"/>
      <w:szCs w:val="20"/>
      <w:lang w:val="de-DE"/>
    </w:rPr>
  </w:style>
  <w:style w:type="character" w:styleId="Voetnootmarkering">
    <w:name w:val="footnote reference"/>
    <w:basedOn w:val="Standaardalinea-lettertype"/>
    <w:uiPriority w:val="99"/>
    <w:semiHidden/>
    <w:unhideWhenUsed/>
    <w:rsid w:val="003F1B5E"/>
    <w:rPr>
      <w:vertAlign w:val="superscript"/>
    </w:rPr>
  </w:style>
  <w:style w:type="character" w:customStyle="1" w:styleId="LijstalineaChar">
    <w:name w:val="Lijstalinea Char"/>
    <w:link w:val="Lijstalinea"/>
    <w:uiPriority w:val="34"/>
    <w:rsid w:val="003F1B5E"/>
    <w:rPr>
      <w:rFonts w:ascii="Calibri" w:eastAsia="Calibri" w:hAnsi="Calibri" w:cs="Times New Roman"/>
      <w:sz w:val="20"/>
      <w:lang w:val="de-DE"/>
    </w:rPr>
  </w:style>
  <w:style w:type="paragraph" w:styleId="Ballontekst">
    <w:name w:val="Balloon Text"/>
    <w:basedOn w:val="Standaard"/>
    <w:link w:val="BallontekstChar"/>
    <w:uiPriority w:val="99"/>
    <w:semiHidden/>
    <w:unhideWhenUsed/>
    <w:rsid w:val="003F1B5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F1B5E"/>
    <w:rPr>
      <w:rFonts w:ascii="Tahoma" w:eastAsia="Calibri" w:hAnsi="Tahoma" w:cs="Tahoma"/>
      <w:sz w:val="16"/>
      <w:szCs w:val="16"/>
      <w:lang w:val="de-DE"/>
    </w:rPr>
  </w:style>
  <w:style w:type="paragraph" w:customStyle="1" w:styleId="EndNoteBibliographyTitle">
    <w:name w:val="EndNote Bibliography Title"/>
    <w:basedOn w:val="Standaard"/>
    <w:link w:val="EndNoteBibliographyTitleChar"/>
    <w:rsid w:val="003F1B5E"/>
    <w:pPr>
      <w:spacing w:after="0"/>
      <w:jc w:val="center"/>
    </w:pPr>
    <w:rPr>
      <w:rFonts w:cs="Arial"/>
      <w:noProof/>
      <w:lang w:val="en-US"/>
    </w:rPr>
  </w:style>
  <w:style w:type="character" w:customStyle="1" w:styleId="EndNoteBibliographyTitleChar">
    <w:name w:val="EndNote Bibliography Title Char"/>
    <w:basedOn w:val="Standaardalinea-lettertype"/>
    <w:link w:val="EndNoteBibliographyTitle"/>
    <w:rsid w:val="003F1B5E"/>
    <w:rPr>
      <w:rFonts w:ascii="Arial" w:eastAsia="Calibri" w:hAnsi="Arial" w:cs="Arial"/>
      <w:noProof/>
      <w:lang w:val="en-US"/>
    </w:rPr>
  </w:style>
  <w:style w:type="paragraph" w:customStyle="1" w:styleId="EndNoteBibliography">
    <w:name w:val="EndNote Bibliography"/>
    <w:basedOn w:val="Standaard"/>
    <w:link w:val="EndNoteBibliographyChar"/>
    <w:rsid w:val="003F1B5E"/>
    <w:pPr>
      <w:spacing w:line="240" w:lineRule="auto"/>
    </w:pPr>
    <w:rPr>
      <w:rFonts w:cs="Arial"/>
      <w:noProof/>
      <w:lang w:val="en-US"/>
    </w:rPr>
  </w:style>
  <w:style w:type="character" w:customStyle="1" w:styleId="EndNoteBibliographyChar">
    <w:name w:val="EndNote Bibliography Char"/>
    <w:basedOn w:val="Standaardalinea-lettertype"/>
    <w:link w:val="EndNoteBibliography"/>
    <w:rsid w:val="003F1B5E"/>
    <w:rPr>
      <w:rFonts w:ascii="Arial" w:eastAsia="Calibri" w:hAnsi="Arial" w:cs="Arial"/>
      <w:noProof/>
      <w:lang w:val="en-US"/>
    </w:rPr>
  </w:style>
  <w:style w:type="paragraph" w:styleId="Titel">
    <w:name w:val="Title"/>
    <w:basedOn w:val="Standaard"/>
    <w:next w:val="Standaard"/>
    <w:link w:val="TitelChar"/>
    <w:uiPriority w:val="10"/>
    <w:qFormat/>
    <w:rsid w:val="003F1B5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3F1B5E"/>
    <w:rPr>
      <w:rFonts w:asciiTheme="majorHAnsi" w:eastAsiaTheme="majorEastAsia" w:hAnsiTheme="majorHAnsi" w:cstheme="majorBidi"/>
      <w:color w:val="17365D" w:themeColor="text2" w:themeShade="BF"/>
      <w:spacing w:val="5"/>
      <w:kern w:val="28"/>
      <w:sz w:val="52"/>
      <w:szCs w:val="52"/>
      <w:lang w:val="de-DE"/>
    </w:rPr>
  </w:style>
  <w:style w:type="character" w:styleId="Verwijzingopmerking">
    <w:name w:val="annotation reference"/>
    <w:basedOn w:val="Standaardalinea-lettertype"/>
    <w:uiPriority w:val="99"/>
    <w:semiHidden/>
    <w:unhideWhenUsed/>
    <w:rsid w:val="00FA2640"/>
    <w:rPr>
      <w:sz w:val="18"/>
      <w:szCs w:val="18"/>
    </w:rPr>
  </w:style>
  <w:style w:type="paragraph" w:styleId="Tekstopmerking">
    <w:name w:val="annotation text"/>
    <w:basedOn w:val="Standaard"/>
    <w:link w:val="TekstopmerkingChar"/>
    <w:uiPriority w:val="99"/>
    <w:semiHidden/>
    <w:unhideWhenUsed/>
    <w:rsid w:val="00FA2640"/>
    <w:pPr>
      <w:spacing w:line="240" w:lineRule="auto"/>
    </w:pPr>
    <w:rPr>
      <w:sz w:val="24"/>
      <w:szCs w:val="24"/>
    </w:rPr>
  </w:style>
  <w:style w:type="character" w:customStyle="1" w:styleId="TekstopmerkingChar">
    <w:name w:val="Tekst opmerking Char"/>
    <w:basedOn w:val="Standaardalinea-lettertype"/>
    <w:link w:val="Tekstopmerking"/>
    <w:uiPriority w:val="99"/>
    <w:semiHidden/>
    <w:rsid w:val="00FA2640"/>
    <w:rPr>
      <w:rFonts w:ascii="Arial" w:eastAsia="Calibri" w:hAnsi="Arial" w:cs="Times New Roman"/>
      <w:sz w:val="24"/>
      <w:szCs w:val="24"/>
      <w:lang w:val="de-DE"/>
    </w:rPr>
  </w:style>
  <w:style w:type="paragraph" w:styleId="Onderwerpvanopmerking">
    <w:name w:val="annotation subject"/>
    <w:basedOn w:val="Tekstopmerking"/>
    <w:next w:val="Tekstopmerking"/>
    <w:link w:val="OnderwerpvanopmerkingChar"/>
    <w:uiPriority w:val="99"/>
    <w:semiHidden/>
    <w:unhideWhenUsed/>
    <w:rsid w:val="00FA2640"/>
    <w:rPr>
      <w:b/>
      <w:bCs/>
      <w:sz w:val="20"/>
      <w:szCs w:val="20"/>
    </w:rPr>
  </w:style>
  <w:style w:type="character" w:customStyle="1" w:styleId="OnderwerpvanopmerkingChar">
    <w:name w:val="Onderwerp van opmerking Char"/>
    <w:basedOn w:val="TekstopmerkingChar"/>
    <w:link w:val="Onderwerpvanopmerking"/>
    <w:uiPriority w:val="99"/>
    <w:semiHidden/>
    <w:rsid w:val="00FA2640"/>
    <w:rPr>
      <w:rFonts w:ascii="Arial" w:eastAsia="Calibri" w:hAnsi="Arial" w:cs="Times New Roman"/>
      <w:b/>
      <w:bCs/>
      <w:sz w:val="20"/>
      <w:szCs w:val="20"/>
      <w:lang w:val="de-DE"/>
    </w:rPr>
  </w:style>
  <w:style w:type="paragraph" w:styleId="Tekstzonderopmaak">
    <w:name w:val="Plain Text"/>
    <w:basedOn w:val="Standaard"/>
    <w:link w:val="TekstzonderopmaakChar"/>
    <w:uiPriority w:val="99"/>
    <w:unhideWhenUsed/>
    <w:rsid w:val="003F2060"/>
    <w:pPr>
      <w:spacing w:after="0" w:line="240" w:lineRule="auto"/>
      <w:jc w:val="left"/>
    </w:pPr>
    <w:rPr>
      <w:rFonts w:ascii="Consolas" w:eastAsiaTheme="minorHAnsi" w:hAnsi="Consolas" w:cstheme="minorBidi"/>
      <w:sz w:val="21"/>
      <w:szCs w:val="21"/>
      <w:lang w:val="en-GB"/>
    </w:rPr>
  </w:style>
  <w:style w:type="character" w:customStyle="1" w:styleId="TekstzonderopmaakChar">
    <w:name w:val="Tekst zonder opmaak Char"/>
    <w:basedOn w:val="Standaardalinea-lettertype"/>
    <w:link w:val="Tekstzonderopmaak"/>
    <w:uiPriority w:val="99"/>
    <w:rsid w:val="003F2060"/>
    <w:rPr>
      <w:rFonts w:ascii="Consolas" w:hAnsi="Consolas"/>
      <w:sz w:val="21"/>
      <w:szCs w:val="21"/>
    </w:rPr>
  </w:style>
  <w:style w:type="character" w:styleId="Hyperlink">
    <w:name w:val="Hyperlink"/>
    <w:basedOn w:val="Standaardalinea-lettertype"/>
    <w:uiPriority w:val="99"/>
    <w:unhideWhenUsed/>
    <w:rsid w:val="000958BB"/>
    <w:rPr>
      <w:color w:val="0000FF" w:themeColor="hyperlink"/>
      <w:u w:val="single"/>
    </w:rPr>
  </w:style>
  <w:style w:type="paragraph" w:styleId="Revisie">
    <w:name w:val="Revision"/>
    <w:hidden/>
    <w:uiPriority w:val="99"/>
    <w:semiHidden/>
    <w:rsid w:val="00202903"/>
    <w:pPr>
      <w:spacing w:after="0" w:line="240" w:lineRule="auto"/>
    </w:pPr>
    <w:rPr>
      <w:rFonts w:ascii="Arial" w:eastAsia="Calibri" w:hAnsi="Arial" w:cs="Times New Roman"/>
      <w:lang w:val="de-DE"/>
    </w:rPr>
  </w:style>
</w:styles>
</file>

<file path=word/webSettings.xml><?xml version="1.0" encoding="utf-8"?>
<w:webSettings xmlns:r="http://schemas.openxmlformats.org/officeDocument/2006/relationships" xmlns:w="http://schemas.openxmlformats.org/wordprocessingml/2006/main">
  <w:divs>
    <w:div w:id="680158938">
      <w:bodyDiv w:val="1"/>
      <w:marLeft w:val="0"/>
      <w:marRight w:val="0"/>
      <w:marTop w:val="0"/>
      <w:marBottom w:val="0"/>
      <w:divBdr>
        <w:top w:val="none" w:sz="0" w:space="0" w:color="auto"/>
        <w:left w:val="none" w:sz="0" w:space="0" w:color="auto"/>
        <w:bottom w:val="none" w:sz="0" w:space="0" w:color="auto"/>
        <w:right w:val="none" w:sz="0" w:space="0" w:color="auto"/>
      </w:divBdr>
    </w:div>
    <w:div w:id="1874876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edia.wix.com/ugd/dded87_a02ff2e3445f4952992d5a96ca562576.pdf" TargetMode="External"/><Relationship Id="rId13" Type="http://schemas.openxmlformats.org/officeDocument/2006/relationships/hyperlink" Target="http://www.ohri.ca/programs/clinical_epidemiology/nosgen.pdf"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s://reache.files.wordpress.com/2010/03/cross-sectional-appraisal-tool.pdf" TargetMode="External"/><Relationship Id="rId17"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image" Target="media/image3.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edia.wix.com/ugd/dded87_e37a4ab637fe46a0869f9f977dacf134.pdf" TargetMode="External"/><Relationship Id="rId5" Type="http://schemas.openxmlformats.org/officeDocument/2006/relationships/webSettings" Target="webSettings.xml"/><Relationship Id="rId15" Type="http://schemas.openxmlformats.org/officeDocument/2006/relationships/image" Target="media/image2.wmf"/><Relationship Id="rId10" Type="http://schemas.openxmlformats.org/officeDocument/2006/relationships/hyperlink" Target="http://media.wix.com/ugd/dded87_da2bbe3504584b21bf96d56d739d502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handbook.cochrane.org/chapter_8/8_5_the_cochrane_collaborations_tool_for_assessing_risk_of_bias.htm" TargetMode="External"/><Relationship Id="rId14" Type="http://schemas.openxmlformats.org/officeDocument/2006/relationships/image" Target="media/image1.wmf"/><Relationship Id="rId22" Type="http://schemas.microsoft.com/office/2011/relationships/commentsExtended" Target="commentsExtended.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5CABBA-29C9-49A6-95D0-1832E01C6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13</Pages>
  <Words>5423</Words>
  <Characters>29828</Characters>
  <Application>Microsoft Office Word</Application>
  <DocSecurity>0</DocSecurity>
  <Lines>248</Lines>
  <Paragraphs>70</Paragraphs>
  <ScaleCrop>false</ScaleCrop>
  <HeadingPairs>
    <vt:vector size="2" baseType="variant">
      <vt:variant>
        <vt:lpstr>Titel</vt:lpstr>
      </vt:variant>
      <vt:variant>
        <vt:i4>1</vt:i4>
      </vt:variant>
    </vt:vector>
  </HeadingPairs>
  <TitlesOfParts>
    <vt:vector size="1" baseType="lpstr">
      <vt:lpstr/>
    </vt:vector>
  </TitlesOfParts>
  <Company>UMC St Radboud</Company>
  <LinksUpToDate>false</LinksUpToDate>
  <CharactersWithSpaces>35181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Ralph van Hoorn</dc:creator>
  <cp:lastModifiedBy>Wietske Kievit</cp:lastModifiedBy>
  <cp:revision>4</cp:revision>
  <dcterms:created xsi:type="dcterms:W3CDTF">2016-04-22T13:59:00Z</dcterms:created>
  <dcterms:modified xsi:type="dcterms:W3CDTF">2017-01-22T19:32:00Z</dcterms:modified>
</cp:coreProperties>
</file>