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A" w:rsidRPr="008E6372" w:rsidRDefault="009B7AAA" w:rsidP="00381B11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811"/>
        <w:gridCol w:w="852"/>
        <w:gridCol w:w="3482"/>
        <w:gridCol w:w="1620"/>
        <w:gridCol w:w="1652"/>
        <w:gridCol w:w="2450"/>
        <w:gridCol w:w="1978"/>
      </w:tblGrid>
      <w:tr w:rsidR="009B7AAA" w:rsidRPr="00D4381D" w:rsidTr="00773655">
        <w:trPr>
          <w:cantSplit/>
          <w:trHeight w:val="340"/>
        </w:trPr>
        <w:tc>
          <w:tcPr>
            <w:tcW w:w="1453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5C417D">
            <w:pPr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Supplementary Table </w:t>
            </w: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2. Characteristics of economic evaluations included in the systematic review</w:t>
            </w:r>
          </w:p>
        </w:tc>
      </w:tr>
      <w:tr w:rsidR="009B7AAA" w:rsidRPr="008E6372" w:rsidTr="002E314A">
        <w:trPr>
          <w:cantSplit/>
          <w:trHeight w:val="340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Study and Papers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Design (*)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Population: Inclusion criteria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Patients characteristics (</w:t>
            </w:r>
            <w:r w:rsidRPr="008E6372">
              <w:rPr>
                <w:rFonts w:ascii="Calibri" w:hAnsi="Calibri" w:cs="Arial"/>
                <w:b/>
                <w:color w:val="403838"/>
                <w:sz w:val="18"/>
                <w:szCs w:val="18"/>
              </w:rPr>
              <w:t>†</w:t>
            </w: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)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Perspective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Costs included and currency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2E314A">
            <w:pPr>
              <w:jc w:val="center"/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b/>
                <w:kern w:val="6"/>
                <w:sz w:val="18"/>
                <w:szCs w:val="18"/>
                <w:lang w:val="en-GB"/>
              </w:rPr>
              <w:t>Main outcome measures</w:t>
            </w:r>
          </w:p>
        </w:tc>
      </w:tr>
      <w:tr w:rsidR="009B7AAA" w:rsidRPr="008E6372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Lord 1999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(11)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OAK Study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United Kingdom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12 months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CMA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Knee OA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N=170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62-65 years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73% women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Healthcare system and societal perspective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>DMC and DNMC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Pound Sterling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1996/97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-WOMAC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-Arthritis Helplessness Index (AHI)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-SF-36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-General Health Questionnaire</w:t>
            </w:r>
          </w:p>
        </w:tc>
      </w:tr>
      <w:tr w:rsidR="009B7AAA" w:rsidRPr="008E6372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Sevick 2000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(12)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FAST Study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(RCT paper: Ettinger 1997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(18)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USA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18 months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CCA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≥60 years, pain on most days of the month, difficulty due to knee pain with some activities (walking, climbing stairs, raising from a chair, etc.), radiographic evidence of knee OA 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N=439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69 years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70% women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52.62% BMI&gt;30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Healthcare funder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>DMC DNMC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US dollar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1994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-Self-reported disability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-Walking distance 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-Stair climb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-Knee Pain Scale (KPS)</w:t>
            </w:r>
          </w:p>
        </w:tc>
      </w:tr>
      <w:tr w:rsidR="009B7AAA" w:rsidRPr="008E6372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F66A4B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Beaupre 2004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(13)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Canada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12 months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CMA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Noninflammatory arthritis patients waiting for primary TKR, between 40 and 75 years of age, and willingness to undertake the intervention and attend follow-up visits.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N=131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67 years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55% women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BMI: 31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Arthritis: 96%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Healthcare system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DMC and DNMC 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Canadian dollar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1997/98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-WOMAC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-SF-36</w:t>
            </w:r>
          </w:p>
        </w:tc>
      </w:tr>
      <w:tr w:rsidR="009B7AAA" w:rsidRPr="00D4381D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McCarthy 2004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(14)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Richardson 2006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(15)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(RCT paper: McCarthy 2004 (Rheumatology)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(20)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United Kingdom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12 months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CUA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Clinical criteria for knee OA according to ACR: pain in or around the knee for most days in the previous month, radiograph showing knee OA; and at least three of the following: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&gt;50 years, stiffness &gt;30 min upon waking, crepitus, bony tenderness, bony enlargement, no palpable warmth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N=214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65 years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58.4% women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BMI: 29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NHS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DMC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Pound Sterling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1999/2000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-QALY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-Visual Analogue Pain Score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-WOMAC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-SF-36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-Aggregated Locomotor Function (ALF)</w:t>
            </w:r>
          </w:p>
        </w:tc>
      </w:tr>
      <w:tr w:rsidR="009B7AAA" w:rsidRPr="008E6372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Mitchell 2005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(16)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United Kingdom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12 months and 12 weeks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CCA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ind w:left="31"/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OA patients waiting for unilateral TKR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ind w:left="31"/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N=160</w:t>
            </w:r>
          </w:p>
          <w:p w:rsidR="009B7AAA" w:rsidRPr="008E6372" w:rsidRDefault="009B7AAA" w:rsidP="00381B11">
            <w:pPr>
              <w:ind w:left="31"/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70 years</w:t>
            </w:r>
          </w:p>
          <w:p w:rsidR="009B7AAA" w:rsidRPr="008E6372" w:rsidRDefault="009B7AAA" w:rsidP="00381B11">
            <w:pPr>
              <w:ind w:left="31"/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58% women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NHS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DMC and DNMC 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Pound Sterling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2001/02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-WOMAC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-SF-36</w:t>
            </w:r>
          </w:p>
        </w:tc>
      </w:tr>
      <w:tr w:rsidR="009B7AAA" w:rsidRPr="00D4381D" w:rsidTr="00773655">
        <w:trPr>
          <w:cantSplit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Sevick 2009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(17)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ADAPT Study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(RCT paper: Messier 2004</w:t>
            </w:r>
            <w: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(19)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)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USA</w:t>
                </w:r>
              </w:smartTag>
            </w:smartTag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18 months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CEA</w:t>
            </w:r>
          </w:p>
        </w:tc>
        <w:tc>
          <w:tcPr>
            <w:tcW w:w="34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≥60 years, BMI≥28, pain on most days of the month, sedentary lifestyle, difficulty due to knee pain with some activities (walking, climbing stairs, raising from a chair, etc.), radiographic evidence of knee OA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N=316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68 years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72% women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BMI: 34</w:t>
            </w:r>
          </w:p>
        </w:tc>
        <w:tc>
          <w:tcPr>
            <w:tcW w:w="16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Healthcare funder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DMC and DNMC 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US dollar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2000</w:t>
            </w:r>
          </w:p>
        </w:tc>
        <w:tc>
          <w:tcPr>
            <w:tcW w:w="19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-WOMAC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-Walking distance 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-Stair climb</w:t>
            </w:r>
          </w:p>
        </w:tc>
      </w:tr>
      <w:tr w:rsidR="009B7AAA" w:rsidRPr="00D4381D" w:rsidTr="0077365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"/>
        </w:trPr>
        <w:tc>
          <w:tcPr>
            <w:tcW w:w="1453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ACR: </w:t>
            </w:r>
            <w:smartTag w:uri="urn:schemas-microsoft-com:office:smarttags" w:element="PlaceName">
              <w:smartTag w:uri="urn:schemas-microsoft-com:office:smarttags" w:element="place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American</w:t>
                </w:r>
              </w:smartTag>
              <w:r w:rsidRPr="008E6372">
                <w:rPr>
                  <w:rFonts w:ascii="Calibri" w:hAnsi="Calibri" w:cs="Arial"/>
                  <w:kern w:val="6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">
                <w:r w:rsidRPr="008E6372">
                  <w:rPr>
                    <w:rFonts w:ascii="Calibri" w:hAnsi="Calibri" w:cs="Arial"/>
                    <w:kern w:val="6"/>
                    <w:sz w:val="18"/>
                    <w:szCs w:val="18"/>
                    <w:lang w:val="en-GB"/>
                  </w:rPr>
                  <w:t>College</w:t>
                </w:r>
              </w:smartTag>
            </w:smartTag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 of Rheumatology; </w:t>
            </w: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ADAPT: Arthritis, Diet, and Activity Promotion Trial;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BMI: Body Mass Index (kg/m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vertAlign w:val="superscript"/>
                <w:lang w:val="en-GB"/>
              </w:rPr>
              <w:t>2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); CCA: Cost-consequence analysis; CEA: Cost-effectiveness analysis; CMA: Cost-minimization analysis; CUA: Cost-utility analysis; </w:t>
            </w: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DMC: Direct medical costs; DNMC: Direct non-medical costs; FAST: Fitness Arthritis and Seniors Trial;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N: Number of recruited or randomized patients;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highlight w:val="red"/>
                <w:lang w:val="en-GB"/>
              </w:rPr>
            </w:pP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NHS: National Health Service; </w:t>
            </w: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OA: Osteoarthritis; OAK: Osteoarthritis of the Knee; 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 xml:space="preserve">QALY: Quality adjusted life years; RCT: Randomized clinical trial; TKR: Total knee replacement; </w:t>
            </w: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WOMAC: </w:t>
            </w:r>
            <w:smartTag w:uri="urn:schemas-microsoft-com:office:smarttags" w:element="place">
              <w:r w:rsidRPr="008E6372">
                <w:rPr>
                  <w:rFonts w:ascii="Calibri" w:hAnsi="Calibri" w:cs="Arial"/>
                  <w:sz w:val="18"/>
                  <w:szCs w:val="18"/>
                  <w:lang w:val="en-GB"/>
                </w:rPr>
                <w:t>Western Ontario</w:t>
              </w:r>
            </w:smartTag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 xml:space="preserve"> and McMaster Universities Arthritis Index.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9B7AAA" w:rsidRPr="008E6372" w:rsidRDefault="009B7AAA" w:rsidP="00381B11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>*Follow-up or time horizon and type of economic evaluation</w:t>
            </w:r>
          </w:p>
          <w:p w:rsidR="009B7AAA" w:rsidRPr="008E6372" w:rsidRDefault="009B7AAA" w:rsidP="00381B11">
            <w:pPr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</w:pPr>
            <w:r w:rsidRPr="008E6372">
              <w:rPr>
                <w:rFonts w:ascii="Calibri" w:hAnsi="Calibri" w:cs="Arial"/>
                <w:color w:val="403838"/>
                <w:sz w:val="18"/>
                <w:szCs w:val="18"/>
                <w:lang w:val="en-US"/>
              </w:rPr>
              <w:t>†</w:t>
            </w:r>
            <w:r w:rsidRPr="008E6372">
              <w:rPr>
                <w:rFonts w:ascii="Calibri" w:hAnsi="Calibri" w:cs="Arial"/>
                <w:sz w:val="18"/>
                <w:szCs w:val="18"/>
                <w:lang w:val="en-GB"/>
              </w:rPr>
              <w:t>Average age</w:t>
            </w:r>
            <w:r w:rsidRPr="008E6372">
              <w:rPr>
                <w:rFonts w:ascii="Calibri" w:hAnsi="Calibri" w:cs="Arial"/>
                <w:kern w:val="6"/>
                <w:sz w:val="18"/>
                <w:szCs w:val="18"/>
                <w:lang w:val="en-GB"/>
              </w:rPr>
              <w:t>, % de women and BMI.</w:t>
            </w:r>
          </w:p>
        </w:tc>
      </w:tr>
    </w:tbl>
    <w:p w:rsidR="009B7AAA" w:rsidRPr="008E6372" w:rsidRDefault="009B7AAA" w:rsidP="00381B11">
      <w:pPr>
        <w:rPr>
          <w:rFonts w:ascii="Calibri" w:hAnsi="Calibri" w:cs="Arial"/>
          <w:kern w:val="6"/>
          <w:sz w:val="20"/>
          <w:szCs w:val="20"/>
          <w:lang w:val="en-GB"/>
        </w:rPr>
      </w:pP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GB"/>
        </w:rPr>
      </w:pP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GB"/>
        </w:rPr>
      </w:pPr>
    </w:p>
    <w:p w:rsidR="009B7AAA" w:rsidRPr="008E6372" w:rsidRDefault="009B7AAA" w:rsidP="00381B11">
      <w:pPr>
        <w:rPr>
          <w:rFonts w:ascii="Calibri" w:hAnsi="Calibri" w:cs="Arial"/>
          <w:kern w:val="6"/>
          <w:sz w:val="20"/>
          <w:szCs w:val="20"/>
          <w:lang w:val="en-GB"/>
        </w:rPr>
      </w:pPr>
      <w:r w:rsidRPr="00D4381D">
        <w:rPr>
          <w:rFonts w:ascii="Calibri" w:hAnsi="Calibri" w:cs="Arial"/>
          <w:kern w:val="6"/>
          <w:sz w:val="20"/>
          <w:szCs w:val="20"/>
          <w:lang w:val="en-GB"/>
        </w:rPr>
        <w:t>The synthesis of results of the completed studies can be requested to the authors.</w:t>
      </w: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GB"/>
        </w:rPr>
      </w:pP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GB"/>
        </w:rPr>
      </w:pP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US"/>
        </w:rPr>
      </w:pPr>
    </w:p>
    <w:p w:rsidR="009B7AAA" w:rsidRPr="008E6372" w:rsidRDefault="009B7AAA" w:rsidP="00381B11">
      <w:pPr>
        <w:ind w:firstLine="454"/>
        <w:rPr>
          <w:rFonts w:ascii="Calibri" w:hAnsi="Calibri" w:cs="Arial"/>
          <w:kern w:val="6"/>
          <w:sz w:val="20"/>
          <w:szCs w:val="20"/>
          <w:lang w:val="en-US"/>
        </w:rPr>
      </w:pPr>
    </w:p>
    <w:sectPr w:rsidR="009B7AAA" w:rsidRPr="008E6372" w:rsidSect="00C87785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AA" w:rsidRDefault="009B7AAA">
      <w:r>
        <w:separator/>
      </w:r>
    </w:p>
  </w:endnote>
  <w:endnote w:type="continuationSeparator" w:id="0">
    <w:p w:rsidR="009B7AAA" w:rsidRDefault="009B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 xml:space="preserve">REVISIÓN DEL COSTE-EFECTIVIDAD DE LAS INTERVENCIONES DE FISIOTERAPIA </w:t>
    </w:r>
  </w:p>
  <w:p w:rsidR="009B7AAA" w:rsidRPr="00B006C8" w:rsidRDefault="009B7AAA" w:rsidP="00773655">
    <w:pPr>
      <w:pStyle w:val="Footer"/>
      <w:widowControl/>
      <w:adjustRightInd/>
      <w:spacing w:after="0" w:line="240" w:lineRule="auto"/>
      <w:ind w:right="360"/>
      <w:jc w:val="left"/>
      <w:textAlignment w:val="auto"/>
      <w:rPr>
        <w:rFonts w:ascii="HelveticaNeueLT Std" w:hAnsi="HelveticaNeueLT Std" w:cs="Arial"/>
        <w:sz w:val="12"/>
        <w:szCs w:val="12"/>
      </w:rPr>
    </w:pPr>
    <w:r>
      <w:rPr>
        <w:rFonts w:ascii="HelveticaNeueLT Std" w:hAnsi="HelveticaNeueLT Std" w:cs="Arial"/>
        <w:sz w:val="12"/>
        <w:szCs w:val="12"/>
      </w:rPr>
      <w:t>EN LA ARTROSIS DE RODILLA</w:t>
    </w:r>
  </w:p>
  <w:p w:rsidR="009B7AAA" w:rsidRDefault="009B7AAA" w:rsidP="00773655">
    <w:pPr>
      <w:pStyle w:val="Footer"/>
      <w:framePr w:wrap="around" w:vAnchor="text" w:hAnchor="margin" w:xAlign="outside" w:y="1"/>
      <w:spacing w:after="0" w:line="240" w:lineRule="auto"/>
      <w:rPr>
        <w:rStyle w:val="PageNumber"/>
        <w:rFonts w:ascii="HelveticaNeueLT Std" w:hAnsi="HelveticaNeueLT Std" w:cs="Arial"/>
        <w:sz w:val="15"/>
        <w:szCs w:val="15"/>
      </w:rPr>
    </w:pPr>
    <w:r>
      <w:rPr>
        <w:rStyle w:val="PageNumber"/>
        <w:rFonts w:ascii="HelveticaNeueLT Std" w:hAnsi="HelveticaNeueLT Std" w:cs="Arial"/>
        <w:sz w:val="15"/>
        <w:szCs w:val="15"/>
      </w:rPr>
      <w:fldChar w:fldCharType="begin"/>
    </w:r>
    <w:r>
      <w:rPr>
        <w:rStyle w:val="PageNumber"/>
        <w:rFonts w:ascii="HelveticaNeueLT Std" w:hAnsi="HelveticaNeueLT Std" w:cs="Arial"/>
        <w:sz w:val="15"/>
        <w:szCs w:val="15"/>
      </w:rPr>
      <w:instrText xml:space="preserve">PAGE  </w:instrText>
    </w:r>
    <w:r>
      <w:rPr>
        <w:rStyle w:val="PageNumber"/>
        <w:rFonts w:ascii="HelveticaNeueLT Std" w:hAnsi="HelveticaNeueLT Std" w:cs="Arial"/>
        <w:sz w:val="15"/>
        <w:szCs w:val="15"/>
      </w:rPr>
      <w:fldChar w:fldCharType="separate"/>
    </w:r>
    <w:r>
      <w:rPr>
        <w:rStyle w:val="PageNumber"/>
        <w:rFonts w:ascii="HelveticaNeueLT Std" w:hAnsi="HelveticaNeueLT Std" w:cs="Arial"/>
        <w:noProof/>
        <w:sz w:val="15"/>
        <w:szCs w:val="15"/>
      </w:rPr>
      <w:t>16</w:t>
    </w:r>
    <w:r>
      <w:rPr>
        <w:rStyle w:val="PageNumber"/>
        <w:rFonts w:ascii="HelveticaNeueLT Std" w:hAnsi="HelveticaNeueLT Std" w:cs="Arial"/>
        <w:sz w:val="15"/>
        <w:szCs w:val="15"/>
      </w:rPr>
      <w:fldChar w:fldCharType="end"/>
    </w:r>
  </w:p>
  <w:p w:rsidR="009B7AAA" w:rsidRPr="001750CF" w:rsidRDefault="009B7AAA" w:rsidP="00773655">
    <w:pPr>
      <w:pStyle w:val="Footer"/>
      <w:widowControl/>
      <w:adjustRightInd/>
      <w:spacing w:after="0" w:line="240" w:lineRule="auto"/>
      <w:ind w:right="360"/>
      <w:jc w:val="left"/>
      <w:textAlignment w:va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AA" w:rsidRDefault="009B7AAA">
      <w:r>
        <w:separator/>
      </w:r>
    </w:p>
  </w:footnote>
  <w:footnote w:type="continuationSeparator" w:id="0">
    <w:p w:rsidR="009B7AAA" w:rsidRDefault="009B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A" w:rsidRDefault="009B7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31"/>
    <w:multiLevelType w:val="hybridMultilevel"/>
    <w:tmpl w:val="AC3AAC2E"/>
    <w:lvl w:ilvl="0" w:tplc="9F589492">
      <w:start w:val="1"/>
      <w:numFmt w:val="decimal"/>
      <w:lvlText w:val="E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C2552"/>
    <w:multiLevelType w:val="multilevel"/>
    <w:tmpl w:val="0DCE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850B03"/>
    <w:multiLevelType w:val="hybridMultilevel"/>
    <w:tmpl w:val="2256A2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6703B3"/>
    <w:multiLevelType w:val="hybridMultilevel"/>
    <w:tmpl w:val="1F52D72A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BFB56C5"/>
    <w:multiLevelType w:val="hybridMultilevel"/>
    <w:tmpl w:val="0DCE0A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E84FA4"/>
    <w:multiLevelType w:val="hybridMultilevel"/>
    <w:tmpl w:val="30B04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02601"/>
    <w:multiLevelType w:val="hybridMultilevel"/>
    <w:tmpl w:val="FDCAF3E2"/>
    <w:lvl w:ilvl="0" w:tplc="E9A4C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F54F8"/>
    <w:multiLevelType w:val="hybridMultilevel"/>
    <w:tmpl w:val="47B419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E364014"/>
    <w:multiLevelType w:val="hybridMultilevel"/>
    <w:tmpl w:val="F118BC6A"/>
    <w:lvl w:ilvl="0" w:tplc="0C0A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>
    <w:nsid w:val="73111896"/>
    <w:multiLevelType w:val="hybridMultilevel"/>
    <w:tmpl w:val="AF4C9724"/>
    <w:lvl w:ilvl="0" w:tplc="E744B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1646D"/>
    <w:multiLevelType w:val="hybridMultilevel"/>
    <w:tmpl w:val="04C435D4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3C"/>
    <w:rsid w:val="0001757F"/>
    <w:rsid w:val="000378D0"/>
    <w:rsid w:val="00056ADE"/>
    <w:rsid w:val="00103F14"/>
    <w:rsid w:val="001135A6"/>
    <w:rsid w:val="00141F46"/>
    <w:rsid w:val="001675DD"/>
    <w:rsid w:val="001750CF"/>
    <w:rsid w:val="001B34C5"/>
    <w:rsid w:val="002256E0"/>
    <w:rsid w:val="00237781"/>
    <w:rsid w:val="00250E0F"/>
    <w:rsid w:val="002B17DC"/>
    <w:rsid w:val="002B348C"/>
    <w:rsid w:val="002E314A"/>
    <w:rsid w:val="00317CB1"/>
    <w:rsid w:val="00357969"/>
    <w:rsid w:val="00381B11"/>
    <w:rsid w:val="00386E22"/>
    <w:rsid w:val="003A39B9"/>
    <w:rsid w:val="00401F34"/>
    <w:rsid w:val="00402A0D"/>
    <w:rsid w:val="004A6EEA"/>
    <w:rsid w:val="004B5EFF"/>
    <w:rsid w:val="00565689"/>
    <w:rsid w:val="00586AE5"/>
    <w:rsid w:val="005C417D"/>
    <w:rsid w:val="005D4A9C"/>
    <w:rsid w:val="005F25D6"/>
    <w:rsid w:val="0061351A"/>
    <w:rsid w:val="00685551"/>
    <w:rsid w:val="006B4B2B"/>
    <w:rsid w:val="006E0901"/>
    <w:rsid w:val="006E4372"/>
    <w:rsid w:val="0072734B"/>
    <w:rsid w:val="00765EB4"/>
    <w:rsid w:val="00773655"/>
    <w:rsid w:val="007F5590"/>
    <w:rsid w:val="008243E1"/>
    <w:rsid w:val="008D4634"/>
    <w:rsid w:val="008D5AFF"/>
    <w:rsid w:val="008E5EEB"/>
    <w:rsid w:val="008E6372"/>
    <w:rsid w:val="0095483C"/>
    <w:rsid w:val="00965380"/>
    <w:rsid w:val="009755D3"/>
    <w:rsid w:val="009B7AAA"/>
    <w:rsid w:val="00A11B21"/>
    <w:rsid w:val="00A91CAB"/>
    <w:rsid w:val="00A95FEF"/>
    <w:rsid w:val="00AD578B"/>
    <w:rsid w:val="00B006C8"/>
    <w:rsid w:val="00B21754"/>
    <w:rsid w:val="00BC42D7"/>
    <w:rsid w:val="00C43D6A"/>
    <w:rsid w:val="00C547FE"/>
    <w:rsid w:val="00C87785"/>
    <w:rsid w:val="00C91BF7"/>
    <w:rsid w:val="00CA71C9"/>
    <w:rsid w:val="00CB0547"/>
    <w:rsid w:val="00CB45E2"/>
    <w:rsid w:val="00CE4499"/>
    <w:rsid w:val="00CF0360"/>
    <w:rsid w:val="00D22B66"/>
    <w:rsid w:val="00D27998"/>
    <w:rsid w:val="00D4381D"/>
    <w:rsid w:val="00E11D9D"/>
    <w:rsid w:val="00E16F3A"/>
    <w:rsid w:val="00E25CD0"/>
    <w:rsid w:val="00E42A61"/>
    <w:rsid w:val="00E967C7"/>
    <w:rsid w:val="00F3646B"/>
    <w:rsid w:val="00F6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A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7785"/>
    <w:pPr>
      <w:keepNext/>
      <w:widowControl w:val="0"/>
      <w:adjustRightInd w:val="0"/>
      <w:spacing w:after="120" w:line="360" w:lineRule="atLeast"/>
      <w:jc w:val="both"/>
      <w:textAlignment w:val="baseline"/>
      <w:outlineLvl w:val="8"/>
    </w:pPr>
    <w:rPr>
      <w:kern w:val="6"/>
      <w:sz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87785"/>
    <w:rPr>
      <w:rFonts w:cs="Times New Roman"/>
      <w:kern w:val="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548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483C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7785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785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uiPriority w:val="99"/>
    <w:rsid w:val="00C91B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785"/>
    <w:pPr>
      <w:widowControl w:val="0"/>
      <w:tabs>
        <w:tab w:val="center" w:pos="4252"/>
        <w:tab w:val="right" w:pos="8504"/>
      </w:tabs>
      <w:adjustRightInd w:val="0"/>
      <w:spacing w:after="120" w:line="360" w:lineRule="atLeast"/>
      <w:jc w:val="both"/>
      <w:textAlignment w:val="baseline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785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7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77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78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87785"/>
    <w:pPr>
      <w:widowControl w:val="0"/>
      <w:adjustRightInd w:val="0"/>
      <w:spacing w:after="120"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omentarioCar">
    <w:name w:val="Texto comentario Car"/>
    <w:basedOn w:val="DefaultParagraphFont"/>
    <w:uiPriority w:val="99"/>
    <w:semiHidden/>
    <w:rsid w:val="00C8778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7785"/>
    <w:rPr>
      <w:b/>
      <w:bCs/>
    </w:rPr>
  </w:style>
  <w:style w:type="character" w:styleId="Strong">
    <w:name w:val="Strong"/>
    <w:basedOn w:val="DefaultParagraphFont"/>
    <w:uiPriority w:val="99"/>
    <w:qFormat/>
    <w:rsid w:val="00C877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C87785"/>
    <w:rPr>
      <w:rFonts w:cs="Times New Roman"/>
    </w:rPr>
  </w:style>
  <w:style w:type="paragraph" w:styleId="NormalWeb">
    <w:name w:val="Normal (Web)"/>
    <w:basedOn w:val="Normal"/>
    <w:uiPriority w:val="99"/>
    <w:rsid w:val="00C877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11B2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2734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ext-lgarper</dc:creator>
  <cp:keywords/>
  <dc:description/>
  <cp:lastModifiedBy>Lidia Garcia Perez</cp:lastModifiedBy>
  <cp:revision>2</cp:revision>
  <dcterms:created xsi:type="dcterms:W3CDTF">2017-01-29T16:12:00Z</dcterms:created>
  <dcterms:modified xsi:type="dcterms:W3CDTF">2017-01-29T16:12:00Z</dcterms:modified>
</cp:coreProperties>
</file>