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8" w:rsidRDefault="00FD6BCC" w:rsidP="006B2AE8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</w:pPr>
      <w:bookmarkStart w:id="0" w:name="_Ref432749318"/>
      <w:r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ONLINE RESOURCE 1</w:t>
      </w:r>
      <w:r w:rsidR="00C928C9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: PROPENSITY SCORE MATCHING BY DESCENDING ORDER</w:t>
      </w:r>
    </w:p>
    <w:p w:rsidR="00FD6BCC" w:rsidRDefault="00FD6BCC" w:rsidP="006B2AE8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</w:pPr>
    </w:p>
    <w:p w:rsidR="006B2AE8" w:rsidRPr="00DE787F" w:rsidRDefault="006B2AE8" w:rsidP="006B2AE8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 xml:space="preserve">Supplementary </w:t>
      </w:r>
      <w:r w:rsidRPr="00DE787F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 xml:space="preserve">Table </w:t>
      </w:r>
      <w:bookmarkEnd w:id="0"/>
      <w:r w:rsidRPr="006B2AE8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1</w:t>
      </w:r>
      <w:r w:rsidRPr="00DE787F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:</w:t>
      </w:r>
      <w:r w:rsidRPr="00DE787F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 xml:space="preserve"> Monthly utilization of pouches, skin wafers, ostomy accessories, skin products, and hospital outpatient visits per patient by pouching system. </w:t>
      </w:r>
      <w:r w:rsidR="00CE0487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 xml:space="preserve">Propensity score matching by descending order. </w:t>
      </w:r>
      <w:r w:rsidR="00CE0487" w:rsidRPr="00DE787F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>Values presented are means with bootstrapped standard errors within brackets.</w:t>
      </w:r>
    </w:p>
    <w:tbl>
      <w:tblPr>
        <w:tblStyle w:val="TableGrid"/>
        <w:tblW w:w="12362" w:type="dxa"/>
        <w:tblLook w:val="04A0" w:firstRow="1" w:lastRow="0" w:firstColumn="1" w:lastColumn="0" w:noHBand="0" w:noVBand="1"/>
      </w:tblPr>
      <w:tblGrid>
        <w:gridCol w:w="1276"/>
        <w:gridCol w:w="2268"/>
        <w:gridCol w:w="284"/>
        <w:gridCol w:w="1559"/>
        <w:gridCol w:w="1559"/>
        <w:gridCol w:w="1134"/>
        <w:gridCol w:w="1488"/>
        <w:gridCol w:w="1489"/>
        <w:gridCol w:w="1305"/>
      </w:tblGrid>
      <w:tr w:rsidR="006B2AE8" w:rsidRPr="004E154F" w:rsidTr="007021EA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One-piece system</w:t>
            </w:r>
          </w:p>
        </w:tc>
        <w:tc>
          <w:tcPr>
            <w:tcW w:w="42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Two-piece system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Low PA</w:t>
            </w:r>
            <w:r w:rsidRPr="00AB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2AE8" w:rsidRPr="00AB5602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347)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High PA</w:t>
            </w:r>
          </w:p>
          <w:p w:rsidR="006B2AE8" w:rsidRPr="00AB5602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347)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Low PA</w:t>
            </w:r>
          </w:p>
          <w:p w:rsidR="006B2AE8" w:rsidRPr="00AB5602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37)</w:t>
            </w:r>
            <w:r w:rsidRPr="00AB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High PA</w:t>
            </w:r>
          </w:p>
          <w:p w:rsidR="006B2AE8" w:rsidRPr="00AB5602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37)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Wear patterns</w:t>
            </w:r>
            <w:r w:rsidRPr="004E1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Number of pouches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37.64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43.30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Number of skin wafers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Number of ostomy accessories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2.79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F107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2.83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8D15DA" w:rsidP="00F107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 xml:space="preserve">2.14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PSCs</w:t>
            </w:r>
            <w:r w:rsidRPr="004E1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Number of skin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Hospital outpatient visits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07456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8D15DA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8D15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B2AE8" w:rsidRPr="004E154F" w:rsidTr="007021E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E8" w:rsidRPr="004E154F" w:rsidTr="007021EA">
        <w:trPr>
          <w:trHeight w:val="113"/>
        </w:trPr>
        <w:tc>
          <w:tcPr>
            <w:tcW w:w="12362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PA, p</w:t>
            </w:r>
            <w:r w:rsidR="009E3929">
              <w:rPr>
                <w:rFonts w:ascii="Times New Roman" w:hAnsi="Times New Roman" w:cs="Times New Roman"/>
                <w:sz w:val="20"/>
                <w:szCs w:val="20"/>
              </w:rPr>
              <w:t>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activity; PSC, peristomal skin complications; </w:t>
            </w:r>
            <w:r w:rsidR="00184677">
              <w:rPr>
                <w:rFonts w:ascii="Times New Roman" w:hAnsi="Times New Roman" w:cs="Times New Roman"/>
                <w:sz w:val="20"/>
                <w:szCs w:val="20"/>
              </w:rPr>
              <w:t>R&amp;D, research and development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P value for one-tail t-test (H</w:t>
            </w:r>
            <w:r w:rsidRPr="004E15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: mean is higher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 PA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group than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high PA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group)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b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One-piece systems have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built-in skin wafers</w:t>
            </w:r>
          </w:p>
        </w:tc>
      </w:tr>
    </w:tbl>
    <w:p w:rsidR="006B2AE8" w:rsidRPr="004E154F" w:rsidRDefault="006B2AE8" w:rsidP="006B2AE8">
      <w:pPr>
        <w:rPr>
          <w:rFonts w:ascii="Times New Roman" w:hAnsi="Times New Roman" w:cs="Times New Roman"/>
          <w:sz w:val="20"/>
          <w:szCs w:val="20"/>
        </w:rPr>
        <w:sectPr w:rsidR="006B2AE8" w:rsidRPr="004E154F" w:rsidSect="00314629">
          <w:footerReference w:type="default" r:id="rId6"/>
          <w:pgSz w:w="15842" w:h="12242" w:orient="landscape" w:code="1"/>
          <w:pgMar w:top="1440" w:right="1440" w:bottom="1440" w:left="1440" w:header="709" w:footer="709" w:gutter="0"/>
          <w:cols w:space="708"/>
          <w:docGrid w:linePitch="360"/>
        </w:sectPr>
      </w:pPr>
      <w:r w:rsidRPr="004E154F">
        <w:rPr>
          <w:rFonts w:ascii="Times New Roman" w:hAnsi="Times New Roman" w:cs="Times New Roman"/>
          <w:sz w:val="20"/>
          <w:szCs w:val="20"/>
        </w:rPr>
        <w:br w:type="page"/>
      </w:r>
    </w:p>
    <w:p w:rsidR="006B2AE8" w:rsidRPr="004E154F" w:rsidRDefault="006B2AE8" w:rsidP="006B2AE8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</w:pPr>
    </w:p>
    <w:p w:rsidR="006B2AE8" w:rsidRPr="00DE787F" w:rsidRDefault="006B2AE8" w:rsidP="006B2AE8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</w:pPr>
      <w:bookmarkStart w:id="1" w:name="_Ref440018290"/>
      <w:r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Supplementary T</w:t>
      </w:r>
      <w:r w:rsidRPr="00DE787F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 xml:space="preserve">able </w:t>
      </w:r>
      <w:bookmarkEnd w:id="1"/>
      <w:r w:rsidRPr="006B2AE8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2</w:t>
      </w:r>
      <w:r w:rsidRPr="00DE787F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US"/>
        </w:rPr>
        <w:t>:</w:t>
      </w:r>
      <w:r w:rsidRPr="00DE787F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 xml:space="preserve"> Monthly expenditure (EUR) of pouches, skin wafers, ostomy accessories, skin products, and hospital outpatient visits per patient by pouching system. </w:t>
      </w:r>
      <w:r w:rsidR="00CE0487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 xml:space="preserve">Propensity score matching by descending order. </w:t>
      </w:r>
      <w:r w:rsidR="00CE0487" w:rsidRPr="00DE787F">
        <w:rPr>
          <w:rFonts w:ascii="Times New Roman" w:hAnsi="Times New Roman" w:cs="Times New Roman"/>
          <w:i w:val="0"/>
          <w:color w:val="auto"/>
          <w:sz w:val="24"/>
          <w:szCs w:val="20"/>
          <w:lang w:val="en-US"/>
        </w:rPr>
        <w:t>Values presented are means with bootstrapped standard errors within brackets.</w:t>
      </w:r>
    </w:p>
    <w:tbl>
      <w:tblPr>
        <w:tblStyle w:val="TableGrid"/>
        <w:tblW w:w="12362" w:type="dxa"/>
        <w:tblLook w:val="04A0" w:firstRow="1" w:lastRow="0" w:firstColumn="1" w:lastColumn="0" w:noHBand="0" w:noVBand="1"/>
      </w:tblPr>
      <w:tblGrid>
        <w:gridCol w:w="1194"/>
        <w:gridCol w:w="2350"/>
        <w:gridCol w:w="284"/>
        <w:gridCol w:w="1559"/>
        <w:gridCol w:w="1559"/>
        <w:gridCol w:w="1134"/>
        <w:gridCol w:w="1701"/>
        <w:gridCol w:w="1418"/>
        <w:gridCol w:w="1163"/>
      </w:tblGrid>
      <w:tr w:rsidR="006B2AE8" w:rsidRPr="004E154F" w:rsidTr="007021EA">
        <w:trPr>
          <w:trHeight w:val="20"/>
        </w:trPr>
        <w:tc>
          <w:tcPr>
            <w:tcW w:w="11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One-piece system</w:t>
            </w:r>
          </w:p>
        </w:tc>
        <w:tc>
          <w:tcPr>
            <w:tcW w:w="42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Two-piece system</w:t>
            </w:r>
          </w:p>
        </w:tc>
      </w:tr>
      <w:tr w:rsidR="006B2AE8" w:rsidRPr="004E154F" w:rsidTr="007021EA">
        <w:trPr>
          <w:trHeight w:val="293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Low PA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347)</w:t>
            </w:r>
            <w:r w:rsidRPr="00AB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High PA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347)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Low PA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37)</w:t>
            </w:r>
            <w:r w:rsidRPr="00AB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5602">
              <w:rPr>
                <w:rFonts w:ascii="Times New Roman" w:hAnsi="Times New Roman" w:cs="Times New Roman"/>
                <w:b/>
                <w:sz w:val="20"/>
                <w:szCs w:val="24"/>
              </w:rPr>
              <w:t>High PA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(n = 37)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Expenditure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E1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Pouches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F85FE4" w:rsidRDefault="006B2AE8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169.68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F85FE4" w:rsidRDefault="006B2AE8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152.19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80.43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58.33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Skin wafers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F37666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940">
              <w:rPr>
                <w:rFonts w:ascii="Times New Roman" w:hAnsi="Times New Roman" w:cs="Times New Roman"/>
                <w:sz w:val="20"/>
                <w:szCs w:val="20"/>
              </w:rPr>
              <w:t xml:space="preserve">43.30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4940">
              <w:rPr>
                <w:rFonts w:ascii="Times New Roman" w:hAnsi="Times New Roman" w:cs="Times New Roman"/>
                <w:sz w:val="20"/>
                <w:szCs w:val="20"/>
              </w:rPr>
              <w:t>19.56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66.46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Ostomy accessories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52.01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B2A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8D15DA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44.16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2C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0A2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54.77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37.25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Skin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D4BF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4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Hospital outpatient visits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C770F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B2AE8" w:rsidRPr="004E154F" w:rsidTr="007021EA">
        <w:trPr>
          <w:trHeight w:val="2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E8" w:rsidRPr="004E154F" w:rsidTr="007021EA">
        <w:trPr>
          <w:trHeight w:val="35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b/>
                <w:sz w:val="20"/>
                <w:szCs w:val="20"/>
              </w:rPr>
              <w:t>Total expenditure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223.29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3C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9A0A27" w:rsidP="009A0A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198.59</w:t>
            </w:r>
            <w:r w:rsidR="008D15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3C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DE4940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280.17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32.84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F10764" w:rsidP="00DE49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940">
              <w:rPr>
                <w:rFonts w:ascii="Times New Roman" w:hAnsi="Times New Roman" w:cs="Times New Roman"/>
                <w:sz w:val="20"/>
                <w:szCs w:val="20"/>
              </w:rPr>
              <w:t>64.07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4940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2AE8" w:rsidRPr="004E1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AE8" w:rsidRPr="004E154F" w:rsidRDefault="006B2AE8" w:rsidP="00635E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6B2AE8" w:rsidRPr="004E154F" w:rsidTr="007021EA">
        <w:trPr>
          <w:trHeight w:val="175"/>
        </w:trPr>
        <w:tc>
          <w:tcPr>
            <w:tcW w:w="12362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B2AE8" w:rsidRPr="004E154F" w:rsidRDefault="006B2AE8" w:rsidP="0070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PA, p</w:t>
            </w:r>
            <w:r w:rsidR="009E3929">
              <w:rPr>
                <w:rFonts w:ascii="Times New Roman" w:hAnsi="Times New Roman" w:cs="Times New Roman"/>
                <w:sz w:val="20"/>
                <w:szCs w:val="20"/>
              </w:rPr>
              <w:t>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activity; 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R&amp;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D, research and development; EUR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  <w:p w:rsidR="006B2AE8" w:rsidRDefault="006B2AE8" w:rsidP="0070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P value for one-tail t-test (H</w:t>
            </w:r>
            <w:r w:rsidRPr="004E15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: mean is higher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 PA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group than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high PA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group)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onsumer price index adjusted to 2013 year 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prices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Sweden</w:t>
            </w:r>
          </w:p>
          <w:p w:rsidR="006B2AE8" w:rsidRPr="004E154F" w:rsidRDefault="006B2AE8" w:rsidP="007021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c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One-piece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tems have 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>built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-in</w:t>
            </w:r>
            <w:r w:rsidRPr="004E154F">
              <w:rPr>
                <w:rFonts w:ascii="Times New Roman" w:hAnsi="Times New Roman" w:cs="Times New Roman"/>
                <w:sz w:val="20"/>
                <w:szCs w:val="20"/>
              </w:rPr>
              <w:t xml:space="preserve"> skin wafers</w:t>
            </w:r>
          </w:p>
        </w:tc>
      </w:tr>
    </w:tbl>
    <w:p w:rsidR="00B43CF8" w:rsidRDefault="00B43CF8">
      <w:bookmarkStart w:id="2" w:name="_GoBack"/>
      <w:bookmarkEnd w:id="2"/>
    </w:p>
    <w:sectPr w:rsidR="00B43CF8" w:rsidSect="006B2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27" w:rsidRDefault="001F0227" w:rsidP="009E3929">
      <w:pPr>
        <w:spacing w:after="0" w:line="240" w:lineRule="auto"/>
      </w:pPr>
      <w:r>
        <w:separator/>
      </w:r>
    </w:p>
  </w:endnote>
  <w:endnote w:type="continuationSeparator" w:id="0">
    <w:p w:rsidR="001F0227" w:rsidRDefault="001F0227" w:rsidP="009E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32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929" w:rsidRDefault="009E3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929" w:rsidRDefault="009E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27" w:rsidRDefault="001F0227" w:rsidP="009E3929">
      <w:pPr>
        <w:spacing w:after="0" w:line="240" w:lineRule="auto"/>
      </w:pPr>
      <w:r>
        <w:separator/>
      </w:r>
    </w:p>
  </w:footnote>
  <w:footnote w:type="continuationSeparator" w:id="0">
    <w:p w:rsidR="001F0227" w:rsidRDefault="001F0227" w:rsidP="009E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E8"/>
    <w:rsid w:val="0007456A"/>
    <w:rsid w:val="00172C47"/>
    <w:rsid w:val="00184677"/>
    <w:rsid w:val="001F0227"/>
    <w:rsid w:val="005E64A7"/>
    <w:rsid w:val="00635E5D"/>
    <w:rsid w:val="00655C63"/>
    <w:rsid w:val="006B2AE8"/>
    <w:rsid w:val="00893C23"/>
    <w:rsid w:val="008D15DA"/>
    <w:rsid w:val="00982E15"/>
    <w:rsid w:val="009A0A27"/>
    <w:rsid w:val="009E3929"/>
    <w:rsid w:val="00AD4BFC"/>
    <w:rsid w:val="00B43CF8"/>
    <w:rsid w:val="00C619D9"/>
    <w:rsid w:val="00C770FE"/>
    <w:rsid w:val="00C928C9"/>
    <w:rsid w:val="00CE0487"/>
    <w:rsid w:val="00D42747"/>
    <w:rsid w:val="00D7459E"/>
    <w:rsid w:val="00DE4940"/>
    <w:rsid w:val="00F10764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3E0B-E278-4716-84FB-4C2AD38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2AE8"/>
    <w:pPr>
      <w:spacing w:after="200" w:line="240" w:lineRule="auto"/>
    </w:pPr>
    <w:rPr>
      <w:i/>
      <w:iCs/>
      <w:color w:val="44546A" w:themeColor="text2"/>
      <w:sz w:val="18"/>
      <w:szCs w:val="18"/>
      <w:lang w:val="sv-SE"/>
    </w:rPr>
  </w:style>
  <w:style w:type="table" w:styleId="TableGrid">
    <w:name w:val="Table Grid"/>
    <w:basedOn w:val="TableNormal"/>
    <w:uiPriority w:val="39"/>
    <w:rsid w:val="006B2AE8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Calara</dc:creator>
  <cp:keywords/>
  <dc:description/>
  <cp:lastModifiedBy>Sam Calara</cp:lastModifiedBy>
  <cp:revision>11</cp:revision>
  <dcterms:created xsi:type="dcterms:W3CDTF">2016-01-19T12:58:00Z</dcterms:created>
  <dcterms:modified xsi:type="dcterms:W3CDTF">2016-02-17T12:48:00Z</dcterms:modified>
</cp:coreProperties>
</file>