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E59F" w14:textId="77777777" w:rsidR="001C3C54" w:rsidRPr="0059730E" w:rsidRDefault="0059730E" w:rsidP="0059730E">
      <w:pPr>
        <w:pStyle w:val="Heading1"/>
        <w:rPr>
          <w:lang w:val="en-US"/>
        </w:rPr>
      </w:pPr>
      <w:r w:rsidRPr="0059730E">
        <w:rPr>
          <w:lang w:val="en-US"/>
        </w:rPr>
        <w:t>Appendix.</w:t>
      </w:r>
    </w:p>
    <w:p w14:paraId="73E9DF33" w14:textId="77777777" w:rsidR="0059730E" w:rsidRPr="00EC4195" w:rsidRDefault="0059730E" w:rsidP="00EC4195">
      <w:pPr>
        <w:spacing w:after="180" w:line="480" w:lineRule="auto"/>
        <w:rPr>
          <w:rFonts w:ascii="Arial" w:hAnsi="Arial" w:cs="Arial"/>
          <w:sz w:val="20"/>
          <w:szCs w:val="20"/>
        </w:rPr>
      </w:pPr>
      <w:r w:rsidRPr="00EC4195">
        <w:rPr>
          <w:rFonts w:ascii="Arial" w:hAnsi="Arial" w:cs="Arial"/>
          <w:sz w:val="20"/>
          <w:szCs w:val="20"/>
        </w:rPr>
        <w:t>This appendix explains how the carbon footprints, costs, and carbon intensity values were computed for cataract surgery and renal failure that were used for the scenario sensitivity analysis.</w:t>
      </w:r>
    </w:p>
    <w:p w14:paraId="6E248A94" w14:textId="77777777" w:rsidR="0059730E" w:rsidRDefault="0059730E" w:rsidP="0059730E">
      <w:pPr>
        <w:pStyle w:val="Heading2"/>
      </w:pPr>
      <w:r>
        <w:t>Cataract Surgery</w:t>
      </w:r>
    </w:p>
    <w:p w14:paraId="0AE55511" w14:textId="77777777" w:rsidR="0059730E" w:rsidRPr="00EC4195" w:rsidRDefault="0059730E" w:rsidP="00EC4195">
      <w:pPr>
        <w:autoSpaceDE w:val="0"/>
        <w:autoSpaceDN w:val="0"/>
        <w:adjustRightInd w:val="0"/>
        <w:spacing w:after="180" w:line="480" w:lineRule="auto"/>
        <w:rPr>
          <w:rFonts w:ascii="Arial" w:hAnsi="Arial" w:cs="Arial"/>
          <w:sz w:val="20"/>
          <w:szCs w:val="20"/>
        </w:rPr>
      </w:pPr>
      <w:r w:rsidRPr="00EC4195">
        <w:rPr>
          <w:rFonts w:ascii="Arial" w:hAnsi="Arial" w:cs="Arial"/>
          <w:sz w:val="20"/>
          <w:szCs w:val="20"/>
        </w:rPr>
        <w:t>Morris et al</w:t>
      </w:r>
      <w:r w:rsidR="006E4C8E">
        <w:rPr>
          <w:rFonts w:ascii="Arial" w:hAnsi="Arial" w:cs="Arial"/>
          <w:sz w:val="20"/>
          <w:szCs w:val="20"/>
        </w:rPr>
        <w:t>.</w:t>
      </w:r>
      <w:r w:rsidRPr="00EC4195">
        <w:rPr>
          <w:rFonts w:ascii="Arial" w:hAnsi="Arial" w:cs="Arial"/>
          <w:sz w:val="20"/>
          <w:szCs w:val="20"/>
        </w:rPr>
        <w:t xml:space="preserve"> (2013)</w:t>
      </w:r>
      <w:r w:rsidR="001D1054">
        <w:rPr>
          <w:rFonts w:ascii="Arial" w:hAnsi="Arial" w:cs="Arial"/>
          <w:sz w:val="20"/>
          <w:szCs w:val="20"/>
        </w:rPr>
        <w:t xml:space="preserve"> performed a component analysis of the </w:t>
      </w:r>
      <w:r w:rsidR="006E4C8E">
        <w:rPr>
          <w:rFonts w:ascii="Arial" w:hAnsi="Arial" w:cs="Arial"/>
          <w:sz w:val="20"/>
          <w:szCs w:val="20"/>
        </w:rPr>
        <w:t>care pathway for 2,230 c</w:t>
      </w:r>
      <w:r w:rsidR="00EC4195" w:rsidRPr="00EC4195">
        <w:rPr>
          <w:rFonts w:ascii="Arial" w:hAnsi="Arial" w:cs="Arial"/>
          <w:sz w:val="20"/>
          <w:szCs w:val="20"/>
        </w:rPr>
        <w:t>ataract patients in the University Hospital of Wales, Cardiff and estimated the carbon footprint of cataract extrac</w:t>
      </w:r>
      <w:r w:rsidR="006E4C8E">
        <w:rPr>
          <w:rFonts w:ascii="Arial" w:hAnsi="Arial" w:cs="Arial"/>
          <w:sz w:val="20"/>
          <w:szCs w:val="20"/>
        </w:rPr>
        <w:t xml:space="preserve">tion surgery for the first eye </w:t>
      </w:r>
      <w:r w:rsidR="00EC4195" w:rsidRPr="00EC4195">
        <w:rPr>
          <w:rFonts w:ascii="Arial" w:hAnsi="Arial" w:cs="Arial"/>
          <w:sz w:val="20"/>
          <w:szCs w:val="20"/>
        </w:rPr>
        <w:t xml:space="preserve">as </w:t>
      </w:r>
      <w:r w:rsidRPr="00EC4195">
        <w:rPr>
          <w:rFonts w:ascii="Arial" w:hAnsi="Arial" w:cs="Arial"/>
          <w:sz w:val="20"/>
          <w:szCs w:val="20"/>
        </w:rPr>
        <w:t>181.8 kgCO2e</w:t>
      </w:r>
      <w:r w:rsidR="00EC4195" w:rsidRPr="00EC4195">
        <w:rPr>
          <w:rFonts w:ascii="Arial" w:hAnsi="Arial" w:cs="Arial"/>
          <w:sz w:val="20"/>
          <w:szCs w:val="20"/>
        </w:rPr>
        <w:t xml:space="preserve"> per patient</w:t>
      </w:r>
      <w:r w:rsidR="001D1054">
        <w:rPr>
          <w:rFonts w:ascii="Arial" w:hAnsi="Arial" w:cs="Arial"/>
          <w:sz w:val="20"/>
          <w:szCs w:val="20"/>
        </w:rPr>
        <w:t xml:space="preserve"> (see their Table 2)</w:t>
      </w:r>
      <w:r w:rsidRPr="00EC4195">
        <w:rPr>
          <w:rFonts w:ascii="Arial" w:hAnsi="Arial" w:cs="Arial"/>
          <w:sz w:val="20"/>
          <w:szCs w:val="20"/>
        </w:rPr>
        <w:t xml:space="preserve">. Davies et al. (2012) reported, in Table A1 of their </w:t>
      </w:r>
      <w:r w:rsidR="006E4C8E">
        <w:rPr>
          <w:rFonts w:ascii="Arial" w:hAnsi="Arial" w:cs="Arial"/>
          <w:sz w:val="20"/>
          <w:szCs w:val="20"/>
        </w:rPr>
        <w:t>Supporting Information</w:t>
      </w:r>
      <w:r w:rsidRPr="00EC4195">
        <w:rPr>
          <w:rFonts w:ascii="Arial" w:hAnsi="Arial" w:cs="Arial"/>
          <w:sz w:val="20"/>
          <w:szCs w:val="20"/>
        </w:rPr>
        <w:t xml:space="preserve">, that cataract extraction surgery cost £1,740 based on information presented in Clark et al. (2003). </w:t>
      </w:r>
    </w:p>
    <w:p w14:paraId="1AFD260D" w14:textId="77777777" w:rsidR="0059730E" w:rsidRPr="00EC4195" w:rsidRDefault="0059730E" w:rsidP="00EC4195">
      <w:pPr>
        <w:spacing w:after="180" w:line="480" w:lineRule="auto"/>
        <w:rPr>
          <w:rFonts w:ascii="Arial" w:hAnsi="Arial" w:cs="Arial"/>
          <w:sz w:val="20"/>
          <w:szCs w:val="20"/>
        </w:rPr>
      </w:pPr>
      <w:r w:rsidRPr="00EC4195">
        <w:rPr>
          <w:rFonts w:ascii="Arial" w:hAnsi="Arial" w:cs="Arial"/>
          <w:sz w:val="20"/>
          <w:szCs w:val="20"/>
        </w:rPr>
        <w:t xml:space="preserve">The carbon intensity of cataract surgery is, therefore, 181.8 kgCO2e/£1,740 = 0.104 kgCO2e/£ if we assume that the costs presented in Davies et </w:t>
      </w:r>
      <w:r w:rsidR="006E4C8E">
        <w:rPr>
          <w:rFonts w:ascii="Arial" w:hAnsi="Arial" w:cs="Arial"/>
          <w:sz w:val="20"/>
          <w:szCs w:val="20"/>
        </w:rPr>
        <w:t>al. and Clark et al. correspond</w:t>
      </w:r>
      <w:r w:rsidRPr="00EC4195">
        <w:rPr>
          <w:rFonts w:ascii="Arial" w:hAnsi="Arial" w:cs="Arial"/>
          <w:sz w:val="20"/>
          <w:szCs w:val="20"/>
        </w:rPr>
        <w:t xml:space="preserve"> to surgery for one eye</w:t>
      </w:r>
      <w:r w:rsidR="001B346B">
        <w:rPr>
          <w:rFonts w:ascii="Arial" w:hAnsi="Arial" w:cs="Arial"/>
          <w:sz w:val="20"/>
          <w:szCs w:val="20"/>
        </w:rPr>
        <w:t>.</w:t>
      </w:r>
    </w:p>
    <w:p w14:paraId="7CA96F06" w14:textId="77777777" w:rsidR="0059730E" w:rsidRDefault="0059730E" w:rsidP="0059730E">
      <w:pPr>
        <w:pStyle w:val="Heading2"/>
      </w:pPr>
      <w:r>
        <w:t>Renal Failure</w:t>
      </w:r>
    </w:p>
    <w:p w14:paraId="0B154320" w14:textId="33D65B95" w:rsidR="001D1054" w:rsidRDefault="00EC4195" w:rsidP="00FD3C2B">
      <w:pPr>
        <w:spacing w:after="180" w:line="480" w:lineRule="auto"/>
        <w:rPr>
          <w:rFonts w:ascii="Arial" w:hAnsi="Arial" w:cs="Arial"/>
          <w:sz w:val="20"/>
          <w:szCs w:val="20"/>
        </w:rPr>
      </w:pPr>
      <w:r w:rsidRPr="00EC4195">
        <w:rPr>
          <w:rFonts w:ascii="Arial" w:hAnsi="Arial" w:cs="Arial"/>
          <w:sz w:val="20"/>
          <w:szCs w:val="20"/>
        </w:rPr>
        <w:t xml:space="preserve">Connor et al. (2010) </w:t>
      </w:r>
      <w:r w:rsidR="001D1054">
        <w:rPr>
          <w:rFonts w:ascii="Arial" w:hAnsi="Arial" w:cs="Arial"/>
          <w:sz w:val="20"/>
          <w:szCs w:val="20"/>
        </w:rPr>
        <w:t xml:space="preserve">also performed a component analysis of care delivered </w:t>
      </w:r>
      <w:r w:rsidR="00C5588D">
        <w:rPr>
          <w:rFonts w:ascii="Arial" w:hAnsi="Arial" w:cs="Arial"/>
          <w:sz w:val="20"/>
          <w:szCs w:val="20"/>
        </w:rPr>
        <w:t>to 279 patients in the</w:t>
      </w:r>
      <w:r w:rsidR="001D1054">
        <w:rPr>
          <w:rFonts w:ascii="Arial" w:hAnsi="Arial" w:cs="Arial"/>
          <w:sz w:val="20"/>
          <w:szCs w:val="20"/>
        </w:rPr>
        <w:t xml:space="preserve"> </w:t>
      </w:r>
      <w:r w:rsidR="001D1054" w:rsidRPr="001D1054">
        <w:rPr>
          <w:rFonts w:ascii="Arial" w:hAnsi="Arial" w:cs="Arial"/>
          <w:sz w:val="20"/>
          <w:szCs w:val="20"/>
        </w:rPr>
        <w:t xml:space="preserve">Dorset Renal Service </w:t>
      </w:r>
      <w:r w:rsidR="001D1054" w:rsidRPr="00F57696">
        <w:rPr>
          <w:rFonts w:ascii="Arial" w:hAnsi="Arial" w:cs="Arial"/>
          <w:sz w:val="20"/>
          <w:szCs w:val="20"/>
        </w:rPr>
        <w:t>in the United Kingdom and estimate</w:t>
      </w:r>
      <w:r w:rsidR="006E4C8E">
        <w:rPr>
          <w:rFonts w:ascii="Arial" w:hAnsi="Arial" w:cs="Arial"/>
          <w:sz w:val="20"/>
          <w:szCs w:val="20"/>
        </w:rPr>
        <w:t>s</w:t>
      </w:r>
      <w:r w:rsidR="001D1054" w:rsidRPr="00F57696">
        <w:rPr>
          <w:rFonts w:ascii="Arial" w:hAnsi="Arial" w:cs="Arial"/>
          <w:sz w:val="20"/>
          <w:szCs w:val="20"/>
        </w:rPr>
        <w:t xml:space="preserve"> the carbon footprints for h</w:t>
      </w:r>
      <w:r w:rsidR="00F57696" w:rsidRPr="00F57696">
        <w:rPr>
          <w:rFonts w:ascii="Arial" w:hAnsi="Arial" w:cs="Arial"/>
          <w:sz w:val="20"/>
          <w:szCs w:val="20"/>
        </w:rPr>
        <w:t>a</w:t>
      </w:r>
      <w:r w:rsidR="001D1054" w:rsidRPr="001D1054">
        <w:rPr>
          <w:rFonts w:ascii="Arial" w:hAnsi="Arial" w:cs="Arial"/>
          <w:sz w:val="20"/>
          <w:szCs w:val="20"/>
        </w:rPr>
        <w:t xml:space="preserve">emodialysis and </w:t>
      </w:r>
      <w:r w:rsidR="001D1054" w:rsidRPr="00F57696">
        <w:rPr>
          <w:rFonts w:ascii="Arial" w:hAnsi="Arial" w:cs="Arial"/>
          <w:sz w:val="20"/>
          <w:szCs w:val="20"/>
        </w:rPr>
        <w:t>p</w:t>
      </w:r>
      <w:r w:rsidR="001D1054" w:rsidRPr="001D1054">
        <w:rPr>
          <w:rFonts w:ascii="Arial" w:hAnsi="Arial" w:cs="Arial"/>
          <w:sz w:val="20"/>
          <w:szCs w:val="20"/>
        </w:rPr>
        <w:t xml:space="preserve">eritoneal </w:t>
      </w:r>
      <w:r w:rsidR="001D1054" w:rsidRPr="00F57696">
        <w:rPr>
          <w:rFonts w:ascii="Arial" w:hAnsi="Arial" w:cs="Arial"/>
          <w:sz w:val="20"/>
          <w:szCs w:val="20"/>
        </w:rPr>
        <w:t>d</w:t>
      </w:r>
      <w:r w:rsidR="001D1054" w:rsidRPr="001D1054">
        <w:rPr>
          <w:rFonts w:ascii="Arial" w:hAnsi="Arial" w:cs="Arial"/>
          <w:sz w:val="20"/>
          <w:szCs w:val="20"/>
        </w:rPr>
        <w:t>ialysis</w:t>
      </w:r>
      <w:r w:rsidR="001D1054" w:rsidRPr="00F57696">
        <w:rPr>
          <w:rFonts w:ascii="Arial" w:hAnsi="Arial" w:cs="Arial"/>
          <w:sz w:val="20"/>
          <w:szCs w:val="20"/>
        </w:rPr>
        <w:t xml:space="preserve"> and</w:t>
      </w:r>
      <w:r w:rsidR="001D1054" w:rsidRPr="001D1054">
        <w:rPr>
          <w:rFonts w:ascii="Arial" w:hAnsi="Arial" w:cs="Arial"/>
          <w:sz w:val="20"/>
          <w:szCs w:val="20"/>
        </w:rPr>
        <w:t xml:space="preserve"> outpatient and inpatient services. We combined those data to derive the average total </w:t>
      </w:r>
      <w:r w:rsidR="006E4C8E">
        <w:rPr>
          <w:rFonts w:ascii="Arial" w:hAnsi="Arial" w:cs="Arial"/>
          <w:sz w:val="20"/>
          <w:szCs w:val="20"/>
        </w:rPr>
        <w:t xml:space="preserve">annual </w:t>
      </w:r>
      <w:r w:rsidR="001D1054" w:rsidRPr="001D1054">
        <w:rPr>
          <w:rFonts w:ascii="Arial" w:hAnsi="Arial" w:cs="Arial"/>
          <w:sz w:val="20"/>
          <w:szCs w:val="20"/>
        </w:rPr>
        <w:t>carbon footp</w:t>
      </w:r>
      <w:r w:rsidR="00B837FE">
        <w:rPr>
          <w:rFonts w:ascii="Arial" w:hAnsi="Arial" w:cs="Arial"/>
          <w:sz w:val="20"/>
          <w:szCs w:val="20"/>
        </w:rPr>
        <w:t>rint per renal patient (</w:t>
      </w:r>
      <w:r w:rsidR="00FD3C2B" w:rsidRPr="00FD3C2B">
        <w:rPr>
          <w:rFonts w:ascii="Arial" w:hAnsi="Arial" w:cs="Arial"/>
          <w:sz w:val="20"/>
          <w:szCs w:val="20"/>
        </w:rPr>
        <w:t>10,613.95</w:t>
      </w:r>
      <w:r w:rsidR="00B837FE" w:rsidRPr="00FD3C2B">
        <w:rPr>
          <w:rFonts w:ascii="Arial" w:hAnsi="Arial" w:cs="Arial"/>
          <w:sz w:val="20"/>
          <w:szCs w:val="20"/>
        </w:rPr>
        <w:t xml:space="preserve"> </w:t>
      </w:r>
      <w:r w:rsidR="001D1054">
        <w:rPr>
          <w:rFonts w:ascii="Arial" w:hAnsi="Arial" w:cs="Arial"/>
          <w:sz w:val="20"/>
          <w:szCs w:val="20"/>
        </w:rPr>
        <w:t>kgCO2e) as follows: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296"/>
        <w:gridCol w:w="1022"/>
        <w:gridCol w:w="1310"/>
        <w:gridCol w:w="1637"/>
        <w:gridCol w:w="1209"/>
        <w:gridCol w:w="1319"/>
        <w:gridCol w:w="1567"/>
      </w:tblGrid>
      <w:tr w:rsidR="004A4A7F" w:rsidRPr="001D1054" w14:paraId="50BDC111" w14:textId="77777777" w:rsidTr="00DB5849">
        <w:trPr>
          <w:trHeight w:val="846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CE589" w14:textId="77777777" w:rsidR="001D1054" w:rsidRPr="006E4C8E" w:rsidRDefault="001D1054" w:rsidP="006E4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 Used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E9A79" w14:textId="77777777" w:rsidR="001D1054" w:rsidRPr="006E4C8E" w:rsidRDefault="001D1054" w:rsidP="00F7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90EC4" w14:textId="77777777" w:rsidR="001D1054" w:rsidRPr="006E4C8E" w:rsidRDefault="001D1054" w:rsidP="00F7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kg CO2e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843F4" w14:textId="77777777" w:rsidR="001D1054" w:rsidRPr="006E4C8E" w:rsidRDefault="001D1054" w:rsidP="00F7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3BDCE" w14:textId="77777777" w:rsidR="001D1054" w:rsidRPr="006E4C8E" w:rsidRDefault="001D1054" w:rsidP="00F71E65">
            <w:pPr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kg CO2e per Unit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583B2" w14:textId="77777777" w:rsidR="001D1054" w:rsidRPr="006E4C8E" w:rsidRDefault="001D1054" w:rsidP="00F71E65">
            <w:pPr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Units per Patient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A00CE" w14:textId="77777777" w:rsidR="001D1054" w:rsidRPr="006E4C8E" w:rsidRDefault="001D1054" w:rsidP="00F71E65">
            <w:pPr>
              <w:spacing w:after="0" w:line="240" w:lineRule="auto"/>
              <w:ind w:right="1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kg CO2e per Patient</w:t>
            </w:r>
          </w:p>
        </w:tc>
      </w:tr>
      <w:tr w:rsidR="004A4A7F" w:rsidRPr="001D1054" w14:paraId="75843E5C" w14:textId="77777777" w:rsidTr="00FD3C2B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880A" w14:textId="77777777" w:rsidR="00F71E65" w:rsidRPr="006E4C8E" w:rsidRDefault="00F71E65" w:rsidP="00F71E6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Dialysis</w:t>
            </w: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9976" w14:textId="77777777" w:rsidR="00F71E65" w:rsidRPr="006E4C8E" w:rsidRDefault="00F71E65" w:rsidP="00F71E6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 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15B0" w14:textId="77777777" w:rsidR="00F71E65" w:rsidRPr="006E4C8E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1,965,305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E843" w14:textId="77777777" w:rsidR="00F71E65" w:rsidRPr="006E4C8E" w:rsidRDefault="00F71E65" w:rsidP="00F71E65">
            <w:pPr>
              <w:tabs>
                <w:tab w:val="decimal" w:pos="61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 patients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3EB0" w14:textId="77777777" w:rsidR="00F71E65" w:rsidRPr="006E4C8E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7,044.10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B296" w14:textId="77777777" w:rsidR="00F71E65" w:rsidRPr="006E4C8E" w:rsidRDefault="00F71E65" w:rsidP="004A4A7F">
            <w:pPr>
              <w:tabs>
                <w:tab w:val="decimal" w:pos="432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  <w:r w:rsidRPr="00AD70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1DB9" w14:textId="77777777" w:rsidR="00F71E65" w:rsidRPr="00F71E65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E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7,044.10</w:t>
            </w:r>
          </w:p>
        </w:tc>
      </w:tr>
      <w:tr w:rsidR="004A4A7F" w:rsidRPr="001D1054" w14:paraId="67288AB0" w14:textId="77777777" w:rsidTr="00FD3C2B">
        <w:trPr>
          <w:trHeight w:val="342"/>
        </w:trPr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4ECC" w14:textId="77777777" w:rsidR="00F71E65" w:rsidRPr="006E4C8E" w:rsidRDefault="00F71E65" w:rsidP="00F71E6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039" w14:textId="77777777" w:rsidR="00F71E65" w:rsidRPr="006E4C8E" w:rsidRDefault="00F71E65" w:rsidP="00F71E6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8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4C6" w14:textId="77777777" w:rsidR="00F71E65" w:rsidRPr="006E4C8E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171,971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375E" w14:textId="77777777" w:rsidR="00F71E65" w:rsidRPr="006E4C8E" w:rsidRDefault="00F71E65" w:rsidP="00F71E65">
            <w:pPr>
              <w:tabs>
                <w:tab w:val="decimal" w:pos="61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7,800 visits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D94E" w14:textId="77777777" w:rsidR="00F71E65" w:rsidRPr="006E4C8E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5C1A" w14:textId="77777777" w:rsidR="00F71E65" w:rsidRPr="006E4C8E" w:rsidRDefault="00F71E65" w:rsidP="004A4A7F">
            <w:pPr>
              <w:tabs>
                <w:tab w:val="decimal" w:pos="432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AD70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3852" w14:textId="77777777" w:rsidR="00F71E65" w:rsidRPr="00F71E65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E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616.38</w:t>
            </w:r>
          </w:p>
        </w:tc>
      </w:tr>
      <w:tr w:rsidR="00FD3C2B" w:rsidRPr="001D1054" w14:paraId="502AC67A" w14:textId="77777777" w:rsidTr="00FD3C2B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672B" w14:textId="77777777" w:rsidR="00FD3C2B" w:rsidRPr="006E4C8E" w:rsidRDefault="00FD3C2B" w:rsidP="00FD3C2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9F4F" w14:textId="77777777" w:rsidR="00FD3C2B" w:rsidRPr="006E4C8E" w:rsidRDefault="00FD3C2B" w:rsidP="00FD3C2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B6681" w14:textId="77777777" w:rsidR="00FD3C2B" w:rsidRPr="006E4C8E" w:rsidRDefault="00FD3C2B" w:rsidP="00FD3C2B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824,016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1D4F" w14:textId="77777777" w:rsidR="00FD3C2B" w:rsidRPr="006E4C8E" w:rsidRDefault="00FD3C2B" w:rsidP="00FD3C2B">
            <w:pPr>
              <w:tabs>
                <w:tab w:val="decimal" w:pos="61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5,110 bed days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2D40" w14:textId="77777777" w:rsidR="00FD3C2B" w:rsidRPr="006E4C8E" w:rsidRDefault="00FD3C2B" w:rsidP="00FD3C2B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161.26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E104" w14:textId="042A8C9E" w:rsidR="00FD3C2B" w:rsidRPr="006E4C8E" w:rsidRDefault="00FD3C2B" w:rsidP="00FD3C2B">
            <w:pPr>
              <w:tabs>
                <w:tab w:val="decimal" w:pos="432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</w:t>
            </w:r>
            <w:r w:rsidRPr="00FD3C2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A3E74" w14:textId="78804A80" w:rsidR="00FD3C2B" w:rsidRPr="00F71E65" w:rsidRDefault="00FD3C2B" w:rsidP="00FD3C2B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3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2,953.46</w:t>
            </w:r>
          </w:p>
        </w:tc>
      </w:tr>
      <w:tr w:rsidR="004A4A7F" w:rsidRPr="001D1054" w14:paraId="77A36725" w14:textId="77777777" w:rsidTr="00FD3C2B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0419" w14:textId="77777777" w:rsidR="00F71E65" w:rsidRPr="006E4C8E" w:rsidRDefault="00F71E65" w:rsidP="00F71E65">
            <w:pPr>
              <w:spacing w:before="60" w:after="6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FB63" w14:textId="77777777" w:rsidR="00F71E65" w:rsidRPr="006E4C8E" w:rsidRDefault="00F71E65" w:rsidP="00F71E6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E9AB" w14:textId="77777777" w:rsidR="00F71E65" w:rsidRPr="006E4C8E" w:rsidRDefault="00F71E65" w:rsidP="00F71E6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23C2" w14:textId="77777777" w:rsidR="00F71E65" w:rsidRPr="006E4C8E" w:rsidRDefault="00F71E65" w:rsidP="00F71E6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8CC4" w14:textId="77777777" w:rsidR="00F71E65" w:rsidRPr="006E4C8E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FF306" w14:textId="77777777" w:rsidR="00F71E65" w:rsidRPr="006E4C8E" w:rsidRDefault="00F71E65" w:rsidP="00F71E65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1361" w14:textId="0479A0CB" w:rsidR="00F71E65" w:rsidRPr="00FD3C2B" w:rsidRDefault="00FD3C2B" w:rsidP="00FD3C2B">
            <w:pPr>
              <w:spacing w:before="60" w:after="60" w:line="240" w:lineRule="auto"/>
              <w:ind w:right="144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3C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10,613.95</w:t>
            </w:r>
          </w:p>
        </w:tc>
      </w:tr>
      <w:tr w:rsidR="00D471D4" w:rsidRPr="001D1054" w14:paraId="391C41A0" w14:textId="77777777" w:rsidTr="00D471D4">
        <w:trPr>
          <w:trHeight w:val="300"/>
        </w:trPr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00C2" w14:textId="77777777" w:rsidR="00D471D4" w:rsidRDefault="00AD7024" w:rsidP="003F5D0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="00D471D4"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h</w:t>
            </w:r>
            <w:r w:rsidR="00F57696"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D471D4" w:rsidRPr="006E4C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emodialysis and peritoneal.</w:t>
            </w:r>
          </w:p>
          <w:p w14:paraId="1E5EF84E" w14:textId="77777777" w:rsidR="00AD7024" w:rsidRDefault="00AD7024" w:rsidP="00D47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unit used because it corresponds to a year’s worth of dialysis services.</w:t>
            </w:r>
          </w:p>
          <w:p w14:paraId="3C689C68" w14:textId="77777777" w:rsidR="00AD7024" w:rsidRDefault="00AD7024" w:rsidP="00D47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Derived from 7,800 visits per 279 patients.</w:t>
            </w:r>
          </w:p>
          <w:p w14:paraId="144513FB" w14:textId="691C936C" w:rsidR="00AD7024" w:rsidRPr="006E4C8E" w:rsidRDefault="00AD7024" w:rsidP="00FD3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0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Derived from </w:t>
            </w:r>
            <w:r w:rsidR="00FD3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5,110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bed days </w:t>
            </w:r>
            <w:r w:rsidR="00FD3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279 patients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C0E6EDF" w14:textId="77777777" w:rsidR="00D471D4" w:rsidRDefault="00D471D4" w:rsidP="00D471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20C00907" w14:textId="77777777" w:rsidR="001B346B" w:rsidRPr="001B346B" w:rsidRDefault="00D471D4" w:rsidP="004A4A7F">
      <w:pPr>
        <w:spacing w:after="18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C4195">
        <w:rPr>
          <w:rFonts w:ascii="Arial" w:hAnsi="Arial" w:cs="Arial"/>
          <w:sz w:val="20"/>
          <w:szCs w:val="20"/>
        </w:rPr>
        <w:t xml:space="preserve">avies et al. (2012) reported, in Table A1 of their </w:t>
      </w:r>
      <w:r w:rsidR="004A4A7F">
        <w:rPr>
          <w:rFonts w:ascii="Arial" w:hAnsi="Arial" w:cs="Arial"/>
          <w:sz w:val="20"/>
          <w:szCs w:val="20"/>
        </w:rPr>
        <w:t>Supporting Information</w:t>
      </w:r>
      <w:r w:rsidRPr="00EC4195">
        <w:rPr>
          <w:rFonts w:ascii="Arial" w:hAnsi="Arial" w:cs="Arial"/>
          <w:sz w:val="20"/>
          <w:szCs w:val="20"/>
        </w:rPr>
        <w:t xml:space="preserve">, that </w:t>
      </w:r>
      <w:r>
        <w:rPr>
          <w:rFonts w:ascii="Arial" w:hAnsi="Arial" w:cs="Arial"/>
          <w:sz w:val="20"/>
          <w:szCs w:val="20"/>
        </w:rPr>
        <w:t>h</w:t>
      </w:r>
      <w:r w:rsidR="004A4A7F">
        <w:rPr>
          <w:rFonts w:ascii="Arial" w:hAnsi="Arial" w:cs="Arial"/>
          <w:sz w:val="20"/>
          <w:szCs w:val="20"/>
        </w:rPr>
        <w:t>a</w:t>
      </w:r>
      <w:r w:rsidRPr="001D1054">
        <w:rPr>
          <w:rFonts w:ascii="Arial" w:hAnsi="Arial" w:cs="Arial"/>
          <w:sz w:val="20"/>
          <w:szCs w:val="20"/>
        </w:rPr>
        <w:t>emodialysis</w:t>
      </w:r>
      <w:r>
        <w:rPr>
          <w:rFonts w:ascii="Arial" w:hAnsi="Arial" w:cs="Arial"/>
          <w:sz w:val="20"/>
          <w:szCs w:val="20"/>
        </w:rPr>
        <w:t xml:space="preserve"> costs </w:t>
      </w:r>
      <w:r w:rsidRPr="00D471D4">
        <w:rPr>
          <w:rFonts w:ascii="Arial" w:hAnsi="Arial" w:cs="Arial"/>
          <w:sz w:val="20"/>
          <w:szCs w:val="20"/>
        </w:rPr>
        <w:t xml:space="preserve">£27,863 </w:t>
      </w:r>
      <w:r>
        <w:rPr>
          <w:rFonts w:ascii="Arial" w:hAnsi="Arial" w:cs="Arial"/>
          <w:sz w:val="20"/>
          <w:szCs w:val="20"/>
        </w:rPr>
        <w:t xml:space="preserve">per year </w:t>
      </w:r>
      <w:r w:rsidRPr="00D471D4">
        <w:rPr>
          <w:rFonts w:ascii="Arial" w:hAnsi="Arial" w:cs="Arial"/>
          <w:sz w:val="20"/>
          <w:szCs w:val="20"/>
        </w:rPr>
        <w:t xml:space="preserve">and </w:t>
      </w:r>
      <w:r w:rsidRPr="001D1054">
        <w:rPr>
          <w:rFonts w:ascii="Arial" w:hAnsi="Arial" w:cs="Arial"/>
          <w:sz w:val="20"/>
          <w:szCs w:val="20"/>
        </w:rPr>
        <w:t xml:space="preserve">peritoneal dialysis </w:t>
      </w:r>
      <w:r>
        <w:rPr>
          <w:rFonts w:ascii="Arial" w:hAnsi="Arial" w:cs="Arial"/>
          <w:sz w:val="20"/>
          <w:szCs w:val="20"/>
        </w:rPr>
        <w:t xml:space="preserve">costs </w:t>
      </w:r>
      <w:r w:rsidRPr="00D471D4">
        <w:rPr>
          <w:rFonts w:ascii="Arial" w:hAnsi="Arial" w:cs="Arial"/>
          <w:sz w:val="20"/>
          <w:szCs w:val="20"/>
        </w:rPr>
        <w:t>£20,920</w:t>
      </w:r>
      <w:r>
        <w:rPr>
          <w:rFonts w:ascii="Arial" w:hAnsi="Arial" w:cs="Arial"/>
          <w:sz w:val="20"/>
          <w:szCs w:val="20"/>
        </w:rPr>
        <w:t xml:space="preserve"> per year. Using the distribution of patients </w:t>
      </w:r>
      <w:r>
        <w:rPr>
          <w:rFonts w:ascii="Arial" w:hAnsi="Arial" w:cs="Arial"/>
          <w:sz w:val="20"/>
          <w:szCs w:val="20"/>
        </w:rPr>
        <w:lastRenderedPageBreak/>
        <w:t>receiving h</w:t>
      </w:r>
      <w:r w:rsidRPr="001D1054">
        <w:rPr>
          <w:rFonts w:ascii="Arial" w:hAnsi="Arial" w:cs="Arial"/>
          <w:sz w:val="20"/>
          <w:szCs w:val="20"/>
        </w:rPr>
        <w:t>emodialysis</w:t>
      </w:r>
      <w:r>
        <w:rPr>
          <w:rFonts w:ascii="Arial" w:hAnsi="Arial" w:cs="Arial"/>
          <w:sz w:val="20"/>
          <w:szCs w:val="20"/>
        </w:rPr>
        <w:t xml:space="preserve"> (225/279) </w:t>
      </w:r>
      <w:r w:rsidRPr="00D471D4">
        <w:rPr>
          <w:rFonts w:ascii="Arial" w:hAnsi="Arial" w:cs="Arial"/>
          <w:sz w:val="20"/>
          <w:szCs w:val="20"/>
        </w:rPr>
        <w:t xml:space="preserve">and </w:t>
      </w:r>
      <w:r w:rsidRPr="001D1054">
        <w:rPr>
          <w:rFonts w:ascii="Arial" w:hAnsi="Arial" w:cs="Arial"/>
          <w:sz w:val="20"/>
          <w:szCs w:val="20"/>
        </w:rPr>
        <w:t>peritoneal dialysis</w:t>
      </w:r>
      <w:r w:rsidRPr="00EC41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(54/279) reported in Conner et al., we calculated a weighted average cost of care for renal failure patients </w:t>
      </w:r>
      <w:r w:rsidR="001B346B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1B346B" w:rsidRPr="001B346B">
        <w:rPr>
          <w:rFonts w:ascii="Arial" w:hAnsi="Arial" w:cs="Arial"/>
          <w:sz w:val="20"/>
          <w:szCs w:val="20"/>
        </w:rPr>
        <w:t>£26,519</w:t>
      </w:r>
      <w:r w:rsidR="001B346B">
        <w:rPr>
          <w:rFonts w:ascii="Arial" w:hAnsi="Arial" w:cs="Arial"/>
          <w:sz w:val="20"/>
          <w:szCs w:val="20"/>
        </w:rPr>
        <w:t>.</w:t>
      </w:r>
    </w:p>
    <w:p w14:paraId="022704DF" w14:textId="4ED04FE8" w:rsidR="001B346B" w:rsidRDefault="001B346B" w:rsidP="004A4A7F">
      <w:pPr>
        <w:spacing w:after="180" w:line="480" w:lineRule="auto"/>
        <w:rPr>
          <w:rFonts w:ascii="Arial" w:hAnsi="Arial" w:cs="Arial"/>
          <w:sz w:val="20"/>
          <w:szCs w:val="20"/>
        </w:rPr>
      </w:pPr>
      <w:r w:rsidRPr="00EC4195">
        <w:rPr>
          <w:rFonts w:ascii="Arial" w:hAnsi="Arial" w:cs="Arial"/>
          <w:sz w:val="20"/>
          <w:szCs w:val="20"/>
        </w:rPr>
        <w:t xml:space="preserve">The carbon intensity of </w:t>
      </w:r>
      <w:r>
        <w:rPr>
          <w:rFonts w:ascii="Arial" w:hAnsi="Arial" w:cs="Arial"/>
          <w:sz w:val="20"/>
          <w:szCs w:val="20"/>
        </w:rPr>
        <w:t>renal failure</w:t>
      </w:r>
      <w:r w:rsidRPr="00EC4195">
        <w:rPr>
          <w:rFonts w:ascii="Arial" w:hAnsi="Arial" w:cs="Arial"/>
          <w:sz w:val="20"/>
          <w:szCs w:val="20"/>
        </w:rPr>
        <w:t xml:space="preserve"> is, therefore, </w:t>
      </w:r>
      <w:r w:rsidR="00197C58">
        <w:rPr>
          <w:rFonts w:ascii="Arial" w:hAnsi="Arial" w:cs="Arial"/>
          <w:sz w:val="20"/>
          <w:szCs w:val="20"/>
        </w:rPr>
        <w:t>10,613.95</w:t>
      </w:r>
      <w:r w:rsidR="004A4A7F">
        <w:rPr>
          <w:rFonts w:ascii="Arial" w:hAnsi="Arial" w:cs="Arial"/>
          <w:sz w:val="20"/>
          <w:szCs w:val="20"/>
        </w:rPr>
        <w:t xml:space="preserve"> </w:t>
      </w:r>
      <w:r w:rsidRPr="00EC4195">
        <w:rPr>
          <w:rFonts w:ascii="Arial" w:hAnsi="Arial" w:cs="Arial"/>
          <w:sz w:val="20"/>
          <w:szCs w:val="20"/>
        </w:rPr>
        <w:t>kgCO2e/£</w:t>
      </w:r>
      <w:r w:rsidRPr="001B346B">
        <w:rPr>
          <w:rFonts w:ascii="Arial" w:hAnsi="Arial" w:cs="Arial"/>
          <w:sz w:val="20"/>
          <w:szCs w:val="20"/>
        </w:rPr>
        <w:t>26,519</w:t>
      </w:r>
      <w:r w:rsidRPr="00EC4195">
        <w:rPr>
          <w:rFonts w:ascii="Arial" w:hAnsi="Arial" w:cs="Arial"/>
          <w:sz w:val="20"/>
          <w:szCs w:val="20"/>
        </w:rPr>
        <w:t xml:space="preserve"> = </w:t>
      </w:r>
      <w:r w:rsidRPr="001B346B">
        <w:rPr>
          <w:rFonts w:ascii="Arial" w:hAnsi="Arial" w:cs="Arial"/>
          <w:sz w:val="20"/>
          <w:szCs w:val="20"/>
        </w:rPr>
        <w:t>0.</w:t>
      </w:r>
      <w:r w:rsidR="00197C58">
        <w:rPr>
          <w:rFonts w:ascii="Arial" w:hAnsi="Arial" w:cs="Arial"/>
          <w:sz w:val="20"/>
          <w:szCs w:val="20"/>
        </w:rPr>
        <w:t>400</w:t>
      </w:r>
      <w:r w:rsidRPr="00EC4195">
        <w:rPr>
          <w:rFonts w:ascii="Arial" w:hAnsi="Arial" w:cs="Arial"/>
          <w:sz w:val="20"/>
          <w:szCs w:val="20"/>
        </w:rPr>
        <w:t xml:space="preserve"> kgCO2e/£</w:t>
      </w:r>
      <w:r>
        <w:rPr>
          <w:rFonts w:ascii="Arial" w:hAnsi="Arial" w:cs="Arial"/>
          <w:sz w:val="20"/>
          <w:szCs w:val="20"/>
        </w:rPr>
        <w:t>.</w:t>
      </w:r>
    </w:p>
    <w:p w14:paraId="31DC4C64" w14:textId="77777777" w:rsidR="001B346B" w:rsidRDefault="001B346B" w:rsidP="001B346B">
      <w:pPr>
        <w:pStyle w:val="Heading2"/>
      </w:pPr>
      <w:r>
        <w:t>References</w:t>
      </w:r>
    </w:p>
    <w:p w14:paraId="7853E680" w14:textId="77777777" w:rsidR="00D63A0F" w:rsidRPr="00D471D4" w:rsidRDefault="00D63A0F" w:rsidP="00E15A57">
      <w:pPr>
        <w:spacing w:after="180" w:line="480" w:lineRule="auto"/>
        <w:rPr>
          <w:rFonts w:ascii="Arial" w:hAnsi="Arial" w:cs="Arial"/>
          <w:sz w:val="20"/>
          <w:szCs w:val="20"/>
        </w:rPr>
      </w:pPr>
      <w:r w:rsidRPr="00D471D4">
        <w:rPr>
          <w:rFonts w:ascii="Arial" w:hAnsi="Arial" w:cs="Arial"/>
          <w:sz w:val="20"/>
          <w:szCs w:val="20"/>
        </w:rPr>
        <w:t>Clarke P, Gray A, Legood R, Briggs A, Holman R. The impact of diabetes-related</w:t>
      </w:r>
      <w:r>
        <w:rPr>
          <w:rFonts w:ascii="Arial" w:hAnsi="Arial" w:cs="Arial"/>
          <w:sz w:val="20"/>
          <w:szCs w:val="20"/>
        </w:rPr>
        <w:t xml:space="preserve"> </w:t>
      </w:r>
      <w:r w:rsidRPr="00D471D4">
        <w:rPr>
          <w:rFonts w:ascii="Arial" w:hAnsi="Arial" w:cs="Arial"/>
          <w:sz w:val="20"/>
          <w:szCs w:val="20"/>
        </w:rPr>
        <w:t>complications on healthcare costs: results from the United Kingdom Prospective</w:t>
      </w:r>
      <w:r>
        <w:rPr>
          <w:rFonts w:ascii="Arial" w:hAnsi="Arial" w:cs="Arial"/>
          <w:sz w:val="20"/>
          <w:szCs w:val="20"/>
        </w:rPr>
        <w:t xml:space="preserve"> </w:t>
      </w:r>
      <w:r w:rsidRPr="00D471D4">
        <w:rPr>
          <w:rFonts w:ascii="Arial" w:hAnsi="Arial" w:cs="Arial"/>
          <w:sz w:val="20"/>
          <w:szCs w:val="20"/>
        </w:rPr>
        <w:t>Diabetes Study (UKPDS Study No. 65). Diabet Med. 2003;20(6):442-50</w:t>
      </w:r>
      <w:r>
        <w:rPr>
          <w:rFonts w:ascii="Arial" w:hAnsi="Arial" w:cs="Arial"/>
          <w:sz w:val="20"/>
          <w:szCs w:val="20"/>
        </w:rPr>
        <w:t>.</w:t>
      </w:r>
    </w:p>
    <w:p w14:paraId="45BEAC4B" w14:textId="77777777" w:rsidR="00D63A0F" w:rsidRPr="00891880" w:rsidRDefault="00D63A0F" w:rsidP="00E15A57">
      <w:pPr>
        <w:spacing w:after="180" w:line="480" w:lineRule="auto"/>
        <w:rPr>
          <w:rFonts w:ascii="Arial" w:hAnsi="Arial" w:cs="Arial"/>
          <w:sz w:val="20"/>
          <w:szCs w:val="20"/>
        </w:rPr>
      </w:pPr>
      <w:bookmarkStart w:id="1" w:name="_ENREF_24"/>
      <w:r w:rsidRPr="00891880">
        <w:rPr>
          <w:rFonts w:ascii="Arial" w:hAnsi="Arial" w:cs="Arial"/>
          <w:sz w:val="20"/>
          <w:szCs w:val="20"/>
        </w:rPr>
        <w:t>Connor A</w:t>
      </w:r>
      <w:r>
        <w:rPr>
          <w:rFonts w:ascii="Arial" w:hAnsi="Arial" w:cs="Arial"/>
          <w:sz w:val="20"/>
          <w:szCs w:val="20"/>
        </w:rPr>
        <w:t xml:space="preserve">, </w:t>
      </w:r>
      <w:r w:rsidRPr="00891880">
        <w:rPr>
          <w:rFonts w:ascii="Arial" w:hAnsi="Arial" w:cs="Arial"/>
          <w:sz w:val="20"/>
          <w:szCs w:val="20"/>
        </w:rPr>
        <w:t>Lillywhite</w:t>
      </w:r>
      <w:r>
        <w:rPr>
          <w:rFonts w:ascii="Arial" w:hAnsi="Arial" w:cs="Arial"/>
          <w:sz w:val="20"/>
          <w:szCs w:val="20"/>
        </w:rPr>
        <w:t xml:space="preserve"> R</w:t>
      </w:r>
      <w:r w:rsidRPr="00891880">
        <w:rPr>
          <w:rFonts w:ascii="Arial" w:hAnsi="Arial" w:cs="Arial"/>
          <w:sz w:val="20"/>
          <w:szCs w:val="20"/>
        </w:rPr>
        <w:t>, Cooke</w:t>
      </w:r>
      <w:r>
        <w:rPr>
          <w:rFonts w:ascii="Arial" w:hAnsi="Arial" w:cs="Arial"/>
          <w:sz w:val="20"/>
          <w:szCs w:val="20"/>
        </w:rPr>
        <w:t xml:space="preserve"> MW.</w:t>
      </w:r>
      <w:r w:rsidRPr="00891880">
        <w:rPr>
          <w:rFonts w:ascii="Arial" w:hAnsi="Arial" w:cs="Arial"/>
          <w:sz w:val="20"/>
          <w:szCs w:val="20"/>
        </w:rPr>
        <w:t xml:space="preserve"> The carbon footprint of a renal service in the United Kingdom. QJ</w:t>
      </w:r>
      <w:r>
        <w:rPr>
          <w:rFonts w:ascii="Arial" w:hAnsi="Arial" w:cs="Arial"/>
          <w:sz w:val="20"/>
          <w:szCs w:val="20"/>
        </w:rPr>
        <w:t xml:space="preserve"> </w:t>
      </w:r>
      <w:r w:rsidRPr="0089188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ed.</w:t>
      </w:r>
      <w:r w:rsidRPr="00891880">
        <w:rPr>
          <w:rFonts w:ascii="Arial" w:hAnsi="Arial" w:cs="Arial"/>
          <w:sz w:val="20"/>
          <w:szCs w:val="20"/>
        </w:rPr>
        <w:t xml:space="preserve"> 2010</w:t>
      </w:r>
      <w:r>
        <w:rPr>
          <w:rFonts w:ascii="Arial" w:hAnsi="Arial" w:cs="Arial"/>
          <w:sz w:val="20"/>
          <w:szCs w:val="20"/>
        </w:rPr>
        <w:t>;</w:t>
      </w:r>
      <w:r w:rsidRPr="00891880">
        <w:rPr>
          <w:rFonts w:ascii="Arial" w:hAnsi="Arial" w:cs="Arial"/>
          <w:sz w:val="20"/>
          <w:szCs w:val="20"/>
        </w:rPr>
        <w:t>103</w:t>
      </w:r>
      <w:r>
        <w:rPr>
          <w:rFonts w:ascii="Arial" w:hAnsi="Arial" w:cs="Arial"/>
          <w:sz w:val="20"/>
          <w:szCs w:val="20"/>
        </w:rPr>
        <w:t>(12):</w:t>
      </w:r>
      <w:r w:rsidRPr="00891880">
        <w:rPr>
          <w:rFonts w:ascii="Arial" w:hAnsi="Arial" w:cs="Arial"/>
          <w:sz w:val="20"/>
          <w:szCs w:val="20"/>
        </w:rPr>
        <w:t>965-75.</w:t>
      </w:r>
      <w:bookmarkEnd w:id="1"/>
    </w:p>
    <w:p w14:paraId="3EE49363" w14:textId="77777777" w:rsidR="00D63A0F" w:rsidRPr="00891880" w:rsidRDefault="00D63A0F" w:rsidP="00E15A57">
      <w:pPr>
        <w:spacing w:after="180" w:line="480" w:lineRule="auto"/>
        <w:rPr>
          <w:rFonts w:ascii="Arial" w:hAnsi="Arial" w:cs="Arial"/>
          <w:sz w:val="20"/>
          <w:szCs w:val="20"/>
        </w:rPr>
      </w:pPr>
      <w:bookmarkStart w:id="2" w:name="_ENREF_28"/>
      <w:r w:rsidRPr="00E15A57">
        <w:rPr>
          <w:rFonts w:ascii="Arial" w:hAnsi="Arial" w:cs="Arial"/>
          <w:sz w:val="20"/>
          <w:szCs w:val="20"/>
        </w:rPr>
        <w:t>Davies MJ, Chubb BD, Smith IC, Valentine</w:t>
      </w:r>
      <w:r w:rsidRPr="008918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WJ.</w:t>
      </w:r>
      <w:r w:rsidRPr="00891880">
        <w:rPr>
          <w:rFonts w:ascii="Arial" w:hAnsi="Arial" w:cs="Arial"/>
          <w:sz w:val="20"/>
          <w:szCs w:val="20"/>
        </w:rPr>
        <w:t xml:space="preserve"> Cost-utility analysis of liraglutide compared with sulphonylurea or sitagliptin, all as add-on to metformin monotherapy in Type 2 diabetes mellitus. Diabet Med</w:t>
      </w:r>
      <w:r>
        <w:rPr>
          <w:rFonts w:ascii="Arial" w:hAnsi="Arial" w:cs="Arial"/>
          <w:sz w:val="20"/>
          <w:szCs w:val="20"/>
        </w:rPr>
        <w:t>.</w:t>
      </w:r>
      <w:r w:rsidRPr="00891880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>;</w:t>
      </w:r>
      <w:r w:rsidRPr="00891880">
        <w:rPr>
          <w:rFonts w:ascii="Arial" w:hAnsi="Arial" w:cs="Arial"/>
          <w:sz w:val="20"/>
          <w:szCs w:val="20"/>
        </w:rPr>
        <w:t>29(3):313-20.</w:t>
      </w:r>
      <w:bookmarkEnd w:id="2"/>
    </w:p>
    <w:p w14:paraId="5C66EEB5" w14:textId="77777777" w:rsidR="00D63A0F" w:rsidRPr="00891880" w:rsidRDefault="00D63A0F" w:rsidP="00E15A57">
      <w:pPr>
        <w:spacing w:after="180" w:line="480" w:lineRule="auto"/>
        <w:rPr>
          <w:rFonts w:ascii="Arial" w:hAnsi="Arial" w:cs="Arial"/>
          <w:sz w:val="20"/>
          <w:szCs w:val="20"/>
        </w:rPr>
      </w:pPr>
      <w:r w:rsidRPr="00891880">
        <w:rPr>
          <w:rFonts w:ascii="Arial" w:hAnsi="Arial" w:cs="Arial"/>
          <w:sz w:val="20"/>
          <w:szCs w:val="20"/>
        </w:rPr>
        <w:t>Morris DS, Wright T, Somner JEA, Connor</w:t>
      </w:r>
      <w:r>
        <w:rPr>
          <w:rFonts w:ascii="Arial" w:hAnsi="Arial" w:cs="Arial"/>
          <w:sz w:val="20"/>
          <w:szCs w:val="20"/>
        </w:rPr>
        <w:t xml:space="preserve"> A.</w:t>
      </w:r>
      <w:r w:rsidRPr="00891880">
        <w:rPr>
          <w:rFonts w:ascii="Arial" w:hAnsi="Arial" w:cs="Arial"/>
          <w:sz w:val="20"/>
          <w:szCs w:val="20"/>
        </w:rPr>
        <w:t xml:space="preserve"> The carbon footprint of cataract surgery. Ey</w:t>
      </w:r>
      <w:r>
        <w:rPr>
          <w:rFonts w:ascii="Arial" w:hAnsi="Arial" w:cs="Arial"/>
          <w:sz w:val="20"/>
          <w:szCs w:val="20"/>
        </w:rPr>
        <w:t>e.</w:t>
      </w:r>
      <w:r w:rsidRPr="00891880">
        <w:rPr>
          <w:rFonts w:ascii="Arial" w:hAnsi="Arial" w:cs="Arial"/>
          <w:sz w:val="20"/>
          <w:szCs w:val="20"/>
        </w:rPr>
        <w:t xml:space="preserve"> 2013</w:t>
      </w:r>
      <w:r>
        <w:rPr>
          <w:rFonts w:ascii="Arial" w:hAnsi="Arial" w:cs="Arial"/>
          <w:sz w:val="20"/>
          <w:szCs w:val="20"/>
        </w:rPr>
        <w:t>;</w:t>
      </w:r>
      <w:r w:rsidRPr="00891880">
        <w:rPr>
          <w:rFonts w:ascii="Arial" w:hAnsi="Arial" w:cs="Arial"/>
          <w:sz w:val="20"/>
          <w:szCs w:val="20"/>
        </w:rPr>
        <w:t>27(4):495-501.</w:t>
      </w:r>
    </w:p>
    <w:sectPr w:rsidR="00D63A0F" w:rsidRPr="00891880" w:rsidSect="007233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B945" w14:textId="77777777" w:rsidR="00392154" w:rsidRDefault="00392154" w:rsidP="00E15A57">
      <w:pPr>
        <w:spacing w:after="0" w:line="240" w:lineRule="auto"/>
      </w:pPr>
      <w:r>
        <w:separator/>
      </w:r>
    </w:p>
  </w:endnote>
  <w:endnote w:type="continuationSeparator" w:id="0">
    <w:p w14:paraId="6C09CDE2" w14:textId="77777777" w:rsidR="00392154" w:rsidRDefault="00392154" w:rsidP="00E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03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7DF4F" w14:textId="77777777" w:rsidR="00E15A57" w:rsidRDefault="00E15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EB963" w14:textId="77777777" w:rsidR="00E15A57" w:rsidRDefault="00E15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CC70" w14:textId="77777777" w:rsidR="00392154" w:rsidRDefault="00392154" w:rsidP="00E15A57">
      <w:pPr>
        <w:spacing w:after="0" w:line="240" w:lineRule="auto"/>
      </w:pPr>
      <w:r>
        <w:separator/>
      </w:r>
    </w:p>
  </w:footnote>
  <w:footnote w:type="continuationSeparator" w:id="0">
    <w:p w14:paraId="7A1E9D85" w14:textId="77777777" w:rsidR="00392154" w:rsidRDefault="00392154" w:rsidP="00E1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1"/>
    <w:rsid w:val="00081D8B"/>
    <w:rsid w:val="000958D1"/>
    <w:rsid w:val="0012530E"/>
    <w:rsid w:val="00196423"/>
    <w:rsid w:val="001965E0"/>
    <w:rsid w:val="00197C58"/>
    <w:rsid w:val="001B346B"/>
    <w:rsid w:val="001C3C54"/>
    <w:rsid w:val="001D1054"/>
    <w:rsid w:val="00392154"/>
    <w:rsid w:val="003F5D01"/>
    <w:rsid w:val="003F611E"/>
    <w:rsid w:val="004A4A7F"/>
    <w:rsid w:val="004B4A8D"/>
    <w:rsid w:val="0059730E"/>
    <w:rsid w:val="006E4C8E"/>
    <w:rsid w:val="00706E45"/>
    <w:rsid w:val="007233F5"/>
    <w:rsid w:val="007B5CBE"/>
    <w:rsid w:val="007D6830"/>
    <w:rsid w:val="00891880"/>
    <w:rsid w:val="00951BF8"/>
    <w:rsid w:val="00AC246B"/>
    <w:rsid w:val="00AD7024"/>
    <w:rsid w:val="00B12598"/>
    <w:rsid w:val="00B52CF2"/>
    <w:rsid w:val="00B837FE"/>
    <w:rsid w:val="00C5588D"/>
    <w:rsid w:val="00D471D4"/>
    <w:rsid w:val="00D63A0F"/>
    <w:rsid w:val="00D81025"/>
    <w:rsid w:val="00DB5849"/>
    <w:rsid w:val="00DE5821"/>
    <w:rsid w:val="00E15A57"/>
    <w:rsid w:val="00E25221"/>
    <w:rsid w:val="00EB7D5F"/>
    <w:rsid w:val="00EC4195"/>
    <w:rsid w:val="00F57696"/>
    <w:rsid w:val="00F71E65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0878"/>
  <w15:chartTrackingRefBased/>
  <w15:docId w15:val="{FD9B55E3-A789-4D68-9668-EADDE52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30"/>
  </w:style>
  <w:style w:type="paragraph" w:styleId="Heading1">
    <w:name w:val="heading 1"/>
    <w:basedOn w:val="Normal"/>
    <w:next w:val="BodyText"/>
    <w:link w:val="Heading1Char"/>
    <w:qFormat/>
    <w:rsid w:val="0059730E"/>
    <w:pPr>
      <w:keepNext/>
      <w:tabs>
        <w:tab w:val="left" w:pos="720"/>
      </w:tabs>
      <w:spacing w:before="240" w:after="240" w:line="240" w:lineRule="auto"/>
      <w:outlineLvl w:val="0"/>
    </w:pPr>
    <w:rPr>
      <w:rFonts w:ascii="Trebuchet MS" w:eastAsia="Times New Roman" w:hAnsi="Trebuchet MS" w:cs="Times New Roman"/>
      <w:b/>
      <w:caps/>
      <w:sz w:val="26"/>
      <w:szCs w:val="28"/>
      <w:lang w:val="en-GB"/>
    </w:rPr>
  </w:style>
  <w:style w:type="paragraph" w:styleId="Heading2">
    <w:name w:val="heading 2"/>
    <w:next w:val="BodyText"/>
    <w:link w:val="Heading2Char"/>
    <w:qFormat/>
    <w:rsid w:val="0059730E"/>
    <w:pPr>
      <w:keepNext/>
      <w:spacing w:before="240" w:after="180" w:line="240" w:lineRule="auto"/>
      <w:outlineLvl w:val="1"/>
    </w:pPr>
    <w:rPr>
      <w:rFonts w:ascii="Trebuchet MS" w:eastAsia="Times New Roman" w:hAnsi="Trebuchet M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D6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D68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9730E"/>
    <w:rPr>
      <w:rFonts w:ascii="Trebuchet MS" w:eastAsia="Times New Roman" w:hAnsi="Trebuchet MS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30E"/>
  </w:style>
  <w:style w:type="character" w:customStyle="1" w:styleId="Heading1Char">
    <w:name w:val="Heading 1 Char"/>
    <w:basedOn w:val="DefaultParagraphFont"/>
    <w:link w:val="Heading1"/>
    <w:rsid w:val="0059730E"/>
    <w:rPr>
      <w:rFonts w:ascii="Trebuchet MS" w:eastAsia="Times New Roman" w:hAnsi="Trebuchet MS" w:cs="Times New Roman"/>
      <w:b/>
      <w:caps/>
      <w:sz w:val="26"/>
      <w:szCs w:val="2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1D4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471D4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D471D4"/>
    <w:rPr>
      <w:rFonts w:ascii="Arial" w:eastAsia="Times New Roman" w:hAnsi="Arial" w:cs="Arial"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57"/>
  </w:style>
  <w:style w:type="paragraph" w:styleId="Footer">
    <w:name w:val="footer"/>
    <w:basedOn w:val="Normal"/>
    <w:link w:val="FooterChar"/>
    <w:uiPriority w:val="99"/>
    <w:unhideWhenUsed/>
    <w:rsid w:val="00E1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57"/>
  </w:style>
  <w:style w:type="paragraph" w:styleId="BalloonText">
    <w:name w:val="Balloon Text"/>
    <w:basedOn w:val="Normal"/>
    <w:link w:val="BalloonTextChar"/>
    <w:uiPriority w:val="99"/>
    <w:semiHidden/>
    <w:unhideWhenUsed/>
    <w:rsid w:val="0095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E6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E65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E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A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Ganz, Michael</dc:creator>
  <cp:keywords/>
  <dc:description/>
  <cp:lastModifiedBy>Abogunrin, Seye</cp:lastModifiedBy>
  <cp:revision>2</cp:revision>
  <dcterms:created xsi:type="dcterms:W3CDTF">2016-03-21T12:51:00Z</dcterms:created>
  <dcterms:modified xsi:type="dcterms:W3CDTF">2016-03-21T12:51:00Z</dcterms:modified>
</cp:coreProperties>
</file>