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04" w:rsidRDefault="00845336">
      <w:pPr>
        <w:rPr>
          <w:rFonts w:ascii="Times New Roman" w:hAnsi="Times New Roman"/>
          <w:lang w:val="en-US"/>
        </w:rPr>
      </w:pPr>
      <w:bookmarkStart w:id="0" w:name="_Ref271381444"/>
      <w:proofErr w:type="spellStart"/>
      <w:proofErr w:type="gramStart"/>
      <w:r>
        <w:rPr>
          <w:lang w:val="en-US"/>
        </w:rPr>
        <w:t>e</w:t>
      </w:r>
      <w:r w:rsidR="00E3635D" w:rsidRPr="00E3635D">
        <w:rPr>
          <w:lang w:val="en-US"/>
        </w:rPr>
        <w:t>Figure</w:t>
      </w:r>
      <w:proofErr w:type="spellEnd"/>
      <w:proofErr w:type="gramEnd"/>
      <w:r w:rsidR="00E3635D" w:rsidRPr="00E3635D">
        <w:rPr>
          <w:lang w:val="en-US"/>
        </w:rPr>
        <w:t xml:space="preserve"> </w:t>
      </w:r>
      <w:r w:rsidR="00E3635D">
        <w:fldChar w:fldCharType="begin"/>
      </w:r>
      <w:r w:rsidR="00E3635D" w:rsidRPr="00E3635D">
        <w:rPr>
          <w:lang w:val="en-US"/>
        </w:rPr>
        <w:instrText xml:space="preserve"> SEQ Figure \* ARABIC </w:instrText>
      </w:r>
      <w:r w:rsidR="00E3635D">
        <w:fldChar w:fldCharType="separate"/>
      </w:r>
      <w:r w:rsidR="00E3635D" w:rsidRPr="00E3635D">
        <w:rPr>
          <w:noProof/>
          <w:lang w:val="en-US"/>
        </w:rPr>
        <w:t>1</w:t>
      </w:r>
      <w:r w:rsidR="00E3635D">
        <w:rPr>
          <w:noProof/>
        </w:rPr>
        <w:fldChar w:fldCharType="end"/>
      </w:r>
      <w:bookmarkEnd w:id="0"/>
      <w:r w:rsidR="00E3635D" w:rsidRPr="00E3635D">
        <w:rPr>
          <w:rFonts w:ascii="Times New Roman" w:hAnsi="Times New Roman"/>
          <w:lang w:val="en-US"/>
        </w:rPr>
        <w:t xml:space="preserve">. Proportion of drugs that accounted for a category of “other considerations”, by </w:t>
      </w:r>
      <w:r w:rsidR="004861B6">
        <w:rPr>
          <w:rFonts w:ascii="Times New Roman" w:hAnsi="Times New Roman"/>
          <w:lang w:val="en-US"/>
        </w:rPr>
        <w:t>category</w:t>
      </w:r>
    </w:p>
    <w:p w:rsidR="00845336" w:rsidRDefault="00845336">
      <w:pPr>
        <w:rPr>
          <w:rFonts w:ascii="Times New Roman" w:hAnsi="Times New Roman"/>
          <w:lang w:val="en-US"/>
        </w:rPr>
      </w:pPr>
    </w:p>
    <w:p w:rsidR="003C54ED" w:rsidRDefault="00845336">
      <w:pPr>
        <w:rPr>
          <w:rFonts w:ascii="Times New Roman" w:hAnsi="Times New Roman"/>
          <w:lang w:val="en-US"/>
        </w:rPr>
      </w:pPr>
      <w:r>
        <w:rPr>
          <w:rFonts w:ascii="Times New Roman" w:hAnsi="Times New Roman"/>
          <w:noProof/>
          <w:lang w:val="en-GB" w:eastAsia="en-GB"/>
        </w:rPr>
        <w:drawing>
          <wp:inline distT="0" distB="0" distL="0" distR="0">
            <wp:extent cx="6120130" cy="37344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igure 1_Other considerations.jpg"/>
                    <pic:cNvPicPr/>
                  </pic:nvPicPr>
                  <pic:blipFill>
                    <a:blip r:embed="rId4">
                      <a:extLst>
                        <a:ext uri="{28A0092B-C50C-407E-A947-70E740481C1C}">
                          <a14:useLocalDpi xmlns:a14="http://schemas.microsoft.com/office/drawing/2010/main" val="0"/>
                        </a:ext>
                      </a:extLst>
                    </a:blip>
                    <a:stretch>
                      <a:fillRect/>
                    </a:stretch>
                  </pic:blipFill>
                  <pic:spPr>
                    <a:xfrm>
                      <a:off x="0" y="0"/>
                      <a:ext cx="6120130" cy="3734435"/>
                    </a:xfrm>
                    <a:prstGeom prst="rect">
                      <a:avLst/>
                    </a:prstGeom>
                  </pic:spPr>
                </pic:pic>
              </a:graphicData>
            </a:graphic>
          </wp:inline>
        </w:drawing>
      </w:r>
    </w:p>
    <w:p w:rsidR="00845336" w:rsidRDefault="00845336">
      <w:pPr>
        <w:rPr>
          <w:rFonts w:ascii="Times New Roman" w:hAnsi="Times New Roman"/>
          <w:lang w:val="en-US"/>
        </w:rPr>
      </w:pPr>
    </w:p>
    <w:p w:rsidR="003C54ED" w:rsidRPr="00E3635D" w:rsidRDefault="00845336">
      <w:pPr>
        <w:rPr>
          <w:lang w:val="en-US"/>
        </w:rPr>
      </w:pPr>
      <w:proofErr w:type="gramStart"/>
      <w:r>
        <w:rPr>
          <w:rFonts w:ascii="Times New Roman" w:hAnsi="Times New Roman"/>
          <w:lang w:val="en-US"/>
        </w:rPr>
        <w:t>e</w:t>
      </w:r>
      <w:bookmarkStart w:id="1" w:name="_GoBack"/>
      <w:bookmarkEnd w:id="1"/>
      <w:r w:rsidR="003C54ED">
        <w:rPr>
          <w:rFonts w:ascii="Times New Roman" w:hAnsi="Times New Roman"/>
          <w:lang w:val="en-US"/>
        </w:rPr>
        <w:t>Figure</w:t>
      </w:r>
      <w:proofErr w:type="gramEnd"/>
      <w:r w:rsidR="003C54ED">
        <w:rPr>
          <w:rFonts w:ascii="Times New Roman" w:hAnsi="Times New Roman"/>
          <w:lang w:val="en-US"/>
        </w:rPr>
        <w:t xml:space="preserve"> 1 illustrates the number of cases where “other considerations” were considered, by category of “other considerations”. In total, 125 individual “other considerations” were identified and grouped into ten categories, clustered by whether the pertained to treatment or disease characteristics.</w:t>
      </w:r>
    </w:p>
    <w:sectPr w:rsidR="003C54ED" w:rsidRPr="00E3635D" w:rsidSect="00845336">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5D"/>
    <w:rsid w:val="003C54ED"/>
    <w:rsid w:val="004861B6"/>
    <w:rsid w:val="00536CFC"/>
    <w:rsid w:val="00845336"/>
    <w:rsid w:val="00851952"/>
    <w:rsid w:val="00E363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05E0A-F658-4BEB-94F2-0A6FE83B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Universita' Luigi Bocconi</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2015-06-18T16:06:00Z</dcterms:created>
  <dcterms:modified xsi:type="dcterms:W3CDTF">2015-12-23T16:32:00Z</dcterms:modified>
</cp:coreProperties>
</file>