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A92BD" w14:textId="2E67D3EB" w:rsidR="003959F9" w:rsidRDefault="00406DF1" w:rsidP="00931EEC">
      <w:pPr>
        <w:pStyle w:val="berschrift1"/>
        <w:rPr>
          <w:lang w:val="en-GB"/>
        </w:rPr>
      </w:pPr>
      <w:r>
        <w:t>Supplementary Table 5</w:t>
      </w:r>
      <w:r w:rsidR="003959F9" w:rsidRPr="00E04D98">
        <w:t xml:space="preserve">b: </w:t>
      </w:r>
      <w:r w:rsidR="003959F9" w:rsidRPr="000D09C0">
        <w:rPr>
          <w:b w:val="0"/>
        </w:rPr>
        <w:t xml:space="preserve">Extraction of </w:t>
      </w:r>
      <w:r w:rsidR="003959F9" w:rsidRPr="000D09C0">
        <w:rPr>
          <w:b w:val="0"/>
          <w:lang w:val="en-GB"/>
        </w:rPr>
        <w:t xml:space="preserve">methodological documents of medical device evaluation </w:t>
      </w:r>
      <w:r w:rsidR="003959F9" w:rsidRPr="008D4B69">
        <w:rPr>
          <w:b w:val="0"/>
          <w:lang w:val="en-GB"/>
        </w:rPr>
        <w:t>(primarily) developed for external stakeholders</w:t>
      </w:r>
    </w:p>
    <w:p w14:paraId="0EB152DF" w14:textId="77777777" w:rsidR="008E5031" w:rsidRPr="008E5031" w:rsidRDefault="008E5031" w:rsidP="008E5031">
      <w:pPr>
        <w:rPr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1"/>
        <w:gridCol w:w="4539"/>
        <w:gridCol w:w="5776"/>
      </w:tblGrid>
      <w:tr w:rsidR="00931EEC" w:rsidRPr="003C5EC6" w14:paraId="31C56B91" w14:textId="77777777" w:rsidTr="003C5EC6">
        <w:trPr>
          <w:tblHeader/>
        </w:trPr>
        <w:tc>
          <w:tcPr>
            <w:tcW w:w="1714" w:type="pct"/>
            <w:shd w:val="clear" w:color="auto" w:fill="D9D9D9" w:themeFill="background1" w:themeFillShade="D9"/>
          </w:tcPr>
          <w:p w14:paraId="4F8A3B07" w14:textId="6750BACE" w:rsidR="003959F9" w:rsidRPr="008E5031" w:rsidRDefault="003959F9" w:rsidP="008A2C01">
            <w:pPr>
              <w:jc w:val="left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HAS (Methodological Choices for the Clinical Development of Medical Devices, 2013 (17))</w:t>
            </w:r>
            <w:r w:rsidR="005E0119" w:rsidRPr="008E5031">
              <w:rPr>
                <w:rStyle w:val="Endnotenzeichen"/>
                <w:rFonts w:asciiTheme="majorHAnsi" w:hAnsiTheme="majorHAnsi"/>
                <w:b/>
                <w:color w:val="auto"/>
                <w:sz w:val="18"/>
                <w:szCs w:val="18"/>
              </w:rPr>
              <w:endnoteReference w:id="1"/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14:paraId="37E56A6A" w14:textId="28D774DA" w:rsidR="003959F9" w:rsidRPr="008E5031" w:rsidRDefault="003959F9" w:rsidP="008A2C01">
            <w:pPr>
              <w:jc w:val="left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DACEHTA (Introduction to mini-HTA - a management and decision support tool for</w:t>
            </w:r>
            <w:r w:rsidR="005E507C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the hospital services, 2005 (16</w:t>
            </w: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))</w:t>
            </w:r>
            <w:r w:rsidR="005E0119" w:rsidRPr="008E5031">
              <w:rPr>
                <w:rStyle w:val="Endnotenzeichen"/>
                <w:rFonts w:asciiTheme="majorHAnsi" w:hAnsiTheme="majorHAnsi"/>
                <w:b/>
                <w:color w:val="auto"/>
                <w:sz w:val="18"/>
                <w:szCs w:val="18"/>
              </w:rPr>
              <w:endnoteReference w:id="2"/>
            </w:r>
          </w:p>
        </w:tc>
        <w:tc>
          <w:tcPr>
            <w:tcW w:w="1841" w:type="pct"/>
            <w:shd w:val="clear" w:color="auto" w:fill="D9D9D9" w:themeFill="background1" w:themeFillShade="D9"/>
          </w:tcPr>
          <w:p w14:paraId="13E42A12" w14:textId="079DAFAD" w:rsidR="003959F9" w:rsidRPr="008E5031" w:rsidRDefault="003959F9" w:rsidP="008A2C01">
            <w:pPr>
              <w:jc w:val="left"/>
              <w:rPr>
                <w:rFonts w:asciiTheme="majorHAnsi" w:hAnsiTheme="majorHAnsi"/>
                <w:b/>
                <w:color w:val="auto"/>
                <w:sz w:val="18"/>
                <w:szCs w:val="18"/>
                <w:lang w:val="de-DE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  <w:lang w:val="de-DE"/>
              </w:rPr>
              <w:t>LBI (Evaluation diagnostischer Technologien - Hintergrund</w:t>
            </w:r>
            <w:r w:rsidR="005E507C">
              <w:rPr>
                <w:rFonts w:asciiTheme="majorHAnsi" w:hAnsiTheme="majorHAnsi"/>
                <w:b/>
                <w:color w:val="auto"/>
                <w:sz w:val="18"/>
                <w:szCs w:val="18"/>
                <w:lang w:val="de-DE"/>
              </w:rPr>
              <w:t>, Probleme, Methoden, 2010 (20)</w:t>
            </w: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  <w:lang w:val="de-DE"/>
              </w:rPr>
              <w:t>)</w:t>
            </w:r>
            <w:r w:rsidR="005E0119" w:rsidRPr="008E5031">
              <w:rPr>
                <w:rStyle w:val="Endnotenzeichen"/>
                <w:rFonts w:asciiTheme="majorHAnsi" w:hAnsiTheme="majorHAnsi"/>
                <w:b/>
                <w:color w:val="auto"/>
                <w:sz w:val="18"/>
                <w:szCs w:val="18"/>
                <w:lang w:val="de-DE"/>
              </w:rPr>
              <w:endnoteReference w:id="3"/>
            </w:r>
          </w:p>
        </w:tc>
      </w:tr>
      <w:tr w:rsidR="00931EEC" w:rsidRPr="008E5031" w14:paraId="7BF18C79" w14:textId="332EA8FD" w:rsidTr="008E503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3BEB1CE1" w14:textId="2CE2016A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1. Assessment elements</w:t>
            </w:r>
          </w:p>
        </w:tc>
      </w:tr>
      <w:tr w:rsidR="00931EEC" w:rsidRPr="008E5031" w14:paraId="20509ED1" w14:textId="0010CC99" w:rsidTr="00333FF3">
        <w:tc>
          <w:tcPr>
            <w:tcW w:w="5000" w:type="pct"/>
            <w:gridSpan w:val="3"/>
          </w:tcPr>
          <w:p w14:paraId="64A56D4B" w14:textId="0EBCAD2B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a) Which elements of the technology are evaluated?</w:t>
            </w:r>
          </w:p>
        </w:tc>
      </w:tr>
      <w:tr w:rsidR="00931EEC" w:rsidRPr="008E5031" w14:paraId="77EBF339" w14:textId="77777777" w:rsidTr="003C5EC6">
        <w:tc>
          <w:tcPr>
            <w:tcW w:w="1714" w:type="pct"/>
          </w:tcPr>
          <w:p w14:paraId="3151583D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Efficacy assessment for new treatment: presents methods potentially available when 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randomisation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and/or blinding are impossible to implement as well as limitations (from literature search)</w:t>
            </w:r>
          </w:p>
          <w:p w14:paraId="288CD92C" w14:textId="18B2F6D3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Regarding the ideal assessment process: second phase consists of the in-depth assessment (safety and efficacy) of emerging technologies.</w:t>
            </w:r>
          </w:p>
        </w:tc>
        <w:tc>
          <w:tcPr>
            <w:tcW w:w="1446" w:type="pct"/>
          </w:tcPr>
          <w:p w14:paraId="106CECFF" w14:textId="210722F2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Clinical efficacy, safety, social aspects, 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organisational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aspects, cost evaluation</w:t>
            </w:r>
          </w:p>
        </w:tc>
        <w:tc>
          <w:tcPr>
            <w:tcW w:w="1841" w:type="pct"/>
          </w:tcPr>
          <w:p w14:paraId="66D9E420" w14:textId="32EB857D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Evaluation of diagnostic technologies according to six level of the model developed by 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Fryback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Thornbury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, (e.g. technical quality; p.19 gives an overview).</w:t>
            </w:r>
          </w:p>
        </w:tc>
      </w:tr>
      <w:tr w:rsidR="00931EEC" w:rsidRPr="008E5031" w14:paraId="75C172AF" w14:textId="50119B1B" w:rsidTr="00333FF3">
        <w:tc>
          <w:tcPr>
            <w:tcW w:w="5000" w:type="pct"/>
            <w:gridSpan w:val="3"/>
          </w:tcPr>
          <w:p w14:paraId="13D6AAB0" w14:textId="63F4EA25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b) Are there methodological approaches specified for each aspect/element?</w:t>
            </w:r>
          </w:p>
        </w:tc>
      </w:tr>
      <w:tr w:rsidR="00931EEC" w:rsidRPr="008E5031" w14:paraId="76698C91" w14:textId="77777777" w:rsidTr="003C5EC6">
        <w:tc>
          <w:tcPr>
            <w:tcW w:w="1714" w:type="pct"/>
          </w:tcPr>
          <w:p w14:paraId="66A4FA83" w14:textId="49AEE62A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166BC04F" w14:textId="543738FD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Yes, the tool entails domains of questions regarding patients, technology, organisation and economy</w:t>
            </w:r>
          </w:p>
        </w:tc>
        <w:tc>
          <w:tcPr>
            <w:tcW w:w="1841" w:type="pct"/>
          </w:tcPr>
          <w:p w14:paraId="07573DF8" w14:textId="2BC3ED1A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Yes, guidance follows the 6 levels of the model developed by 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Fryback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Thornbury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. </w:t>
            </w:r>
          </w:p>
        </w:tc>
      </w:tr>
      <w:tr w:rsidR="00931EEC" w:rsidRPr="008E5031" w14:paraId="3D7353FE" w14:textId="38F1169B" w:rsidTr="008E503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1F72272" w14:textId="1BC74934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2. Evidence procurement and selection</w:t>
            </w:r>
          </w:p>
        </w:tc>
      </w:tr>
      <w:tr w:rsidR="00931EEC" w:rsidRPr="008E5031" w14:paraId="0CD8F2D5" w14:textId="6CB7041B" w:rsidTr="00333FF3">
        <w:tc>
          <w:tcPr>
            <w:tcW w:w="5000" w:type="pct"/>
            <w:gridSpan w:val="3"/>
          </w:tcPr>
          <w:p w14:paraId="39A72E52" w14:textId="51619DC4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a) Is the assessment based on submissions or on internally conducted research?</w:t>
            </w:r>
          </w:p>
        </w:tc>
      </w:tr>
      <w:tr w:rsidR="00931EEC" w:rsidRPr="008E5031" w14:paraId="68DF5D71" w14:textId="77777777" w:rsidTr="003C5EC6">
        <w:tc>
          <w:tcPr>
            <w:tcW w:w="1714" w:type="pct"/>
          </w:tcPr>
          <w:p w14:paraId="748DF6F5" w14:textId="781692F9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2F85BE3F" w14:textId="41273F62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Systematic literature search (refers to the general method paper of the institution)</w:t>
            </w:r>
          </w:p>
        </w:tc>
        <w:tc>
          <w:tcPr>
            <w:tcW w:w="1841" w:type="pct"/>
          </w:tcPr>
          <w:p w14:paraId="5B8B5F9A" w14:textId="5CD34187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Not applicable (see purpose of the document)</w:t>
            </w:r>
          </w:p>
          <w:p w14:paraId="240FEFE4" w14:textId="0CDF8F49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Systematic Review proposed.</w:t>
            </w:r>
          </w:p>
        </w:tc>
      </w:tr>
      <w:tr w:rsidR="00931EEC" w:rsidRPr="008E5031" w14:paraId="3D6BEA05" w14:textId="1272C17E" w:rsidTr="00333FF3">
        <w:tc>
          <w:tcPr>
            <w:tcW w:w="5000" w:type="pct"/>
            <w:gridSpan w:val="3"/>
          </w:tcPr>
          <w:p w14:paraId="29D1E691" w14:textId="106086C3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b) What types of evidence are admissible for the assessment?</w:t>
            </w:r>
          </w:p>
        </w:tc>
      </w:tr>
      <w:tr w:rsidR="00931EEC" w:rsidRPr="008E5031" w14:paraId="7C099786" w14:textId="77777777" w:rsidTr="003C5EC6">
        <w:trPr>
          <w:trHeight w:val="2336"/>
        </w:trPr>
        <w:tc>
          <w:tcPr>
            <w:tcW w:w="1714" w:type="pct"/>
          </w:tcPr>
          <w:p w14:paraId="08255A34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RCTs whenever possible to be performed. </w:t>
            </w:r>
          </w:p>
          <w:p w14:paraId="1C023BE8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Whenever a methodology other than a RCT is chosen, it must be scientifically justified.</w:t>
            </w:r>
          </w:p>
          <w:p w14:paraId="1CC103E8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Main focus: HAS present other types of experimental designs to use when conventional RCTs may be difficult to implement in practice.</w:t>
            </w:r>
          </w:p>
          <w:p w14:paraId="7AF70907" w14:textId="33BF9FD7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Comparative non-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randomised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observational studies admissible if it is impossible to conduct a 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randomised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controlled trial. Presents types of comp. observational studies but the choice of an observational study should remain the exception. </w:t>
            </w:r>
          </w:p>
        </w:tc>
        <w:tc>
          <w:tcPr>
            <w:tcW w:w="1446" w:type="pct"/>
          </w:tcPr>
          <w:p w14:paraId="59F74617" w14:textId="2EF5A3A3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Most qualified literature, prioritized in accordance with the scientific quality of the articles.</w:t>
            </w:r>
          </w:p>
        </w:tc>
        <w:tc>
          <w:tcPr>
            <w:tcW w:w="1841" w:type="pct"/>
          </w:tcPr>
          <w:p w14:paraId="4C71D931" w14:textId="0C37F679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Preferred study designs per level: e.g. level 4 ‚therapeutic impact‘: RCTs, before/after studies (see table on p. 53 for more information)</w:t>
            </w:r>
          </w:p>
          <w:p w14:paraId="46A5FA0D" w14:textId="77777777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For studies regarding diagnostic accuracy: systematic reviews= highest evidence level</w:t>
            </w:r>
          </w:p>
          <w:p w14:paraId="6876A8F9" w14:textId="77777777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RCTs best study design</w:t>
            </w:r>
          </w:p>
          <w:p w14:paraId="2B3D5A02" w14:textId="77777777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Direct evidence preferred </w:t>
            </w:r>
          </w:p>
          <w:p w14:paraId="609D4DEB" w14:textId="2D6AFD77" w:rsidR="00931EEC" w:rsidRPr="008E5031" w:rsidRDefault="00931EEC" w:rsidP="003C5EC6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Due to specific requirements linked evidence is often not an option to assess the effectiveness of diagnostic tests and even if so, its use must be reasonably justified.</w:t>
            </w:r>
          </w:p>
        </w:tc>
      </w:tr>
      <w:tr w:rsidR="00931EEC" w:rsidRPr="008E5031" w14:paraId="3E23C915" w14:textId="0DC32915" w:rsidTr="00333FF3">
        <w:tc>
          <w:tcPr>
            <w:tcW w:w="5000" w:type="pct"/>
            <w:gridSpan w:val="3"/>
          </w:tcPr>
          <w:p w14:paraId="2E7AAE8F" w14:textId="05C2F0F0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c) What sources are used to identify the evidence (databases, registries, specific websites, </w:t>
            </w:r>
            <w:proofErr w:type="gramStart"/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grey</w:t>
            </w:r>
            <w:proofErr w:type="gramEnd"/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literature)?</w:t>
            </w:r>
          </w:p>
        </w:tc>
      </w:tr>
      <w:tr w:rsidR="00931EEC" w:rsidRPr="008E5031" w14:paraId="22289A4D" w14:textId="77777777" w:rsidTr="003C5EC6">
        <w:trPr>
          <w:trHeight w:val="1550"/>
        </w:trPr>
        <w:tc>
          <w:tcPr>
            <w:tcW w:w="1714" w:type="pct"/>
          </w:tcPr>
          <w:p w14:paraId="68358062" w14:textId="55C0C18F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08AE2FF2" w14:textId="50726925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on sources. Systematic but limited (time constraint) literature search referring to DECEHTA's general methods.</w:t>
            </w:r>
          </w:p>
        </w:tc>
        <w:tc>
          <w:tcPr>
            <w:tcW w:w="1841" w:type="pct"/>
          </w:tcPr>
          <w:p w14:paraId="3C49B232" w14:textId="4B6DDEFB" w:rsidR="00B061C0" w:rsidRPr="008E5031" w:rsidRDefault="00931EEC" w:rsidP="003C5EC6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specific information (described only for the search to reveal the information presented in this document)</w:t>
            </w:r>
          </w:p>
        </w:tc>
      </w:tr>
      <w:tr w:rsidR="00931EEC" w:rsidRPr="008E5031" w14:paraId="3C60D780" w14:textId="7245FACF" w:rsidTr="00333FF3">
        <w:tc>
          <w:tcPr>
            <w:tcW w:w="5000" w:type="pct"/>
            <w:gridSpan w:val="3"/>
          </w:tcPr>
          <w:p w14:paraId="36265F6D" w14:textId="1416119C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d) Are there specific requirements as to the endpoints included for assessment?</w:t>
            </w:r>
          </w:p>
        </w:tc>
      </w:tr>
      <w:tr w:rsidR="00931EEC" w:rsidRPr="008E5031" w14:paraId="331D1FA2" w14:textId="77777777" w:rsidTr="003C5EC6">
        <w:tc>
          <w:tcPr>
            <w:tcW w:w="1714" w:type="pct"/>
          </w:tcPr>
          <w:p w14:paraId="14697213" w14:textId="6627EC45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Endpoint (defined as part of feasibility study) must be clinically relevant (e.g. mortality). The use of an intermediate endpoint be justified and validated in previous studies. </w:t>
            </w:r>
          </w:p>
        </w:tc>
        <w:tc>
          <w:tcPr>
            <w:tcW w:w="1446" w:type="pct"/>
          </w:tcPr>
          <w:p w14:paraId="2BA6CEB5" w14:textId="231B0978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</w:tcPr>
          <w:p w14:paraId="2368D3BC" w14:textId="1217871B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General: patient-relevant endpoints.</w:t>
            </w:r>
          </w:p>
          <w:p w14:paraId="078F9A42" w14:textId="77777777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Primarily clinical parameters (e.g. life expectancy, functionality, pain).</w:t>
            </w:r>
          </w:p>
          <w:p w14:paraId="3956B9E6" w14:textId="3CE79BD6" w:rsidR="00931EEC" w:rsidRPr="008E5031" w:rsidRDefault="00931EEC" w:rsidP="005C3F26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Additionally, parameters for diagnostic accuracy, such as sensitivity, specificity.</w:t>
            </w:r>
          </w:p>
        </w:tc>
      </w:tr>
      <w:tr w:rsidR="00931EEC" w:rsidRPr="008E5031" w14:paraId="7B2CB26D" w14:textId="4F267FE0" w:rsidTr="00333FF3">
        <w:tc>
          <w:tcPr>
            <w:tcW w:w="5000" w:type="pct"/>
            <w:gridSpan w:val="3"/>
          </w:tcPr>
          <w:p w14:paraId="73916F6B" w14:textId="1B8FC9F3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e) Are there specifications as to the comparators to be included?</w:t>
            </w:r>
          </w:p>
        </w:tc>
      </w:tr>
      <w:tr w:rsidR="00931EEC" w:rsidRPr="008E5031" w14:paraId="6A8568B6" w14:textId="77777777" w:rsidTr="003C5EC6">
        <w:tc>
          <w:tcPr>
            <w:tcW w:w="1714" w:type="pct"/>
          </w:tcPr>
          <w:p w14:paraId="6C25E656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Discuss choice of comparator. </w:t>
            </w:r>
          </w:p>
          <w:p w14:paraId="050255CD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Show off circumstances where placebo may be considered ethically acceptable (according to an international council directive).</w:t>
            </w:r>
          </w:p>
          <w:p w14:paraId="45A25AE3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From an ethical point of view, it is difficult to offer patients an invasive sham procedure.</w:t>
            </w:r>
          </w:p>
          <w:p w14:paraId="00857FE6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Not ethical to administer a placebo in place of a standard treatment with demonstrated efficacy</w:t>
            </w:r>
          </w:p>
          <w:p w14:paraId="0CDC92B0" w14:textId="1C884E55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Give examples for MD placebos from the literature: Similar prosthesis which does not provide the therapeutic effect (e.g. without producing heat)</w:t>
            </w:r>
          </w:p>
        </w:tc>
        <w:tc>
          <w:tcPr>
            <w:tcW w:w="1446" w:type="pct"/>
          </w:tcPr>
          <w:p w14:paraId="2B947612" w14:textId="43D3FCC2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</w:tcPr>
          <w:p w14:paraId="53F90230" w14:textId="6739B2FD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Studies on diagnostic accuracy studies: New test (=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indextest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) compared to the best available diagnostic test (=reference standard).</w:t>
            </w:r>
          </w:p>
          <w:p w14:paraId="12D5BC4A" w14:textId="77777777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Linked evidence: Requirements include that the population of both, the diagnostic accuracy study and the treatment effectiveness study, are comparable or that a validated reference standard exists.</w:t>
            </w:r>
          </w:p>
          <w:p w14:paraId="5D3C81EE" w14:textId="77777777" w:rsidR="00931EEC" w:rsidRPr="008E5031" w:rsidRDefault="00931EEC" w:rsidP="005C3F26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931EEC" w:rsidRPr="008E5031" w14:paraId="2F147C12" w14:textId="7551790D" w:rsidTr="008E503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447018EF" w14:textId="2E11ECE9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3. Evidence Appraisal</w:t>
            </w:r>
          </w:p>
        </w:tc>
      </w:tr>
      <w:tr w:rsidR="00931EEC" w:rsidRPr="008E5031" w14:paraId="117C73B3" w14:textId="2E33EABF" w:rsidTr="00333FF3">
        <w:tc>
          <w:tcPr>
            <w:tcW w:w="5000" w:type="pct"/>
            <w:gridSpan w:val="3"/>
          </w:tcPr>
          <w:p w14:paraId="181064DC" w14:textId="7D9E675D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Is the evidence critically appraised before conclusions are drawn? If so, are there specific tools used?</w:t>
            </w:r>
          </w:p>
        </w:tc>
      </w:tr>
      <w:tr w:rsidR="00931EEC" w:rsidRPr="008E5031" w14:paraId="3222FA38" w14:textId="77777777" w:rsidTr="003C5EC6">
        <w:tc>
          <w:tcPr>
            <w:tcW w:w="1714" w:type="pct"/>
          </w:tcPr>
          <w:p w14:paraId="21010824" w14:textId="214F7EB8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3F2B9D9F" w14:textId="63CF7B60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Mini-HTA is reviewed critically by other impartial professionals within – and maybe also outside – the organisation.</w:t>
            </w:r>
          </w:p>
        </w:tc>
        <w:tc>
          <w:tcPr>
            <w:tcW w:w="1841" w:type="pct"/>
          </w:tcPr>
          <w:p w14:paraId="1838F5A8" w14:textId="545E428A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QUADAS checklist</w:t>
            </w:r>
          </w:p>
          <w:p w14:paraId="5C34FA62" w14:textId="77777777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Cochrane Collaboration: ‘Handbook for Systematic Reviews of Diagnostic Accuracy’</w:t>
            </w:r>
          </w:p>
          <w:p w14:paraId="77765EF6" w14:textId="77777777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STARD initiative (Standards for Reporting of Diagnostic Accuracy)</w:t>
            </w:r>
          </w:p>
          <w:p w14:paraId="166ABED6" w14:textId="1C523198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Based on a systematic review, additionally 90 different instruments have been identified for evaluation of the diagnostic accuracy (see Appendix 8.4)</w:t>
            </w:r>
          </w:p>
        </w:tc>
      </w:tr>
      <w:tr w:rsidR="00931EEC" w:rsidRPr="008E5031" w14:paraId="69ECA06F" w14:textId="1827E11A" w:rsidTr="008E503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1ABA21F" w14:textId="545248B3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4. Review Process &amp; Transparency</w:t>
            </w:r>
          </w:p>
        </w:tc>
      </w:tr>
      <w:tr w:rsidR="00931EEC" w:rsidRPr="008E5031" w14:paraId="421D02AE" w14:textId="2D343BEB" w:rsidTr="00333FF3">
        <w:tc>
          <w:tcPr>
            <w:tcW w:w="5000" w:type="pct"/>
            <w:gridSpan w:val="3"/>
          </w:tcPr>
          <w:p w14:paraId="5F76972F" w14:textId="016C0AC8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a) Are stakeholders directly involved in the production process?</w:t>
            </w:r>
          </w:p>
        </w:tc>
      </w:tr>
      <w:tr w:rsidR="00931EEC" w:rsidRPr="008E5031" w14:paraId="0313F514" w14:textId="77777777" w:rsidTr="003C5EC6">
        <w:tc>
          <w:tcPr>
            <w:tcW w:w="1714" w:type="pct"/>
          </w:tcPr>
          <w:p w14:paraId="33D8677F" w14:textId="2FADB2A8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 information (focus only on specific methods)</w:t>
            </w:r>
          </w:p>
        </w:tc>
        <w:tc>
          <w:tcPr>
            <w:tcW w:w="1446" w:type="pct"/>
          </w:tcPr>
          <w:p w14:paraId="0BF3028F" w14:textId="6DED20EF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Yes: During the process professionals from other occupational groups that will be affected by the new proposal will be involved (interdisciplinary work).</w:t>
            </w:r>
          </w:p>
        </w:tc>
        <w:tc>
          <w:tcPr>
            <w:tcW w:w="1841" w:type="pct"/>
          </w:tcPr>
          <w:p w14:paraId="60248887" w14:textId="37BA9500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Not applicable (see purpose of document)</w:t>
            </w:r>
          </w:p>
        </w:tc>
      </w:tr>
      <w:tr w:rsidR="00931EEC" w:rsidRPr="008E5031" w14:paraId="79961332" w14:textId="74968DD0" w:rsidTr="00333FF3">
        <w:tc>
          <w:tcPr>
            <w:tcW w:w="5000" w:type="pct"/>
            <w:gridSpan w:val="3"/>
          </w:tcPr>
          <w:p w14:paraId="2152D291" w14:textId="33A435C3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b) Are (other) specific measures taken to ensure transparency of results?</w:t>
            </w:r>
          </w:p>
        </w:tc>
      </w:tr>
      <w:tr w:rsidR="00931EEC" w:rsidRPr="008E5031" w14:paraId="72062787" w14:textId="77777777" w:rsidTr="003C5EC6">
        <w:trPr>
          <w:trHeight w:val="1124"/>
        </w:trPr>
        <w:tc>
          <w:tcPr>
            <w:tcW w:w="1714" w:type="pct"/>
          </w:tcPr>
          <w:p w14:paraId="712766D8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  <w:p w14:paraId="62780BB0" w14:textId="0FA14F9A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446" w:type="pct"/>
          </w:tcPr>
          <w:p w14:paraId="3DB6403B" w14:textId="78116892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Only found: Limitations regarding elucidation due to limited timeframe should be reported and rendered visible in the mini-HTA so that the basis for the assessment and any recommendations is completely unambiguous. High credibility is ensured through openness and transparency.</w:t>
            </w:r>
          </w:p>
        </w:tc>
        <w:tc>
          <w:tcPr>
            <w:tcW w:w="1841" w:type="pct"/>
          </w:tcPr>
          <w:p w14:paraId="1E5309D8" w14:textId="0CCD5EB0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Not applicable (see purpose of document)</w:t>
            </w:r>
          </w:p>
        </w:tc>
      </w:tr>
      <w:tr w:rsidR="00931EEC" w:rsidRPr="008E5031" w14:paraId="0C09D582" w14:textId="72AD52BF" w:rsidTr="008E503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1C974EF6" w14:textId="2BB49A90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5. Reassessment</w:t>
            </w:r>
          </w:p>
        </w:tc>
      </w:tr>
      <w:tr w:rsidR="00931EEC" w:rsidRPr="008E5031" w14:paraId="03945A65" w14:textId="52455127" w:rsidTr="00333FF3">
        <w:tc>
          <w:tcPr>
            <w:tcW w:w="5000" w:type="pct"/>
            <w:gridSpan w:val="3"/>
          </w:tcPr>
          <w:p w14:paraId="358CB90E" w14:textId="40F05F55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Are there specific intervals/ conditions set for reassessment (fixed time/ new indication)?</w:t>
            </w:r>
          </w:p>
        </w:tc>
      </w:tr>
      <w:tr w:rsidR="00931EEC" w:rsidRPr="008E5031" w14:paraId="3C8F6917" w14:textId="77777777" w:rsidTr="003C5EC6">
        <w:tc>
          <w:tcPr>
            <w:tcW w:w="1714" w:type="pct"/>
          </w:tcPr>
          <w:p w14:paraId="7C331E64" w14:textId="64BF5924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Regarding an ideal assessment process: Phase three of HTA process (monitoring phase) involves surveillance and regular re-assessment of the use of a technology in practice</w:t>
            </w:r>
          </w:p>
        </w:tc>
        <w:tc>
          <w:tcPr>
            <w:tcW w:w="1446" w:type="pct"/>
          </w:tcPr>
          <w:p w14:paraId="3BFD7B8C" w14:textId="0B162D65" w:rsidR="00931EEC" w:rsidRPr="008E5031" w:rsidRDefault="00931EEC" w:rsidP="005C3F26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</w:tcPr>
          <w:p w14:paraId="7CAB9293" w14:textId="7DA19C7E" w:rsidR="00931EEC" w:rsidRPr="008E5031" w:rsidRDefault="00931EEC" w:rsidP="005C3F26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Not applicable (see purpose of document)</w:t>
            </w:r>
          </w:p>
        </w:tc>
      </w:tr>
      <w:tr w:rsidR="00931EEC" w:rsidRPr="008E5031" w14:paraId="31376065" w14:textId="5D231C3E" w:rsidTr="008E503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8810C5F" w14:textId="3AF0060B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6. Knowledge Exchange and Transferability</w:t>
            </w:r>
          </w:p>
        </w:tc>
      </w:tr>
      <w:tr w:rsidR="00931EEC" w:rsidRPr="008E5031" w14:paraId="09EB7463" w14:textId="2F136AEB" w:rsidTr="00333FF3">
        <w:tc>
          <w:tcPr>
            <w:tcW w:w="5000" w:type="pct"/>
            <w:gridSpan w:val="3"/>
          </w:tcPr>
          <w:p w14:paraId="30EDB229" w14:textId="36B67854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a) Does the agency use data and/or reports from other HTA institutions?</w:t>
            </w:r>
          </w:p>
        </w:tc>
      </w:tr>
      <w:tr w:rsidR="00931EEC" w:rsidRPr="008E5031" w14:paraId="10DBF572" w14:textId="77777777" w:rsidTr="003C5EC6">
        <w:tc>
          <w:tcPr>
            <w:tcW w:w="1714" w:type="pct"/>
          </w:tcPr>
          <w:p w14:paraId="267419FD" w14:textId="6163DFC4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04162C00" w14:textId="1B6EF52D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</w:tcPr>
          <w:p w14:paraId="59750995" w14:textId="18454753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Yes, for the development of this document</w:t>
            </w:r>
          </w:p>
        </w:tc>
      </w:tr>
      <w:tr w:rsidR="00931EEC" w:rsidRPr="008E5031" w14:paraId="364E56A8" w14:textId="79FD894B" w:rsidTr="00333FF3">
        <w:tc>
          <w:tcPr>
            <w:tcW w:w="5000" w:type="pct"/>
            <w:gridSpan w:val="3"/>
          </w:tcPr>
          <w:p w14:paraId="328C75E9" w14:textId="43368C18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b) Are there specific processes in place to ensure transferability of results?</w:t>
            </w:r>
          </w:p>
        </w:tc>
      </w:tr>
      <w:tr w:rsidR="00931EEC" w:rsidRPr="008E5031" w14:paraId="444B917E" w14:textId="77777777" w:rsidTr="003C5EC6">
        <w:tc>
          <w:tcPr>
            <w:tcW w:w="1714" w:type="pct"/>
          </w:tcPr>
          <w:p w14:paraId="52D06441" w14:textId="77777777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  <w:p w14:paraId="460025A7" w14:textId="7051CF2D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446" w:type="pct"/>
          </w:tcPr>
          <w:p w14:paraId="7CAFF4FB" w14:textId="1682DD7D" w:rsidR="00931EEC" w:rsidRPr="008E5031" w:rsidRDefault="00931EEC" w:rsidP="005C3F26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</w:tcPr>
          <w:p w14:paraId="732F96DE" w14:textId="61D327EF" w:rsidR="00931EEC" w:rsidRPr="008E5031" w:rsidRDefault="00931EEC" w:rsidP="005C3F26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Generalisability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: precise definition of research question and in- and exclusion criteria (PICO scheme etc.)</w:t>
            </w:r>
          </w:p>
        </w:tc>
      </w:tr>
      <w:tr w:rsidR="00931EEC" w:rsidRPr="008E5031" w14:paraId="2E8A0FD6" w14:textId="03BBA722" w:rsidTr="008E503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E24C8CF" w14:textId="5C06BADE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7. Cost and Economic Evaluation</w:t>
            </w:r>
          </w:p>
        </w:tc>
      </w:tr>
      <w:tr w:rsidR="00931EEC" w:rsidRPr="008E5031" w14:paraId="1715A1FC" w14:textId="23FF505E" w:rsidTr="00333FF3">
        <w:tc>
          <w:tcPr>
            <w:tcW w:w="5000" w:type="pct"/>
            <w:gridSpan w:val="3"/>
          </w:tcPr>
          <w:p w14:paraId="596D47B0" w14:textId="30B33CF0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a) If cost or cost-effectiveness information is considered, what methods of evaluation are allowed?</w:t>
            </w:r>
          </w:p>
        </w:tc>
      </w:tr>
      <w:tr w:rsidR="00931EEC" w:rsidRPr="008E5031" w14:paraId="26365DE5" w14:textId="77777777" w:rsidTr="003C5EC6">
        <w:tc>
          <w:tcPr>
            <w:tcW w:w="1714" w:type="pct"/>
          </w:tcPr>
          <w:p w14:paraId="798D3851" w14:textId="0EBCD131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27CCC669" w14:textId="27A08D3F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  <w:highlight w:val="yellow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</w:tcPr>
          <w:p w14:paraId="624794CF" w14:textId="19F12361" w:rsidR="00931EEC" w:rsidRPr="008E5031" w:rsidRDefault="00925A08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Cost</w:t>
            </w:r>
            <w:r w:rsidR="00931EEC"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and economic evaluation (according to level 6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by 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 xml:space="preserve">the model of 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Fryback</w:t>
            </w:r>
            <w:proofErr w:type="spell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Thornbury</w:t>
            </w:r>
            <w:proofErr w:type="spellEnd"/>
            <w:r w:rsidR="00931EEC" w:rsidRPr="008E5031">
              <w:rPr>
                <w:rFonts w:asciiTheme="majorHAnsi" w:hAnsiTheme="majorHAnsi"/>
                <w:color w:val="auto"/>
                <w:sz w:val="18"/>
                <w:szCs w:val="18"/>
              </w:rPr>
              <w:t>)</w:t>
            </w:r>
          </w:p>
        </w:tc>
      </w:tr>
      <w:tr w:rsidR="00931EEC" w:rsidRPr="008E5031" w14:paraId="534590D1" w14:textId="6F24B94A" w:rsidTr="00333FF3">
        <w:tc>
          <w:tcPr>
            <w:tcW w:w="5000" w:type="pct"/>
            <w:gridSpan w:val="3"/>
          </w:tcPr>
          <w:p w14:paraId="3232F9AA" w14:textId="5C161A98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b) If cost or cost-effectiveness information is considered, what types of analyses are allowed/recommended?</w:t>
            </w:r>
          </w:p>
        </w:tc>
      </w:tr>
      <w:tr w:rsidR="00931EEC" w:rsidRPr="008E5031" w14:paraId="2E51811C" w14:textId="77777777" w:rsidTr="003C5EC6">
        <w:tc>
          <w:tcPr>
            <w:tcW w:w="1714" w:type="pct"/>
          </w:tcPr>
          <w:p w14:paraId="706B1E5D" w14:textId="07D2DF59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4D5C8000" w14:textId="189C114C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</w:tcPr>
          <w:p w14:paraId="4E0E26F6" w14:textId="4790033C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According to level 6: Cost-benefit analysis, Cost-effectiveness</w:t>
            </w:r>
            <w:r w:rsidR="00925A08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analysis, cost-utility analysis</w:t>
            </w:r>
          </w:p>
        </w:tc>
      </w:tr>
      <w:tr w:rsidR="00931EEC" w:rsidRPr="008E5031" w14:paraId="3DC1F471" w14:textId="0FF9964B" w:rsidTr="00333FF3">
        <w:tc>
          <w:tcPr>
            <w:tcW w:w="5000" w:type="pct"/>
            <w:gridSpan w:val="3"/>
          </w:tcPr>
          <w:p w14:paraId="6E90E66B" w14:textId="3B96E934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c) If cost-effectiveness information is considered, what kind of perspective must be used for the cost-effectiveness assessment?</w:t>
            </w:r>
          </w:p>
        </w:tc>
      </w:tr>
      <w:tr w:rsidR="00931EEC" w:rsidRPr="008E5031" w14:paraId="62161F7F" w14:textId="77777777" w:rsidTr="003C5EC6">
        <w:tc>
          <w:tcPr>
            <w:tcW w:w="1714" w:type="pct"/>
          </w:tcPr>
          <w:p w14:paraId="555C799A" w14:textId="05C3292D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0E04CE80" w14:textId="433C300A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  <w:shd w:val="clear" w:color="auto" w:fill="FFFFFF" w:themeFill="background1"/>
          </w:tcPr>
          <w:p w14:paraId="4CC4ABF1" w14:textId="354BB775" w:rsidR="00B061C0" w:rsidRPr="008E5031" w:rsidRDefault="00925A08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925A08">
              <w:rPr>
                <w:rFonts w:asciiTheme="majorHAnsi" w:hAnsiTheme="majorHAnsi"/>
                <w:color w:val="auto"/>
                <w:sz w:val="18"/>
                <w:szCs w:val="18"/>
              </w:rPr>
              <w:t>Societal perspective</w:t>
            </w:r>
          </w:p>
        </w:tc>
      </w:tr>
      <w:tr w:rsidR="00931EEC" w:rsidRPr="008E5031" w14:paraId="7DC92FAE" w14:textId="300511F8" w:rsidTr="00333FF3">
        <w:tc>
          <w:tcPr>
            <w:tcW w:w="5000" w:type="pct"/>
            <w:gridSpan w:val="3"/>
          </w:tcPr>
          <w:p w14:paraId="7F1E9109" w14:textId="44978932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d) If cost-effectiveness information is considered, is estimation of uncertainty mandatory (e.g. confidence intervals)?</w:t>
            </w:r>
          </w:p>
        </w:tc>
      </w:tr>
      <w:tr w:rsidR="00931EEC" w:rsidRPr="008E5031" w14:paraId="3955FB1A" w14:textId="77777777" w:rsidTr="003C5EC6">
        <w:tc>
          <w:tcPr>
            <w:tcW w:w="1714" w:type="pct"/>
          </w:tcPr>
          <w:p w14:paraId="5F8FC363" w14:textId="328ED842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2F86E117" w14:textId="1A9334C0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</w:tcPr>
          <w:p w14:paraId="219A4F98" w14:textId="3D7E40C0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Sensitivity analyses</w:t>
            </w:r>
          </w:p>
        </w:tc>
      </w:tr>
      <w:tr w:rsidR="00931EEC" w:rsidRPr="008E5031" w14:paraId="3CB1A914" w14:textId="37EC2F92" w:rsidTr="00333FF3">
        <w:tc>
          <w:tcPr>
            <w:tcW w:w="5000" w:type="pct"/>
            <w:gridSpan w:val="3"/>
          </w:tcPr>
          <w:p w14:paraId="5D7199FB" w14:textId="137288F5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e) If cost-effectiveness information is considered, are threshold used to determine whether technology is cost-effective?</w:t>
            </w:r>
          </w:p>
        </w:tc>
      </w:tr>
      <w:tr w:rsidR="00931EEC" w:rsidRPr="008E5031" w14:paraId="168A8CBE" w14:textId="77777777" w:rsidTr="003C5EC6">
        <w:tc>
          <w:tcPr>
            <w:tcW w:w="1714" w:type="pct"/>
          </w:tcPr>
          <w:p w14:paraId="7865B6ED" w14:textId="5C4613BD" w:rsidR="00931EEC" w:rsidRPr="008E5031" w:rsidRDefault="00931EEC" w:rsidP="002874C2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 (focus only on specific methods)</w:t>
            </w:r>
          </w:p>
        </w:tc>
        <w:tc>
          <w:tcPr>
            <w:tcW w:w="1446" w:type="pct"/>
          </w:tcPr>
          <w:p w14:paraId="1C576D5C" w14:textId="7C7B190B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  <w:tc>
          <w:tcPr>
            <w:tcW w:w="1841" w:type="pct"/>
          </w:tcPr>
          <w:p w14:paraId="45A7054C" w14:textId="41E8D59B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No information</w:t>
            </w:r>
          </w:p>
        </w:tc>
      </w:tr>
      <w:tr w:rsidR="00931EEC" w:rsidRPr="008E5031" w14:paraId="4A1652DA" w14:textId="3383030F" w:rsidTr="008E503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52BEA3B" w14:textId="7E7AB053" w:rsidR="00931EEC" w:rsidRPr="008E5031" w:rsidRDefault="00931EEC" w:rsidP="00B114F9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8. Other aspects</w:t>
            </w:r>
          </w:p>
        </w:tc>
      </w:tr>
      <w:tr w:rsidR="00931EEC" w:rsidRPr="008E5031" w14:paraId="1384FF2C" w14:textId="77777777" w:rsidTr="003C5EC6">
        <w:tc>
          <w:tcPr>
            <w:tcW w:w="1714" w:type="pct"/>
          </w:tcPr>
          <w:p w14:paraId="7C9A94C1" w14:textId="54D451C5" w:rsidR="00931EEC" w:rsidRPr="008E5031" w:rsidRDefault="00931EEC" w:rsidP="003C5EC6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Emphasize that some methodological principles may be more difficult to apply when assessing medical devices and health technologies (e.g. timing, blinding, </w:t>
            </w:r>
            <w:proofErr w:type="spellStart"/>
            <w:proofErr w:type="gramStart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randomisation</w:t>
            </w:r>
            <w:proofErr w:type="spellEnd"/>
            <w:proofErr w:type="gramEnd"/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, choice of control or comparator group). Discuss also factors related to operator experience (learning curve, volume of activity). </w:t>
            </w:r>
          </w:p>
        </w:tc>
        <w:tc>
          <w:tcPr>
            <w:tcW w:w="1446" w:type="pct"/>
          </w:tcPr>
          <w:p w14:paraId="0A45BE5A" w14:textId="60742D4A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-</w:t>
            </w:r>
          </w:p>
        </w:tc>
        <w:tc>
          <w:tcPr>
            <w:tcW w:w="1841" w:type="pct"/>
          </w:tcPr>
          <w:p w14:paraId="17A09EBE" w14:textId="36B9A041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Tabular overview given of methods used by other institutions (e.g. IQWiG, MSAC).</w:t>
            </w:r>
          </w:p>
          <w:p w14:paraId="07F69E1E" w14:textId="77777777" w:rsidR="00931EEC" w:rsidRPr="008E5031" w:rsidRDefault="00931EEC" w:rsidP="00333FF3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>Development of a list of questions to estimate the evidence base of diagnostic procedures including links to relevant sections in the document (intended as a support tool for decision makers).</w:t>
            </w:r>
          </w:p>
          <w:p w14:paraId="127FBD07" w14:textId="1B1C9621" w:rsidR="00931EEC" w:rsidRPr="008E5031" w:rsidRDefault="00931EEC" w:rsidP="002874C2">
            <w:pPr>
              <w:jc w:val="lef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8E5031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Emphasize existing research lacks (e.g. reference standard). </w:t>
            </w:r>
          </w:p>
        </w:tc>
      </w:tr>
    </w:tbl>
    <w:p w14:paraId="17A1FBA7" w14:textId="77777777" w:rsidR="00D27E0F" w:rsidRDefault="00D27E0F" w:rsidP="003959F9"/>
    <w:sectPr w:rsidR="00D27E0F" w:rsidSect="00B061C0">
      <w:footerReference w:type="even" r:id="rId8"/>
      <w:footerReference w:type="default" r:id="rId9"/>
      <w:endnotePr>
        <w:numFmt w:val="decimal"/>
      </w:endnotePr>
      <w:type w:val="continuous"/>
      <w:pgSz w:w="16840" w:h="11900" w:orient="landscape"/>
      <w:pgMar w:top="567" w:right="567" w:bottom="567" w:left="56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EA04" w14:textId="77777777" w:rsidR="00D27E0F" w:rsidRDefault="00D27E0F" w:rsidP="00266A4E">
      <w:pPr>
        <w:spacing w:before="0" w:after="0"/>
      </w:pPr>
      <w:r>
        <w:separator/>
      </w:r>
    </w:p>
  </w:endnote>
  <w:endnote w:type="continuationSeparator" w:id="0">
    <w:p w14:paraId="5FD710F0" w14:textId="77777777" w:rsidR="00D27E0F" w:rsidRDefault="00D27E0F" w:rsidP="00266A4E">
      <w:pPr>
        <w:spacing w:before="0" w:after="0"/>
      </w:pPr>
      <w:r>
        <w:continuationSeparator/>
      </w:r>
    </w:p>
  </w:endnote>
  <w:endnote w:id="1">
    <w:p w14:paraId="1F1B5997" w14:textId="132F5439" w:rsidR="005E0119" w:rsidRPr="008E5031" w:rsidRDefault="005E0119" w:rsidP="005E0119">
      <w:pPr>
        <w:pStyle w:val="Funotentext"/>
        <w:rPr>
          <w:rFonts w:asciiTheme="majorHAnsi" w:hAnsiTheme="majorHAnsi"/>
          <w:color w:val="auto"/>
          <w:sz w:val="16"/>
          <w:szCs w:val="16"/>
        </w:rPr>
      </w:pPr>
      <w:r w:rsidRPr="008E5031">
        <w:rPr>
          <w:rStyle w:val="Endnotenzeichen"/>
          <w:rFonts w:asciiTheme="majorHAnsi" w:hAnsiTheme="majorHAnsi"/>
          <w:color w:val="auto"/>
          <w:sz w:val="16"/>
          <w:szCs w:val="16"/>
        </w:rPr>
        <w:endnoteRef/>
      </w:r>
      <w:r w:rsidRPr="008E5031">
        <w:rPr>
          <w:rFonts w:asciiTheme="majorHAnsi" w:hAnsiTheme="majorHAnsi"/>
          <w:color w:val="auto"/>
          <w:sz w:val="16"/>
          <w:szCs w:val="16"/>
        </w:rPr>
        <w:t xml:space="preserve"> </w:t>
      </w:r>
      <w:r w:rsidR="002E655C">
        <w:rPr>
          <w:rFonts w:asciiTheme="majorHAnsi" w:hAnsiTheme="majorHAnsi"/>
          <w:color w:val="auto"/>
          <w:sz w:val="16"/>
          <w:szCs w:val="16"/>
        </w:rPr>
        <w:t>F</w:t>
      </w:r>
      <w:r w:rsidRPr="008E5031">
        <w:rPr>
          <w:rFonts w:asciiTheme="majorHAnsi" w:hAnsiTheme="majorHAnsi"/>
          <w:color w:val="auto"/>
          <w:sz w:val="16"/>
          <w:szCs w:val="16"/>
        </w:rPr>
        <w:t>ocuses on aspects of the clinical efficacy assessment for a new medical device or a new health technology from development on-wards, following feasibility studies. It aims to identify the methods and conditions that allow a high-quality clinical assessment of a medical device to be made. It is intended for manufacturers, research organizations and project developers.</w:t>
      </w:r>
    </w:p>
  </w:endnote>
  <w:endnote w:id="2">
    <w:p w14:paraId="31AF7AB7" w14:textId="51BA1D35" w:rsidR="005E0119" w:rsidRPr="008E5031" w:rsidRDefault="005E0119" w:rsidP="005E0119">
      <w:pPr>
        <w:pStyle w:val="Funotentext"/>
        <w:rPr>
          <w:rFonts w:asciiTheme="majorHAnsi" w:hAnsiTheme="majorHAnsi"/>
          <w:color w:val="auto"/>
          <w:sz w:val="16"/>
          <w:szCs w:val="16"/>
        </w:rPr>
      </w:pPr>
      <w:r w:rsidRPr="008E5031">
        <w:rPr>
          <w:rStyle w:val="Endnotenzeichen"/>
          <w:rFonts w:asciiTheme="majorHAnsi" w:hAnsiTheme="majorHAnsi"/>
          <w:color w:val="auto"/>
          <w:sz w:val="16"/>
          <w:szCs w:val="16"/>
        </w:rPr>
        <w:endnoteRef/>
      </w:r>
      <w:r w:rsidRPr="008E5031">
        <w:rPr>
          <w:rFonts w:asciiTheme="majorHAnsi" w:hAnsiTheme="majorHAnsi"/>
          <w:color w:val="auto"/>
          <w:sz w:val="16"/>
          <w:szCs w:val="16"/>
        </w:rPr>
        <w:t xml:space="preserve"> </w:t>
      </w:r>
      <w:r w:rsidR="002E655C">
        <w:rPr>
          <w:rFonts w:asciiTheme="majorHAnsi" w:hAnsiTheme="majorHAnsi"/>
          <w:color w:val="auto"/>
          <w:sz w:val="16"/>
          <w:szCs w:val="16"/>
        </w:rPr>
        <w:t>D</w:t>
      </w:r>
      <w:r w:rsidRPr="008E5031">
        <w:rPr>
          <w:rFonts w:asciiTheme="majorHAnsi" w:hAnsiTheme="majorHAnsi"/>
          <w:color w:val="auto"/>
          <w:sz w:val="16"/>
          <w:szCs w:val="16"/>
        </w:rPr>
        <w:t>eveloped collectively by DACEHTA and the HTA units of the university hospitals in Aarhus, Copenhagen and Odense. Its goal was to create a flexible tool that is easily available and understandable for health professionals as well as health care managers.</w:t>
      </w:r>
    </w:p>
  </w:endnote>
  <w:endnote w:id="3">
    <w:p w14:paraId="5AB76458" w14:textId="6BFF63C0" w:rsidR="005E0119" w:rsidRPr="005E0119" w:rsidRDefault="005E0119" w:rsidP="005E0119">
      <w:pPr>
        <w:pStyle w:val="Funotentext"/>
      </w:pPr>
      <w:r w:rsidRPr="008E5031">
        <w:rPr>
          <w:rStyle w:val="Endnotenzeichen"/>
          <w:rFonts w:asciiTheme="majorHAnsi" w:hAnsiTheme="majorHAnsi"/>
          <w:color w:val="auto"/>
          <w:sz w:val="16"/>
          <w:szCs w:val="16"/>
        </w:rPr>
        <w:endnoteRef/>
      </w:r>
      <w:r w:rsidRPr="00F42D33">
        <w:rPr>
          <w:rFonts w:asciiTheme="majorHAnsi" w:hAnsiTheme="majorHAnsi"/>
          <w:color w:val="auto"/>
          <w:sz w:val="16"/>
          <w:szCs w:val="16"/>
        </w:rPr>
        <w:t xml:space="preserve"> </w:t>
      </w:r>
      <w:r w:rsidRPr="008E5031">
        <w:rPr>
          <w:rFonts w:asciiTheme="majorHAnsi" w:hAnsiTheme="majorHAnsi"/>
          <w:color w:val="auto"/>
          <w:sz w:val="16"/>
          <w:szCs w:val="16"/>
        </w:rPr>
        <w:t>The report describes the assessment methods of diagnostic technologies used by sel</w:t>
      </w:r>
      <w:r w:rsidR="00CA46C4">
        <w:rPr>
          <w:rFonts w:asciiTheme="majorHAnsi" w:hAnsiTheme="majorHAnsi"/>
          <w:color w:val="auto"/>
          <w:sz w:val="16"/>
          <w:szCs w:val="16"/>
        </w:rPr>
        <w:t>ected institutions, derived rec</w:t>
      </w:r>
      <w:r w:rsidRPr="008E5031">
        <w:rPr>
          <w:rFonts w:asciiTheme="majorHAnsi" w:hAnsiTheme="majorHAnsi"/>
          <w:color w:val="auto"/>
          <w:sz w:val="16"/>
          <w:szCs w:val="16"/>
        </w:rPr>
        <w:t>ommendations based on the assessment approaches and develops a list of questions (with links to the relevant sections in the document) as a support tool for decision makers when assessing diagnostic procedures.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8893F" w14:textId="77777777" w:rsidR="00D27E0F" w:rsidRDefault="00D27E0F" w:rsidP="002874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E18503" w14:textId="77777777" w:rsidR="00D27E0F" w:rsidRDefault="00D27E0F" w:rsidP="004038B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918EC" w14:textId="77777777" w:rsidR="00D27E0F" w:rsidRDefault="00D27E0F" w:rsidP="004038B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CF9A9" w14:textId="77777777" w:rsidR="00D27E0F" w:rsidRDefault="00D27E0F" w:rsidP="00266A4E">
      <w:pPr>
        <w:spacing w:before="0" w:after="0"/>
      </w:pPr>
      <w:r>
        <w:separator/>
      </w:r>
    </w:p>
  </w:footnote>
  <w:footnote w:type="continuationSeparator" w:id="0">
    <w:p w14:paraId="1AB68BF9" w14:textId="77777777" w:rsidR="00D27E0F" w:rsidRDefault="00D27E0F" w:rsidP="00266A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1F2"/>
    <w:multiLevelType w:val="hybridMultilevel"/>
    <w:tmpl w:val="531CD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1264"/>
    <w:multiLevelType w:val="multilevel"/>
    <w:tmpl w:val="87543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CD1F24"/>
    <w:multiLevelType w:val="hybridMultilevel"/>
    <w:tmpl w:val="DFC890E2"/>
    <w:lvl w:ilvl="0" w:tplc="BDC6CE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AEA5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016A0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EA6B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3873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CA85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3AEE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18467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DE852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BD694A"/>
    <w:multiLevelType w:val="hybridMultilevel"/>
    <w:tmpl w:val="45B6D60E"/>
    <w:lvl w:ilvl="0" w:tplc="69A65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CFAD4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8A7C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00AED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E693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D3414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F83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E447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FFC36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EE2976"/>
    <w:multiLevelType w:val="hybridMultilevel"/>
    <w:tmpl w:val="913C4C42"/>
    <w:lvl w:ilvl="0" w:tplc="F92A4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74269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D038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BD49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D4A3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9D8E0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306B0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3C95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56001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F64315"/>
    <w:multiLevelType w:val="multilevel"/>
    <w:tmpl w:val="8452B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C724FE"/>
    <w:multiLevelType w:val="hybridMultilevel"/>
    <w:tmpl w:val="A5D0BE06"/>
    <w:lvl w:ilvl="0" w:tplc="84B80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6470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E8EF2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3807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66674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432AC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9CEE1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8787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6884A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4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5A"/>
    <w:rsid w:val="00002074"/>
    <w:rsid w:val="00010B44"/>
    <w:rsid w:val="00014319"/>
    <w:rsid w:val="00021A79"/>
    <w:rsid w:val="000309E3"/>
    <w:rsid w:val="00040061"/>
    <w:rsid w:val="0005409B"/>
    <w:rsid w:val="00057130"/>
    <w:rsid w:val="00065FE5"/>
    <w:rsid w:val="00070819"/>
    <w:rsid w:val="00074E27"/>
    <w:rsid w:val="000A3B8A"/>
    <w:rsid w:val="000B2AAB"/>
    <w:rsid w:val="000B6073"/>
    <w:rsid w:val="000D09C0"/>
    <w:rsid w:val="000E26BF"/>
    <w:rsid w:val="000E375A"/>
    <w:rsid w:val="00113AEE"/>
    <w:rsid w:val="00123813"/>
    <w:rsid w:val="00130B39"/>
    <w:rsid w:val="00143EAA"/>
    <w:rsid w:val="0015013A"/>
    <w:rsid w:val="0016257E"/>
    <w:rsid w:val="001864F6"/>
    <w:rsid w:val="001905C8"/>
    <w:rsid w:val="00197DA4"/>
    <w:rsid w:val="001B4727"/>
    <w:rsid w:val="001E2316"/>
    <w:rsid w:val="001F3336"/>
    <w:rsid w:val="001F7DE2"/>
    <w:rsid w:val="002204E9"/>
    <w:rsid w:val="0024012D"/>
    <w:rsid w:val="00240C45"/>
    <w:rsid w:val="00250FAF"/>
    <w:rsid w:val="00257BE6"/>
    <w:rsid w:val="00260E47"/>
    <w:rsid w:val="00266A4E"/>
    <w:rsid w:val="0027315F"/>
    <w:rsid w:val="002874C2"/>
    <w:rsid w:val="00295891"/>
    <w:rsid w:val="002B48F1"/>
    <w:rsid w:val="002B5F45"/>
    <w:rsid w:val="002D526D"/>
    <w:rsid w:val="002D6BFB"/>
    <w:rsid w:val="002E655C"/>
    <w:rsid w:val="002F5DC3"/>
    <w:rsid w:val="003045E8"/>
    <w:rsid w:val="00312FF6"/>
    <w:rsid w:val="003158E8"/>
    <w:rsid w:val="003234CC"/>
    <w:rsid w:val="0032375B"/>
    <w:rsid w:val="00333712"/>
    <w:rsid w:val="00333FF3"/>
    <w:rsid w:val="00334E4D"/>
    <w:rsid w:val="0033760F"/>
    <w:rsid w:val="003420CC"/>
    <w:rsid w:val="00351969"/>
    <w:rsid w:val="00357FFD"/>
    <w:rsid w:val="00364614"/>
    <w:rsid w:val="00364AC7"/>
    <w:rsid w:val="003959F9"/>
    <w:rsid w:val="003B6706"/>
    <w:rsid w:val="003B7271"/>
    <w:rsid w:val="003B7F1B"/>
    <w:rsid w:val="003C5EC6"/>
    <w:rsid w:val="003D2030"/>
    <w:rsid w:val="003E5E06"/>
    <w:rsid w:val="003E7FB9"/>
    <w:rsid w:val="004038B6"/>
    <w:rsid w:val="00406DF1"/>
    <w:rsid w:val="004265D6"/>
    <w:rsid w:val="004351B6"/>
    <w:rsid w:val="00446498"/>
    <w:rsid w:val="0046049F"/>
    <w:rsid w:val="004611E4"/>
    <w:rsid w:val="00465552"/>
    <w:rsid w:val="00465FDF"/>
    <w:rsid w:val="00473C1B"/>
    <w:rsid w:val="004935A1"/>
    <w:rsid w:val="004A6401"/>
    <w:rsid w:val="004B6E02"/>
    <w:rsid w:val="004E14F7"/>
    <w:rsid w:val="004E34CA"/>
    <w:rsid w:val="004E4741"/>
    <w:rsid w:val="004E4C79"/>
    <w:rsid w:val="00505828"/>
    <w:rsid w:val="0051369F"/>
    <w:rsid w:val="005230A4"/>
    <w:rsid w:val="00524577"/>
    <w:rsid w:val="00533113"/>
    <w:rsid w:val="00535C12"/>
    <w:rsid w:val="00555A9F"/>
    <w:rsid w:val="0057761C"/>
    <w:rsid w:val="005A08AE"/>
    <w:rsid w:val="005A7853"/>
    <w:rsid w:val="005C3F26"/>
    <w:rsid w:val="005C469A"/>
    <w:rsid w:val="005D35A2"/>
    <w:rsid w:val="005E0119"/>
    <w:rsid w:val="005E507C"/>
    <w:rsid w:val="005F17EC"/>
    <w:rsid w:val="006041A8"/>
    <w:rsid w:val="00604B08"/>
    <w:rsid w:val="00605AD2"/>
    <w:rsid w:val="006175B4"/>
    <w:rsid w:val="0063541C"/>
    <w:rsid w:val="00646B25"/>
    <w:rsid w:val="006618FA"/>
    <w:rsid w:val="00691475"/>
    <w:rsid w:val="006943FC"/>
    <w:rsid w:val="00694C6D"/>
    <w:rsid w:val="006C1B85"/>
    <w:rsid w:val="006E0B58"/>
    <w:rsid w:val="00724E47"/>
    <w:rsid w:val="00763156"/>
    <w:rsid w:val="0076315C"/>
    <w:rsid w:val="00774F50"/>
    <w:rsid w:val="007908D3"/>
    <w:rsid w:val="007B26FD"/>
    <w:rsid w:val="007B5A75"/>
    <w:rsid w:val="007C1EBC"/>
    <w:rsid w:val="007D065E"/>
    <w:rsid w:val="00800176"/>
    <w:rsid w:val="00811E0E"/>
    <w:rsid w:val="0083437A"/>
    <w:rsid w:val="00853DA2"/>
    <w:rsid w:val="00862978"/>
    <w:rsid w:val="00871332"/>
    <w:rsid w:val="008A2C01"/>
    <w:rsid w:val="008B1FAA"/>
    <w:rsid w:val="008B6ABD"/>
    <w:rsid w:val="008D0894"/>
    <w:rsid w:val="008D4B69"/>
    <w:rsid w:val="008E5031"/>
    <w:rsid w:val="008E548D"/>
    <w:rsid w:val="00901646"/>
    <w:rsid w:val="00904FFB"/>
    <w:rsid w:val="009143A1"/>
    <w:rsid w:val="00917FA0"/>
    <w:rsid w:val="00925A08"/>
    <w:rsid w:val="00931EEC"/>
    <w:rsid w:val="0093356C"/>
    <w:rsid w:val="0095217C"/>
    <w:rsid w:val="009620C1"/>
    <w:rsid w:val="0096506D"/>
    <w:rsid w:val="00965EC6"/>
    <w:rsid w:val="00966A54"/>
    <w:rsid w:val="009C50DE"/>
    <w:rsid w:val="009E596E"/>
    <w:rsid w:val="009F215C"/>
    <w:rsid w:val="00A261C6"/>
    <w:rsid w:val="00A30793"/>
    <w:rsid w:val="00A42EB4"/>
    <w:rsid w:val="00A55D87"/>
    <w:rsid w:val="00A6597C"/>
    <w:rsid w:val="00AC4BF6"/>
    <w:rsid w:val="00AD6A9E"/>
    <w:rsid w:val="00B047B3"/>
    <w:rsid w:val="00B061C0"/>
    <w:rsid w:val="00B114F9"/>
    <w:rsid w:val="00B241B3"/>
    <w:rsid w:val="00B252CE"/>
    <w:rsid w:val="00B56C2D"/>
    <w:rsid w:val="00B65C60"/>
    <w:rsid w:val="00B7604B"/>
    <w:rsid w:val="00BA12C4"/>
    <w:rsid w:val="00BD10AC"/>
    <w:rsid w:val="00BE03A5"/>
    <w:rsid w:val="00BE291F"/>
    <w:rsid w:val="00C032E9"/>
    <w:rsid w:val="00C0651C"/>
    <w:rsid w:val="00C0796F"/>
    <w:rsid w:val="00C310CB"/>
    <w:rsid w:val="00C31E64"/>
    <w:rsid w:val="00C36671"/>
    <w:rsid w:val="00C4704B"/>
    <w:rsid w:val="00C73100"/>
    <w:rsid w:val="00C75A32"/>
    <w:rsid w:val="00C828FA"/>
    <w:rsid w:val="00C933D1"/>
    <w:rsid w:val="00CA46C4"/>
    <w:rsid w:val="00CA7CE3"/>
    <w:rsid w:val="00CE3388"/>
    <w:rsid w:val="00CF1603"/>
    <w:rsid w:val="00D10575"/>
    <w:rsid w:val="00D15AC7"/>
    <w:rsid w:val="00D25E2C"/>
    <w:rsid w:val="00D27E0F"/>
    <w:rsid w:val="00D5020B"/>
    <w:rsid w:val="00D54727"/>
    <w:rsid w:val="00D84BF8"/>
    <w:rsid w:val="00D9694D"/>
    <w:rsid w:val="00DA0B18"/>
    <w:rsid w:val="00DA70FB"/>
    <w:rsid w:val="00DA7767"/>
    <w:rsid w:val="00DB396F"/>
    <w:rsid w:val="00DF173A"/>
    <w:rsid w:val="00DF47E6"/>
    <w:rsid w:val="00E0272B"/>
    <w:rsid w:val="00E04D98"/>
    <w:rsid w:val="00E077EC"/>
    <w:rsid w:val="00E16125"/>
    <w:rsid w:val="00E33CCE"/>
    <w:rsid w:val="00E76041"/>
    <w:rsid w:val="00E85BFC"/>
    <w:rsid w:val="00E905FB"/>
    <w:rsid w:val="00E976D4"/>
    <w:rsid w:val="00EA06D0"/>
    <w:rsid w:val="00EB193A"/>
    <w:rsid w:val="00EC2C35"/>
    <w:rsid w:val="00EC446A"/>
    <w:rsid w:val="00EF316A"/>
    <w:rsid w:val="00F06A8B"/>
    <w:rsid w:val="00F24314"/>
    <w:rsid w:val="00F42D33"/>
    <w:rsid w:val="00F46E2A"/>
    <w:rsid w:val="00F56ACA"/>
    <w:rsid w:val="00F72775"/>
    <w:rsid w:val="00F73DAE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0DC43"/>
  <w14:defaultImageDpi w14:val="300"/>
  <w15:docId w15:val="{1A45A6CA-01EF-4FBF-96B6-32B30354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8B6"/>
    <w:pPr>
      <w:spacing w:before="60" w:after="60"/>
      <w:jc w:val="both"/>
    </w:pPr>
    <w:rPr>
      <w:rFonts w:ascii="Arial" w:hAnsi="Arial" w:cs="Times New Roman"/>
      <w:color w:val="595959" w:themeColor="text1" w:themeTint="A6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31EEC"/>
    <w:pPr>
      <w:keepNext/>
      <w:keepLines/>
      <w:jc w:val="left"/>
      <w:outlineLvl w:val="0"/>
    </w:pPr>
    <w:rPr>
      <w:rFonts w:asciiTheme="majorHAnsi" w:eastAsiaTheme="majorEastAsia" w:hAnsiTheme="majorHAnsi"/>
      <w:b/>
      <w:bCs/>
      <w:color w:val="auto"/>
      <w:szCs w:val="2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A12C4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73DAE"/>
    <w:pPr>
      <w:keepNext/>
      <w:keepLines/>
      <w:jc w:val="lef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A12C4"/>
    <w:pPr>
      <w:keepNext/>
      <w:keepLines/>
      <w:numPr>
        <w:ilvl w:val="3"/>
        <w:numId w:val="7"/>
      </w:numPr>
      <w:spacing w:before="200" w:after="200"/>
      <w:jc w:val="left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1EEC"/>
    <w:rPr>
      <w:rFonts w:asciiTheme="majorHAnsi" w:eastAsiaTheme="majorEastAsia" w:hAnsiTheme="majorHAnsi" w:cs="Times New Roman"/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12C4"/>
    <w:rPr>
      <w:rFonts w:ascii="Arial" w:eastAsiaTheme="majorEastAsia" w:hAnsi="Arial" w:cstheme="majorBidi"/>
      <w:b/>
      <w:bCs/>
      <w:color w:val="595959" w:themeColor="text1" w:themeTint="A6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3DAE"/>
    <w:rPr>
      <w:rFonts w:ascii="Arial" w:eastAsiaTheme="majorEastAsia" w:hAnsi="Arial" w:cstheme="majorBidi"/>
      <w:b/>
      <w:bCs/>
      <w:color w:val="595959" w:themeColor="text1" w:themeTint="A6"/>
      <w:lang w:val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CA7CE3"/>
    <w:pPr>
      <w:contextualSpacing/>
    </w:pPr>
    <w:rPr>
      <w:rFonts w:eastAsiaTheme="majorEastAsia" w:cstheme="majorBidi"/>
      <w:b/>
      <w:bCs/>
      <w:smallCaps/>
      <w:spacing w:val="5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CA7CE3"/>
    <w:rPr>
      <w:rFonts w:ascii="Arial" w:eastAsiaTheme="majorEastAsia" w:hAnsi="Arial" w:cstheme="majorBidi"/>
      <w:b/>
      <w:bCs/>
      <w:smallCaps/>
      <w:color w:val="595959" w:themeColor="text1" w:themeTint="A6"/>
      <w:spacing w:val="5"/>
      <w:kern w:val="28"/>
      <w:sz w:val="28"/>
      <w:szCs w:val="28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AC4BF6"/>
    <w:pPr>
      <w:spacing w:after="200"/>
    </w:pPr>
    <w:rPr>
      <w:bCs/>
      <w:sz w:val="18"/>
      <w:szCs w:val="18"/>
    </w:rPr>
  </w:style>
  <w:style w:type="paragraph" w:styleId="Inhaltsverzeichnisberschrift">
    <w:name w:val="TOC Heading"/>
    <w:basedOn w:val="Verzeichnis1"/>
    <w:next w:val="Standard"/>
    <w:autoRedefine/>
    <w:uiPriority w:val="39"/>
    <w:unhideWhenUsed/>
    <w:qFormat/>
    <w:rsid w:val="0033760F"/>
    <w:pPr>
      <w:spacing w:after="0" w:line="276" w:lineRule="auto"/>
    </w:pPr>
    <w:rPr>
      <w:b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3760F"/>
    <w:pPr>
      <w:spacing w:after="10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A12C4"/>
    <w:rPr>
      <w:rFonts w:ascii="Arial" w:eastAsiaTheme="majorEastAsia" w:hAnsi="Arial" w:cstheme="majorBidi"/>
      <w:b/>
      <w:bCs/>
      <w:iCs/>
      <w:color w:val="595959" w:themeColor="text1" w:themeTint="A6"/>
      <w:sz w:val="26"/>
      <w:lang w:val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74E27"/>
    <w:pPr>
      <w:numPr>
        <w:ilvl w:val="1"/>
      </w:numPr>
    </w:pPr>
    <w:rPr>
      <w:rFonts w:eastAsiaTheme="majorEastAsia" w:cstheme="majorBidi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E27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paragraph" w:styleId="Listenabsatz">
    <w:name w:val="List Paragraph"/>
    <w:basedOn w:val="Standard"/>
    <w:uiPriority w:val="34"/>
    <w:qFormat/>
    <w:rsid w:val="007D065E"/>
    <w:pPr>
      <w:spacing w:before="200" w:after="200"/>
      <w:ind w:left="720"/>
      <w:contextualSpacing/>
    </w:p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3420CC"/>
    <w:pPr>
      <w:spacing w:before="0" w:after="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20CC"/>
    <w:rPr>
      <w:rFonts w:ascii="Arial" w:hAnsi="Arial" w:cs="Times New Roman"/>
      <w:color w:val="595959" w:themeColor="text1" w:themeTint="A6"/>
      <w:sz w:val="18"/>
      <w:lang w:val="en-US"/>
    </w:rPr>
  </w:style>
  <w:style w:type="table" w:styleId="Tabellenraster">
    <w:name w:val="Table Grid"/>
    <w:basedOn w:val="NormaleTabelle"/>
    <w:uiPriority w:val="59"/>
    <w:rsid w:val="000E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0E375A"/>
    <w:pPr>
      <w:spacing w:before="0" w:after="200"/>
      <w:jc w:val="left"/>
    </w:pPr>
    <w:rPr>
      <w:rFonts w:ascii="Calibri" w:eastAsia="Calibri" w:hAnsi="Calibri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75A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65C60"/>
    <w:pPr>
      <w:spacing w:before="0" w:after="200" w:line="276" w:lineRule="auto"/>
      <w:jc w:val="left"/>
    </w:pPr>
    <w:rPr>
      <w:rFonts w:ascii="Times New Roman" w:eastAsia="Calibri" w:hAnsi="Times New Roman"/>
      <w:color w:val="auto"/>
      <w:sz w:val="24"/>
      <w:lang w:val="de-DE"/>
    </w:rPr>
  </w:style>
  <w:style w:type="character" w:styleId="Funotenzeichen">
    <w:name w:val="footnote reference"/>
    <w:basedOn w:val="Absatz-Standardschriftart"/>
    <w:uiPriority w:val="99"/>
    <w:unhideWhenUsed/>
    <w:rsid w:val="00266A4E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3420CC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4038B6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038B6"/>
    <w:rPr>
      <w:rFonts w:ascii="Arial" w:hAnsi="Arial" w:cs="Times New Roman"/>
      <w:color w:val="595959" w:themeColor="text1" w:themeTint="A6"/>
      <w:sz w:val="2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4038B6"/>
  </w:style>
  <w:style w:type="paragraph" w:styleId="Endnotentext">
    <w:name w:val="endnote text"/>
    <w:basedOn w:val="Standard"/>
    <w:link w:val="EndnotentextZchn"/>
    <w:uiPriority w:val="99"/>
    <w:unhideWhenUsed/>
    <w:rsid w:val="002874C2"/>
    <w:pPr>
      <w:spacing w:before="0" w:after="0"/>
    </w:pPr>
    <w:rPr>
      <w:sz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2874C2"/>
    <w:rPr>
      <w:rFonts w:ascii="Arial" w:hAnsi="Arial" w:cs="Times New Roman"/>
      <w:color w:val="595959" w:themeColor="text1" w:themeTint="A6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2874C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91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91F"/>
    <w:rPr>
      <w:rFonts w:ascii="Lucida Grande" w:hAnsi="Lucida Grande" w:cs="Lucida Grande"/>
      <w:color w:val="595959" w:themeColor="text1" w:themeTint="A6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A0B18"/>
    <w:pPr>
      <w:tabs>
        <w:tab w:val="center" w:pos="4320"/>
        <w:tab w:val="right" w:pos="864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B18"/>
    <w:rPr>
      <w:rFonts w:ascii="Arial" w:hAnsi="Arial" w:cs="Times New Roman"/>
      <w:color w:val="595959" w:themeColor="text1" w:themeTint="A6"/>
      <w:sz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316"/>
    <w:pPr>
      <w:spacing w:before="60" w:after="60"/>
      <w:jc w:val="both"/>
    </w:pPr>
    <w:rPr>
      <w:rFonts w:ascii="Arial" w:eastAsiaTheme="minorEastAsia" w:hAnsi="Arial"/>
      <w:b/>
      <w:bCs/>
      <w:color w:val="595959" w:themeColor="text1" w:themeTint="A6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316"/>
    <w:rPr>
      <w:rFonts w:ascii="Arial" w:eastAsia="Calibri" w:hAnsi="Arial" w:cs="Times New Roman"/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7025A-B704-4DC2-BE18-8DDE2281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Ramirez</dc:creator>
  <cp:keywords/>
  <dc:description/>
  <cp:lastModifiedBy>Sabine Fuchs</cp:lastModifiedBy>
  <cp:revision>4</cp:revision>
  <dcterms:created xsi:type="dcterms:W3CDTF">2016-01-12T10:03:00Z</dcterms:created>
  <dcterms:modified xsi:type="dcterms:W3CDTF">2016-05-10T16:35:00Z</dcterms:modified>
</cp:coreProperties>
</file>