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5EC12" w14:textId="5A399B54" w:rsidR="00312FF6" w:rsidRDefault="000950D1" w:rsidP="00931EEC">
      <w:pPr>
        <w:pStyle w:val="berschrift1"/>
        <w:rPr>
          <w:lang w:val="en-GB"/>
        </w:rPr>
      </w:pPr>
      <w:r>
        <w:t>Supplementary Table 5</w:t>
      </w:r>
      <w:r w:rsidR="00BE291F" w:rsidRPr="00143EAA">
        <w:t xml:space="preserve">a: </w:t>
      </w:r>
      <w:r w:rsidR="00BE291F" w:rsidRPr="00285248">
        <w:rPr>
          <w:b w:val="0"/>
        </w:rPr>
        <w:t xml:space="preserve">Extraction of </w:t>
      </w:r>
      <w:r w:rsidR="00BE291F" w:rsidRPr="00285248">
        <w:rPr>
          <w:b w:val="0"/>
          <w:lang w:val="en-GB"/>
        </w:rPr>
        <w:t xml:space="preserve">methodological documents for evaluation of </w:t>
      </w:r>
      <w:r w:rsidR="00BE291F" w:rsidRPr="00F33C46">
        <w:rPr>
          <w:b w:val="0"/>
          <w:lang w:val="en-GB"/>
        </w:rPr>
        <w:t xml:space="preserve">medical devices </w:t>
      </w:r>
      <w:r w:rsidR="0016257E" w:rsidRPr="00F33C46">
        <w:rPr>
          <w:b w:val="0"/>
          <w:lang w:val="en-GB"/>
        </w:rPr>
        <w:t>directly used by the institution</w:t>
      </w:r>
    </w:p>
    <w:p w14:paraId="75EEF275" w14:textId="77777777" w:rsidR="00F956BF" w:rsidRPr="00F956BF" w:rsidRDefault="00F956BF" w:rsidP="00F956BF">
      <w:pPr>
        <w:rPr>
          <w:lang w:val="en-GB"/>
        </w:rPr>
      </w:pPr>
    </w:p>
    <w:tbl>
      <w:tblPr>
        <w:tblStyle w:val="Tabellenraster"/>
        <w:tblW w:w="5000" w:type="pct"/>
        <w:tblLook w:val="04A0" w:firstRow="1" w:lastRow="0" w:firstColumn="1" w:lastColumn="0" w:noHBand="0" w:noVBand="1"/>
      </w:tblPr>
      <w:tblGrid>
        <w:gridCol w:w="2615"/>
        <w:gridCol w:w="2618"/>
        <w:gridCol w:w="2615"/>
        <w:gridCol w:w="2618"/>
        <w:gridCol w:w="2615"/>
        <w:gridCol w:w="2615"/>
      </w:tblGrid>
      <w:tr w:rsidR="002F6442" w:rsidRPr="00F956BF" w14:paraId="2A1B9149" w14:textId="77777777" w:rsidTr="00F956BF">
        <w:trPr>
          <w:tblHeader/>
        </w:trPr>
        <w:tc>
          <w:tcPr>
            <w:tcW w:w="833" w:type="pct"/>
            <w:tcBorders>
              <w:bottom w:val="single" w:sz="4" w:space="0" w:color="auto"/>
            </w:tcBorders>
            <w:shd w:val="clear" w:color="auto" w:fill="D9D9D9" w:themeFill="background1" w:themeFillShade="D9"/>
          </w:tcPr>
          <w:p w14:paraId="04A06C73" w14:textId="5F827E91" w:rsidR="002F6442" w:rsidRPr="00F956BF" w:rsidRDefault="002F6442" w:rsidP="0036208E">
            <w:pPr>
              <w:jc w:val="left"/>
              <w:rPr>
                <w:rFonts w:asciiTheme="majorHAnsi" w:hAnsiTheme="majorHAnsi"/>
                <w:b/>
                <w:color w:val="auto"/>
                <w:sz w:val="18"/>
                <w:szCs w:val="18"/>
              </w:rPr>
            </w:pPr>
            <w:r w:rsidRPr="00F956BF">
              <w:rPr>
                <w:rFonts w:asciiTheme="majorHAnsi" w:hAnsiTheme="majorHAnsi"/>
                <w:b/>
                <w:color w:val="auto"/>
                <w:sz w:val="18"/>
                <w:szCs w:val="18"/>
              </w:rPr>
              <w:t>HAS (Rapid assessment method for assessing medical a</w:t>
            </w:r>
            <w:r w:rsidR="00F17A30">
              <w:rPr>
                <w:rFonts w:asciiTheme="majorHAnsi" w:hAnsiTheme="majorHAnsi"/>
                <w:b/>
                <w:color w:val="auto"/>
                <w:sz w:val="18"/>
                <w:szCs w:val="18"/>
              </w:rPr>
              <w:t>nd surgical procedures, 2007 (18</w:t>
            </w:r>
            <w:r w:rsidRPr="00F956BF">
              <w:rPr>
                <w:rFonts w:asciiTheme="majorHAnsi" w:hAnsiTheme="majorHAnsi"/>
                <w:b/>
                <w:color w:val="auto"/>
                <w:sz w:val="18"/>
                <w:szCs w:val="18"/>
              </w:rPr>
              <w:t>))</w:t>
            </w:r>
            <w:r w:rsidRPr="00F956BF">
              <w:rPr>
                <w:rStyle w:val="Endnotenzeichen"/>
                <w:rFonts w:asciiTheme="majorHAnsi" w:hAnsiTheme="majorHAnsi"/>
                <w:b/>
                <w:color w:val="auto"/>
                <w:sz w:val="18"/>
                <w:szCs w:val="18"/>
              </w:rPr>
              <w:endnoteReference w:id="1"/>
            </w:r>
          </w:p>
        </w:tc>
        <w:tc>
          <w:tcPr>
            <w:tcW w:w="834" w:type="pct"/>
            <w:tcBorders>
              <w:bottom w:val="single" w:sz="4" w:space="0" w:color="auto"/>
            </w:tcBorders>
            <w:shd w:val="clear" w:color="auto" w:fill="D9D9D9" w:themeFill="background1" w:themeFillShade="D9"/>
          </w:tcPr>
          <w:p w14:paraId="196D3AB1" w14:textId="7253A6E5" w:rsidR="002F6442" w:rsidRPr="00F956BF" w:rsidRDefault="002F6442" w:rsidP="0036208E">
            <w:pPr>
              <w:jc w:val="left"/>
              <w:rPr>
                <w:rFonts w:asciiTheme="majorHAnsi" w:hAnsiTheme="majorHAnsi"/>
                <w:b/>
                <w:color w:val="auto"/>
                <w:sz w:val="18"/>
                <w:szCs w:val="18"/>
              </w:rPr>
            </w:pPr>
            <w:r w:rsidRPr="00F956BF">
              <w:rPr>
                <w:rFonts w:asciiTheme="majorHAnsi" w:hAnsiTheme="majorHAnsi"/>
                <w:b/>
                <w:color w:val="auto"/>
                <w:sz w:val="18"/>
                <w:szCs w:val="18"/>
              </w:rPr>
              <w:t xml:space="preserve">NICE (Diagnostics Assessment </w:t>
            </w:r>
            <w:proofErr w:type="spellStart"/>
            <w:r w:rsidR="00F17A30">
              <w:rPr>
                <w:rFonts w:asciiTheme="majorHAnsi" w:hAnsiTheme="majorHAnsi"/>
                <w:b/>
                <w:color w:val="auto"/>
                <w:sz w:val="18"/>
                <w:szCs w:val="18"/>
              </w:rPr>
              <w:t>Programme</w:t>
            </w:r>
            <w:proofErr w:type="spellEnd"/>
            <w:r w:rsidR="00F17A30">
              <w:rPr>
                <w:rFonts w:asciiTheme="majorHAnsi" w:hAnsiTheme="majorHAnsi"/>
                <w:b/>
                <w:color w:val="auto"/>
                <w:sz w:val="18"/>
                <w:szCs w:val="18"/>
              </w:rPr>
              <w:t xml:space="preserve"> Manual, 2011 (21</w:t>
            </w:r>
            <w:r w:rsidRPr="00F956BF">
              <w:rPr>
                <w:rFonts w:asciiTheme="majorHAnsi" w:hAnsiTheme="majorHAnsi"/>
                <w:b/>
                <w:color w:val="auto"/>
                <w:sz w:val="18"/>
                <w:szCs w:val="18"/>
              </w:rPr>
              <w:t>))</w:t>
            </w:r>
            <w:r w:rsidRPr="00F956BF">
              <w:rPr>
                <w:rStyle w:val="Endnotenzeichen"/>
                <w:rFonts w:asciiTheme="majorHAnsi" w:hAnsiTheme="majorHAnsi"/>
                <w:b/>
                <w:color w:val="auto"/>
                <w:sz w:val="18"/>
                <w:szCs w:val="18"/>
              </w:rPr>
              <w:endnoteReference w:id="2"/>
            </w:r>
          </w:p>
        </w:tc>
        <w:tc>
          <w:tcPr>
            <w:tcW w:w="833" w:type="pct"/>
            <w:tcBorders>
              <w:bottom w:val="single" w:sz="4" w:space="0" w:color="auto"/>
            </w:tcBorders>
            <w:shd w:val="clear" w:color="auto" w:fill="D9D9D9" w:themeFill="background1" w:themeFillShade="D9"/>
          </w:tcPr>
          <w:p w14:paraId="0E7153A6" w14:textId="34ED108D" w:rsidR="002F6442" w:rsidRPr="00DC2481" w:rsidRDefault="002F6442" w:rsidP="0036208E">
            <w:pPr>
              <w:jc w:val="left"/>
              <w:rPr>
                <w:rFonts w:asciiTheme="majorHAnsi" w:hAnsiTheme="majorHAnsi"/>
                <w:b/>
                <w:color w:val="auto"/>
                <w:sz w:val="18"/>
                <w:szCs w:val="18"/>
                <w:vertAlign w:val="superscript"/>
              </w:rPr>
            </w:pPr>
            <w:r w:rsidRPr="00F956BF">
              <w:rPr>
                <w:rFonts w:asciiTheme="majorHAnsi" w:hAnsiTheme="majorHAnsi"/>
                <w:b/>
                <w:color w:val="auto"/>
                <w:sz w:val="18"/>
                <w:szCs w:val="18"/>
              </w:rPr>
              <w:t>NICE (Medical Technologie</w:t>
            </w:r>
            <w:r w:rsidR="00F17A30">
              <w:rPr>
                <w:rFonts w:asciiTheme="majorHAnsi" w:hAnsiTheme="majorHAnsi"/>
                <w:b/>
                <w:color w:val="auto"/>
                <w:sz w:val="18"/>
                <w:szCs w:val="18"/>
              </w:rPr>
              <w:t xml:space="preserve">s Evaluation </w:t>
            </w:r>
            <w:proofErr w:type="spellStart"/>
            <w:r w:rsidR="00F17A30">
              <w:rPr>
                <w:rFonts w:asciiTheme="majorHAnsi" w:hAnsiTheme="majorHAnsi"/>
                <w:b/>
                <w:color w:val="auto"/>
                <w:sz w:val="18"/>
                <w:szCs w:val="18"/>
              </w:rPr>
              <w:t>Programme</w:t>
            </w:r>
            <w:proofErr w:type="spellEnd"/>
            <w:r w:rsidR="00F17A30">
              <w:rPr>
                <w:rFonts w:asciiTheme="majorHAnsi" w:hAnsiTheme="majorHAnsi"/>
                <w:b/>
                <w:color w:val="auto"/>
                <w:sz w:val="18"/>
                <w:szCs w:val="18"/>
              </w:rPr>
              <w:t>, 2011 (22</w:t>
            </w:r>
            <w:r w:rsidRPr="00F956BF">
              <w:rPr>
                <w:rFonts w:asciiTheme="majorHAnsi" w:hAnsiTheme="majorHAnsi"/>
                <w:b/>
                <w:color w:val="auto"/>
                <w:sz w:val="18"/>
                <w:szCs w:val="18"/>
              </w:rPr>
              <w:t>))</w:t>
            </w:r>
            <w:r w:rsidRPr="00F956BF">
              <w:rPr>
                <w:rStyle w:val="Endnotenzeichen"/>
                <w:rFonts w:asciiTheme="majorHAnsi" w:hAnsiTheme="majorHAnsi"/>
                <w:b/>
                <w:color w:val="auto"/>
                <w:sz w:val="18"/>
                <w:szCs w:val="18"/>
              </w:rPr>
              <w:endnoteReference w:id="3"/>
            </w:r>
            <w:r w:rsidR="00DC2481">
              <w:rPr>
                <w:rFonts w:asciiTheme="majorHAnsi" w:hAnsiTheme="majorHAnsi"/>
                <w:b/>
                <w:color w:val="auto"/>
                <w:sz w:val="18"/>
                <w:szCs w:val="18"/>
                <w:vertAlign w:val="superscript"/>
              </w:rPr>
              <w:t>*</w:t>
            </w:r>
            <w:r w:rsidR="00F55558">
              <w:rPr>
                <w:rFonts w:asciiTheme="majorHAnsi" w:hAnsiTheme="majorHAnsi"/>
                <w:b/>
                <w:color w:val="auto"/>
                <w:sz w:val="18"/>
                <w:szCs w:val="18"/>
                <w:vertAlign w:val="superscript"/>
              </w:rPr>
              <w:t>,**</w:t>
            </w:r>
          </w:p>
        </w:tc>
        <w:tc>
          <w:tcPr>
            <w:tcW w:w="834" w:type="pct"/>
            <w:tcBorders>
              <w:bottom w:val="single" w:sz="4" w:space="0" w:color="auto"/>
            </w:tcBorders>
            <w:shd w:val="clear" w:color="auto" w:fill="D9D9D9" w:themeFill="background1" w:themeFillShade="D9"/>
          </w:tcPr>
          <w:p w14:paraId="2CA2B563" w14:textId="66FF5487" w:rsidR="002F6442" w:rsidRPr="00F956BF" w:rsidRDefault="002F6442" w:rsidP="0036208E">
            <w:pPr>
              <w:jc w:val="left"/>
              <w:rPr>
                <w:rFonts w:asciiTheme="majorHAnsi" w:hAnsiTheme="majorHAnsi"/>
                <w:b/>
                <w:color w:val="auto"/>
                <w:sz w:val="18"/>
                <w:szCs w:val="18"/>
              </w:rPr>
            </w:pPr>
            <w:r w:rsidRPr="00F956BF">
              <w:rPr>
                <w:rFonts w:asciiTheme="majorHAnsi" w:hAnsiTheme="majorHAnsi"/>
                <w:b/>
                <w:color w:val="auto"/>
                <w:sz w:val="18"/>
                <w:szCs w:val="18"/>
              </w:rPr>
              <w:t xml:space="preserve">NICE (Interventional Procedures </w:t>
            </w:r>
            <w:proofErr w:type="spellStart"/>
            <w:r w:rsidRPr="00F956BF">
              <w:rPr>
                <w:rFonts w:asciiTheme="majorHAnsi" w:hAnsiTheme="majorHAnsi"/>
                <w:b/>
                <w:color w:val="auto"/>
                <w:sz w:val="18"/>
                <w:szCs w:val="18"/>
              </w:rPr>
              <w:t>P</w:t>
            </w:r>
            <w:r w:rsidR="00F17A30">
              <w:rPr>
                <w:rFonts w:asciiTheme="majorHAnsi" w:hAnsiTheme="majorHAnsi"/>
                <w:b/>
                <w:color w:val="auto"/>
                <w:sz w:val="18"/>
                <w:szCs w:val="18"/>
              </w:rPr>
              <w:t>rogramme</w:t>
            </w:r>
            <w:proofErr w:type="spellEnd"/>
            <w:r w:rsidR="00F17A30">
              <w:rPr>
                <w:rFonts w:asciiTheme="majorHAnsi" w:hAnsiTheme="majorHAnsi"/>
                <w:b/>
                <w:color w:val="auto"/>
                <w:sz w:val="18"/>
                <w:szCs w:val="18"/>
              </w:rPr>
              <w:t xml:space="preserve"> Methods guide, 2007 (23</w:t>
            </w:r>
            <w:r w:rsidRPr="00F956BF">
              <w:rPr>
                <w:rFonts w:asciiTheme="majorHAnsi" w:hAnsiTheme="majorHAnsi"/>
                <w:b/>
                <w:color w:val="auto"/>
                <w:sz w:val="18"/>
                <w:szCs w:val="18"/>
              </w:rPr>
              <w:t>))</w:t>
            </w:r>
            <w:r w:rsidRPr="00F956BF">
              <w:rPr>
                <w:rStyle w:val="Endnotenzeichen"/>
                <w:rFonts w:asciiTheme="majorHAnsi" w:hAnsiTheme="majorHAnsi"/>
                <w:b/>
                <w:color w:val="auto"/>
                <w:sz w:val="18"/>
                <w:szCs w:val="18"/>
              </w:rPr>
              <w:endnoteReference w:id="4"/>
            </w:r>
          </w:p>
        </w:tc>
        <w:tc>
          <w:tcPr>
            <w:tcW w:w="833" w:type="pct"/>
            <w:tcBorders>
              <w:bottom w:val="single" w:sz="4" w:space="0" w:color="auto"/>
            </w:tcBorders>
            <w:shd w:val="clear" w:color="auto" w:fill="D9D9D9" w:themeFill="background1" w:themeFillShade="D9"/>
          </w:tcPr>
          <w:p w14:paraId="791565A3" w14:textId="17B27988" w:rsidR="002F6442" w:rsidRPr="00DC2481" w:rsidRDefault="002F6442" w:rsidP="00DC2481">
            <w:pPr>
              <w:jc w:val="left"/>
              <w:rPr>
                <w:rFonts w:asciiTheme="majorHAnsi" w:hAnsiTheme="majorHAnsi"/>
                <w:b/>
                <w:color w:val="auto"/>
                <w:sz w:val="18"/>
                <w:szCs w:val="18"/>
                <w:vertAlign w:val="superscript"/>
              </w:rPr>
            </w:pPr>
            <w:r w:rsidRPr="00F956BF">
              <w:rPr>
                <w:rFonts w:asciiTheme="majorHAnsi" w:hAnsiTheme="majorHAnsi"/>
                <w:b/>
                <w:color w:val="auto"/>
                <w:sz w:val="18"/>
                <w:szCs w:val="18"/>
              </w:rPr>
              <w:t xml:space="preserve">CVZ (now: ZiN) (Medical tests: assessment of established medical science and medical practice, </w:t>
            </w:r>
            <w:r w:rsidR="00F17A30">
              <w:rPr>
                <w:rFonts w:asciiTheme="majorHAnsi" w:hAnsiTheme="majorHAnsi"/>
                <w:b/>
                <w:color w:val="auto"/>
                <w:sz w:val="18"/>
                <w:szCs w:val="18"/>
              </w:rPr>
              <w:t>2011, (24</w:t>
            </w:r>
            <w:r w:rsidRPr="00F956BF">
              <w:rPr>
                <w:rFonts w:asciiTheme="majorHAnsi" w:hAnsiTheme="majorHAnsi"/>
                <w:b/>
                <w:color w:val="auto"/>
                <w:sz w:val="18"/>
                <w:szCs w:val="18"/>
              </w:rPr>
              <w:t>))</w:t>
            </w:r>
            <w:r w:rsidRPr="00F956BF">
              <w:rPr>
                <w:rStyle w:val="Endnotenzeichen"/>
                <w:rFonts w:asciiTheme="majorHAnsi" w:hAnsiTheme="majorHAnsi"/>
                <w:b/>
                <w:color w:val="auto"/>
                <w:sz w:val="18"/>
                <w:szCs w:val="18"/>
              </w:rPr>
              <w:endnoteReference w:id="5"/>
            </w:r>
            <w:r w:rsidR="00DC2481">
              <w:rPr>
                <w:rFonts w:asciiTheme="majorHAnsi" w:hAnsiTheme="majorHAnsi"/>
                <w:b/>
                <w:color w:val="auto"/>
                <w:sz w:val="18"/>
                <w:szCs w:val="18"/>
                <w:vertAlign w:val="superscript"/>
              </w:rPr>
              <w:t>**</w:t>
            </w:r>
            <w:r w:rsidR="00F55558">
              <w:rPr>
                <w:rFonts w:asciiTheme="majorHAnsi" w:hAnsiTheme="majorHAnsi"/>
                <w:b/>
                <w:color w:val="auto"/>
                <w:sz w:val="18"/>
                <w:szCs w:val="18"/>
                <w:vertAlign w:val="superscript"/>
              </w:rPr>
              <w:t>*</w:t>
            </w:r>
          </w:p>
        </w:tc>
        <w:tc>
          <w:tcPr>
            <w:tcW w:w="833" w:type="pct"/>
            <w:tcBorders>
              <w:bottom w:val="single" w:sz="4" w:space="0" w:color="auto"/>
            </w:tcBorders>
            <w:shd w:val="clear" w:color="auto" w:fill="D9D9D9" w:themeFill="background1" w:themeFillShade="D9"/>
          </w:tcPr>
          <w:p w14:paraId="3CA892FC" w14:textId="3BE95E3F" w:rsidR="002F6442" w:rsidRPr="00F956BF" w:rsidRDefault="002F6442" w:rsidP="0036208E">
            <w:pPr>
              <w:jc w:val="left"/>
              <w:rPr>
                <w:rFonts w:asciiTheme="majorHAnsi" w:hAnsiTheme="majorHAnsi"/>
                <w:b/>
                <w:color w:val="auto"/>
                <w:sz w:val="18"/>
                <w:szCs w:val="18"/>
              </w:rPr>
            </w:pPr>
            <w:r w:rsidRPr="00F956BF">
              <w:rPr>
                <w:rFonts w:asciiTheme="majorHAnsi" w:hAnsiTheme="majorHAnsi"/>
                <w:b/>
                <w:color w:val="auto"/>
                <w:sz w:val="18"/>
                <w:szCs w:val="18"/>
              </w:rPr>
              <w:t xml:space="preserve">LBI (Procedural guidance for the systematic evaluation of biomarker tests, </w:t>
            </w:r>
            <w:r w:rsidRPr="00F17A30">
              <w:rPr>
                <w:rFonts w:asciiTheme="majorHAnsi" w:hAnsiTheme="majorHAnsi"/>
                <w:b/>
                <w:color w:val="auto"/>
                <w:sz w:val="18"/>
                <w:szCs w:val="18"/>
              </w:rPr>
              <w:t xml:space="preserve">2014 </w:t>
            </w:r>
            <w:r w:rsidR="00F17A30" w:rsidRPr="00F17A30">
              <w:rPr>
                <w:rFonts w:asciiTheme="majorHAnsi" w:hAnsiTheme="majorHAnsi"/>
                <w:b/>
                <w:color w:val="auto"/>
                <w:sz w:val="18"/>
                <w:szCs w:val="18"/>
              </w:rPr>
              <w:t>(19)</w:t>
            </w:r>
            <w:r w:rsidRPr="00F17A30">
              <w:rPr>
                <w:rFonts w:asciiTheme="majorHAnsi" w:hAnsiTheme="majorHAnsi"/>
                <w:b/>
                <w:color w:val="auto"/>
                <w:sz w:val="18"/>
                <w:szCs w:val="18"/>
              </w:rPr>
              <w:t>)</w:t>
            </w:r>
            <w:r w:rsidRPr="00F17A30">
              <w:rPr>
                <w:rStyle w:val="Endnotenzeichen"/>
                <w:rFonts w:asciiTheme="majorHAnsi" w:hAnsiTheme="majorHAnsi"/>
                <w:b/>
                <w:color w:val="auto"/>
                <w:sz w:val="18"/>
                <w:szCs w:val="18"/>
              </w:rPr>
              <w:endnoteReference w:id="6"/>
            </w:r>
          </w:p>
        </w:tc>
      </w:tr>
      <w:tr w:rsidR="00985031" w:rsidRPr="00F956BF" w14:paraId="196D94C1" w14:textId="77777777" w:rsidTr="00F956BF">
        <w:tc>
          <w:tcPr>
            <w:tcW w:w="5000" w:type="pct"/>
            <w:gridSpan w:val="6"/>
            <w:shd w:val="clear" w:color="auto" w:fill="F2F2F2" w:themeFill="background1" w:themeFillShade="F2"/>
          </w:tcPr>
          <w:p w14:paraId="3FA78A33" w14:textId="2461AC99" w:rsidR="00985031" w:rsidRPr="00F956BF" w:rsidRDefault="00985031" w:rsidP="00F956BF">
            <w:pPr>
              <w:tabs>
                <w:tab w:val="left" w:pos="2175"/>
              </w:tabs>
              <w:jc w:val="left"/>
              <w:rPr>
                <w:rFonts w:asciiTheme="majorHAnsi" w:hAnsiTheme="majorHAnsi"/>
                <w:b/>
                <w:color w:val="auto"/>
                <w:sz w:val="18"/>
                <w:szCs w:val="18"/>
              </w:rPr>
            </w:pPr>
            <w:r w:rsidRPr="00F956BF">
              <w:rPr>
                <w:rFonts w:asciiTheme="majorHAnsi" w:hAnsiTheme="majorHAnsi"/>
                <w:b/>
                <w:color w:val="auto"/>
                <w:sz w:val="18"/>
                <w:szCs w:val="18"/>
              </w:rPr>
              <w:t>1</w:t>
            </w:r>
            <w:r w:rsidRPr="00F956BF">
              <w:rPr>
                <w:rFonts w:asciiTheme="majorHAnsi" w:hAnsiTheme="majorHAnsi"/>
                <w:b/>
                <w:color w:val="auto"/>
                <w:sz w:val="18"/>
                <w:szCs w:val="18"/>
                <w:shd w:val="clear" w:color="auto" w:fill="F2F2F2" w:themeFill="background1" w:themeFillShade="F2"/>
              </w:rPr>
              <w:t>. Assessment elements</w:t>
            </w:r>
            <w:r w:rsidR="00F956BF" w:rsidRPr="00F956BF">
              <w:rPr>
                <w:rFonts w:asciiTheme="majorHAnsi" w:hAnsiTheme="majorHAnsi"/>
                <w:b/>
                <w:color w:val="auto"/>
                <w:sz w:val="18"/>
                <w:szCs w:val="18"/>
                <w:shd w:val="clear" w:color="auto" w:fill="F2F2F2" w:themeFill="background1" w:themeFillShade="F2"/>
              </w:rPr>
              <w:tab/>
            </w:r>
          </w:p>
        </w:tc>
      </w:tr>
      <w:tr w:rsidR="00985031" w:rsidRPr="00F956BF" w14:paraId="65DF6D0C" w14:textId="77777777" w:rsidTr="00985031">
        <w:tc>
          <w:tcPr>
            <w:tcW w:w="5000" w:type="pct"/>
            <w:gridSpan w:val="6"/>
            <w:shd w:val="clear" w:color="auto" w:fill="auto"/>
          </w:tcPr>
          <w:p w14:paraId="3F4F7244" w14:textId="298501C0" w:rsidR="00985031" w:rsidRPr="00F956BF" w:rsidRDefault="00985031" w:rsidP="008A2C01">
            <w:pPr>
              <w:jc w:val="left"/>
              <w:rPr>
                <w:rFonts w:asciiTheme="majorHAnsi" w:hAnsiTheme="majorHAnsi"/>
                <w:b/>
                <w:color w:val="auto"/>
                <w:sz w:val="18"/>
                <w:szCs w:val="18"/>
              </w:rPr>
            </w:pPr>
            <w:r w:rsidRPr="00F956BF">
              <w:rPr>
                <w:rFonts w:asciiTheme="majorHAnsi" w:hAnsiTheme="majorHAnsi"/>
                <w:b/>
                <w:color w:val="auto"/>
                <w:sz w:val="18"/>
                <w:szCs w:val="18"/>
              </w:rPr>
              <w:t>a) Which elements of the technology are evaluated?</w:t>
            </w:r>
          </w:p>
        </w:tc>
      </w:tr>
      <w:tr w:rsidR="002F6442" w:rsidRPr="00F956BF" w14:paraId="5B514823" w14:textId="77777777" w:rsidTr="00985031">
        <w:tc>
          <w:tcPr>
            <w:tcW w:w="833" w:type="pct"/>
            <w:shd w:val="clear" w:color="auto" w:fill="auto"/>
          </w:tcPr>
          <w:p w14:paraId="5ABD7269" w14:textId="6C0A003E"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Diagnostic/therapeutic benefit (safety, efficacy, cont</w:t>
            </w:r>
            <w:r w:rsidR="003B4A28">
              <w:rPr>
                <w:rFonts w:asciiTheme="majorHAnsi" w:hAnsiTheme="majorHAnsi"/>
                <w:color w:val="auto"/>
                <w:sz w:val="18"/>
                <w:szCs w:val="18"/>
              </w:rPr>
              <w:t>ribution to treatment strategy)</w:t>
            </w:r>
          </w:p>
          <w:p w14:paraId="30DB161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Public health benefit (morbidity and mortality, quality of life, care system, public health policies and </w:t>
            </w:r>
            <w:proofErr w:type="spellStart"/>
            <w:r w:rsidRPr="00F956BF">
              <w:rPr>
                <w:rFonts w:asciiTheme="majorHAnsi" w:hAnsiTheme="majorHAnsi"/>
                <w:color w:val="auto"/>
                <w:sz w:val="18"/>
                <w:szCs w:val="18"/>
              </w:rPr>
              <w:t>programmes</w:t>
            </w:r>
            <w:proofErr w:type="spellEnd"/>
            <w:r w:rsidRPr="00F956BF">
              <w:rPr>
                <w:rFonts w:asciiTheme="majorHAnsi" w:hAnsiTheme="majorHAnsi"/>
                <w:color w:val="auto"/>
                <w:sz w:val="18"/>
                <w:szCs w:val="18"/>
              </w:rPr>
              <w:t>)</w:t>
            </w:r>
          </w:p>
        </w:tc>
        <w:tc>
          <w:tcPr>
            <w:tcW w:w="834" w:type="pct"/>
            <w:shd w:val="clear" w:color="auto" w:fill="auto"/>
          </w:tcPr>
          <w:p w14:paraId="5FEB3211"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Test accuracy, clinical effectiveness, cost-effectiveness</w:t>
            </w:r>
          </w:p>
        </w:tc>
        <w:tc>
          <w:tcPr>
            <w:tcW w:w="833" w:type="pct"/>
          </w:tcPr>
          <w:p w14:paraId="5CEC9B7A"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Efficacy, effectiveness, usability, safety outcomes (including intermediate clinical outcomes) and available clinical and health economics studies of any type</w:t>
            </w:r>
          </w:p>
        </w:tc>
        <w:tc>
          <w:tcPr>
            <w:tcW w:w="834" w:type="pct"/>
          </w:tcPr>
          <w:p w14:paraId="7C158756"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Efficacy, safety</w:t>
            </w:r>
          </w:p>
        </w:tc>
        <w:tc>
          <w:tcPr>
            <w:tcW w:w="833" w:type="pct"/>
          </w:tcPr>
          <w:p w14:paraId="60F5DD49" w14:textId="43714F85"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Analytical accuracy, diagnostic accuracy, clinical utility (test-plus-treatment-strategy), cost-effectiveness</w:t>
            </w:r>
          </w:p>
        </w:tc>
        <w:tc>
          <w:tcPr>
            <w:tcW w:w="833" w:type="pct"/>
          </w:tcPr>
          <w:p w14:paraId="1F495512" w14:textId="206C9D89"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Clinical utility, clinical management effects due to testing, direct health effects of testing, emotional, social, cognitive, </w:t>
            </w:r>
            <w:proofErr w:type="spellStart"/>
            <w:r w:rsidRPr="00F956BF">
              <w:rPr>
                <w:rFonts w:asciiTheme="majorHAnsi" w:hAnsiTheme="majorHAnsi"/>
                <w:color w:val="auto"/>
                <w:sz w:val="18"/>
                <w:szCs w:val="18"/>
              </w:rPr>
              <w:t>behavioural</w:t>
            </w:r>
            <w:proofErr w:type="spellEnd"/>
            <w:r w:rsidRPr="00F956BF">
              <w:rPr>
                <w:rFonts w:asciiTheme="majorHAnsi" w:hAnsiTheme="majorHAnsi"/>
                <w:color w:val="auto"/>
                <w:sz w:val="18"/>
                <w:szCs w:val="18"/>
              </w:rPr>
              <w:t xml:space="preserve"> responses to testing, legal and ethical effects of testing</w:t>
            </w:r>
          </w:p>
        </w:tc>
      </w:tr>
      <w:tr w:rsidR="00985031" w:rsidRPr="00F956BF" w14:paraId="639C6F87" w14:textId="77777777" w:rsidTr="00985031">
        <w:tc>
          <w:tcPr>
            <w:tcW w:w="5000" w:type="pct"/>
            <w:gridSpan w:val="6"/>
            <w:shd w:val="clear" w:color="auto" w:fill="auto"/>
          </w:tcPr>
          <w:p w14:paraId="2CA57C40" w14:textId="7EAE4572"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b) Are there methodological approaches specified for each aspect/element?</w:t>
            </w:r>
          </w:p>
        </w:tc>
      </w:tr>
      <w:tr w:rsidR="002F6442" w:rsidRPr="00F956BF" w14:paraId="238D0709" w14:textId="77777777" w:rsidTr="00985031">
        <w:tc>
          <w:tcPr>
            <w:tcW w:w="833" w:type="pct"/>
            <w:shd w:val="clear" w:color="auto" w:fill="auto"/>
          </w:tcPr>
          <w:p w14:paraId="55083CB4"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w:t>
            </w:r>
          </w:p>
        </w:tc>
        <w:tc>
          <w:tcPr>
            <w:tcW w:w="834" w:type="pct"/>
            <w:shd w:val="clear" w:color="auto" w:fill="auto"/>
          </w:tcPr>
          <w:p w14:paraId="380DB855"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for effectiveness and cost-effectiveness</w:t>
            </w:r>
          </w:p>
        </w:tc>
        <w:tc>
          <w:tcPr>
            <w:tcW w:w="833" w:type="pct"/>
          </w:tcPr>
          <w:p w14:paraId="016560C9"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w:t>
            </w:r>
          </w:p>
        </w:tc>
        <w:tc>
          <w:tcPr>
            <w:tcW w:w="834" w:type="pct"/>
          </w:tcPr>
          <w:p w14:paraId="293EB29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for efficacy and safety</w:t>
            </w:r>
          </w:p>
        </w:tc>
        <w:tc>
          <w:tcPr>
            <w:tcW w:w="833" w:type="pct"/>
          </w:tcPr>
          <w:p w14:paraId="655563A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for clinical utility</w:t>
            </w:r>
          </w:p>
        </w:tc>
        <w:tc>
          <w:tcPr>
            <w:tcW w:w="833" w:type="pct"/>
          </w:tcPr>
          <w:p w14:paraId="378C7C65"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see above</w:t>
            </w:r>
          </w:p>
        </w:tc>
      </w:tr>
      <w:tr w:rsidR="00985031" w:rsidRPr="00F956BF" w14:paraId="003B25CC" w14:textId="77777777" w:rsidTr="00F956BF">
        <w:tc>
          <w:tcPr>
            <w:tcW w:w="5000" w:type="pct"/>
            <w:gridSpan w:val="6"/>
            <w:shd w:val="clear" w:color="auto" w:fill="F2F2F2" w:themeFill="background1" w:themeFillShade="F2"/>
          </w:tcPr>
          <w:p w14:paraId="4BC5D9A3" w14:textId="408D2ECF" w:rsidR="00985031" w:rsidRPr="00F956BF" w:rsidRDefault="00985031" w:rsidP="004B6E02">
            <w:pPr>
              <w:jc w:val="left"/>
              <w:rPr>
                <w:rFonts w:asciiTheme="majorHAnsi" w:hAnsiTheme="majorHAnsi"/>
                <w:color w:val="auto"/>
                <w:sz w:val="18"/>
                <w:szCs w:val="18"/>
              </w:rPr>
            </w:pPr>
            <w:r w:rsidRPr="00F956BF">
              <w:rPr>
                <w:rFonts w:asciiTheme="majorHAnsi" w:hAnsiTheme="majorHAnsi"/>
                <w:b/>
                <w:color w:val="auto"/>
                <w:sz w:val="18"/>
                <w:szCs w:val="18"/>
              </w:rPr>
              <w:t xml:space="preserve">2. </w:t>
            </w:r>
            <w:r w:rsidRPr="00F956BF">
              <w:rPr>
                <w:rFonts w:asciiTheme="majorHAnsi" w:hAnsiTheme="majorHAnsi"/>
                <w:b/>
                <w:color w:val="auto"/>
                <w:sz w:val="18"/>
                <w:szCs w:val="18"/>
                <w:shd w:val="clear" w:color="auto" w:fill="F2F2F2" w:themeFill="background1" w:themeFillShade="F2"/>
              </w:rPr>
              <w:t>Evidence procurement and selection</w:t>
            </w:r>
          </w:p>
        </w:tc>
      </w:tr>
      <w:tr w:rsidR="00985031" w:rsidRPr="00F956BF" w14:paraId="13A2237C" w14:textId="77777777" w:rsidTr="00985031">
        <w:tc>
          <w:tcPr>
            <w:tcW w:w="5000" w:type="pct"/>
            <w:gridSpan w:val="6"/>
            <w:shd w:val="clear" w:color="auto" w:fill="auto"/>
          </w:tcPr>
          <w:p w14:paraId="0629FB80" w14:textId="0562DC5E" w:rsidR="00985031" w:rsidRPr="00F956BF" w:rsidRDefault="00985031" w:rsidP="004B6E02">
            <w:pPr>
              <w:jc w:val="left"/>
              <w:rPr>
                <w:rFonts w:asciiTheme="majorHAnsi" w:hAnsiTheme="majorHAnsi"/>
                <w:color w:val="auto"/>
                <w:sz w:val="18"/>
                <w:szCs w:val="18"/>
              </w:rPr>
            </w:pPr>
            <w:r w:rsidRPr="00F956BF">
              <w:rPr>
                <w:rFonts w:asciiTheme="majorHAnsi" w:hAnsiTheme="majorHAnsi"/>
                <w:b/>
                <w:color w:val="auto"/>
                <w:sz w:val="18"/>
                <w:szCs w:val="18"/>
              </w:rPr>
              <w:t>a) Is the assessment based on submissions or on internally conducted research?</w:t>
            </w:r>
          </w:p>
        </w:tc>
      </w:tr>
      <w:tr w:rsidR="002F6442" w:rsidRPr="00F956BF" w14:paraId="70F0F492" w14:textId="77777777" w:rsidTr="00985031">
        <w:tc>
          <w:tcPr>
            <w:tcW w:w="833" w:type="pct"/>
            <w:shd w:val="clear" w:color="auto" w:fill="auto"/>
          </w:tcPr>
          <w:p w14:paraId="037250F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Analysis of identified published data, issuing of an opinion by a working group of professionals.</w:t>
            </w:r>
          </w:p>
        </w:tc>
        <w:tc>
          <w:tcPr>
            <w:tcW w:w="834" w:type="pct"/>
            <w:shd w:val="clear" w:color="auto" w:fill="auto"/>
          </w:tcPr>
          <w:p w14:paraId="270AEED5" w14:textId="310EC909"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Diagnostic Assessment Report produced by an External Assessment Group following the DAP Manual methods: contains a systematic review of the clinical and cost effectiveness evidence and cost effectiveness analysis.</w:t>
            </w:r>
          </w:p>
          <w:p w14:paraId="69793140"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formal manufacturer submission.</w:t>
            </w:r>
          </w:p>
        </w:tc>
        <w:tc>
          <w:tcPr>
            <w:tcW w:w="833" w:type="pct"/>
          </w:tcPr>
          <w:p w14:paraId="6963563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Submission from the sponsor (clinical and economic evidence).</w:t>
            </w:r>
          </w:p>
          <w:p w14:paraId="22EF6063" w14:textId="767EA402" w:rsidR="002F6442" w:rsidRPr="00F956BF" w:rsidRDefault="002F6442" w:rsidP="002A3D3C">
            <w:pPr>
              <w:jc w:val="left"/>
              <w:rPr>
                <w:rFonts w:asciiTheme="majorHAnsi" w:hAnsiTheme="majorHAnsi"/>
                <w:color w:val="auto"/>
                <w:sz w:val="18"/>
                <w:szCs w:val="18"/>
              </w:rPr>
            </w:pPr>
            <w:r w:rsidRPr="00F956BF">
              <w:rPr>
                <w:rFonts w:asciiTheme="majorHAnsi" w:hAnsiTheme="majorHAnsi"/>
                <w:color w:val="auto"/>
                <w:sz w:val="18"/>
                <w:szCs w:val="18"/>
              </w:rPr>
              <w:t>Assessment report presented by the External Assessment Centre (independent of NICE; analysis and appraisal of submission</w:t>
            </w:r>
            <w:r w:rsidR="002A3D3C">
              <w:rPr>
                <w:rFonts w:asciiTheme="majorHAnsi" w:hAnsiTheme="majorHAnsi"/>
                <w:color w:val="auto"/>
                <w:sz w:val="18"/>
                <w:szCs w:val="18"/>
              </w:rPr>
              <w:t>; e.g. reproduces the sponsor’s search to validate that all relevant evidence has been iden</w:t>
            </w:r>
            <w:r w:rsidR="002A3D3C" w:rsidRPr="002A3D3C">
              <w:rPr>
                <w:rFonts w:asciiTheme="majorHAnsi" w:hAnsiTheme="majorHAnsi"/>
                <w:color w:val="auto"/>
                <w:sz w:val="18"/>
                <w:szCs w:val="18"/>
              </w:rPr>
              <w:t>tified</w:t>
            </w:r>
            <w:r w:rsidRPr="00F956BF">
              <w:rPr>
                <w:rFonts w:asciiTheme="majorHAnsi" w:hAnsiTheme="majorHAnsi"/>
                <w:color w:val="auto"/>
                <w:sz w:val="18"/>
                <w:szCs w:val="18"/>
              </w:rPr>
              <w:t>).</w:t>
            </w:r>
          </w:p>
          <w:p w14:paraId="545178BA"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Further evidence (e.g. from the </w:t>
            </w:r>
            <w:proofErr w:type="spellStart"/>
            <w:r w:rsidRPr="00F956BF">
              <w:rPr>
                <w:rFonts w:asciiTheme="majorHAnsi" w:hAnsiTheme="majorHAnsi"/>
                <w:color w:val="auto"/>
                <w:sz w:val="18"/>
                <w:szCs w:val="18"/>
              </w:rPr>
              <w:t>Programme</w:t>
            </w:r>
            <w:proofErr w:type="spellEnd"/>
            <w:r w:rsidRPr="00F956BF">
              <w:rPr>
                <w:rFonts w:asciiTheme="majorHAnsi" w:hAnsiTheme="majorHAnsi"/>
                <w:color w:val="auto"/>
                <w:sz w:val="18"/>
                <w:szCs w:val="18"/>
              </w:rPr>
              <w:t xml:space="preserve"> team) and contributions (e.g. from expert adviser).</w:t>
            </w:r>
          </w:p>
        </w:tc>
        <w:tc>
          <w:tcPr>
            <w:tcW w:w="834" w:type="pct"/>
          </w:tcPr>
          <w:p w14:paraId="6504254A" w14:textId="1F433EDB"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Primarily on systematic literature search (done by the Institute’s Information Services team and </w:t>
            </w:r>
            <w:proofErr w:type="spellStart"/>
            <w:r w:rsidRPr="00F956BF">
              <w:rPr>
                <w:rFonts w:asciiTheme="majorHAnsi" w:hAnsiTheme="majorHAnsi"/>
                <w:color w:val="auto"/>
                <w:sz w:val="18"/>
                <w:szCs w:val="18"/>
              </w:rPr>
              <w:t>Programme’s</w:t>
            </w:r>
            <w:proofErr w:type="spellEnd"/>
            <w:r w:rsidRPr="00F956BF">
              <w:rPr>
                <w:rFonts w:asciiTheme="majorHAnsi" w:hAnsiTheme="majorHAnsi"/>
                <w:color w:val="auto"/>
                <w:sz w:val="18"/>
                <w:szCs w:val="18"/>
              </w:rPr>
              <w:t xml:space="preserve"> technical team).</w:t>
            </w:r>
          </w:p>
          <w:p w14:paraId="7F037A39" w14:textId="23ADC786" w:rsidR="002F6442" w:rsidRPr="00F956BF" w:rsidRDefault="002F6442" w:rsidP="00CF1603">
            <w:pPr>
              <w:jc w:val="left"/>
              <w:rPr>
                <w:rFonts w:asciiTheme="majorHAnsi" w:hAnsiTheme="majorHAnsi"/>
                <w:color w:val="auto"/>
                <w:sz w:val="18"/>
                <w:szCs w:val="18"/>
              </w:rPr>
            </w:pPr>
            <w:proofErr w:type="spellStart"/>
            <w:r w:rsidRPr="00F956BF">
              <w:rPr>
                <w:rFonts w:asciiTheme="majorHAnsi" w:hAnsiTheme="majorHAnsi"/>
                <w:color w:val="auto"/>
                <w:sz w:val="18"/>
                <w:szCs w:val="18"/>
              </w:rPr>
              <w:t>Programme</w:t>
            </w:r>
            <w:proofErr w:type="spellEnd"/>
            <w:r w:rsidRPr="00F956BF">
              <w:rPr>
                <w:rFonts w:asciiTheme="majorHAnsi" w:hAnsiTheme="majorHAnsi"/>
                <w:color w:val="auto"/>
                <w:sz w:val="18"/>
                <w:szCs w:val="18"/>
              </w:rPr>
              <w:t xml:space="preserve"> team prepares evidence for each procedure, which forms the basis of the Committee’s decision making.</w:t>
            </w:r>
          </w:p>
          <w:p w14:paraId="4374DF9B" w14:textId="729C704C" w:rsidR="00985031"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Commentary from Specialist Advisers or consultees. Evidence from m</w:t>
            </w:r>
            <w:r w:rsidR="00F956BF">
              <w:rPr>
                <w:rFonts w:asciiTheme="majorHAnsi" w:hAnsiTheme="majorHAnsi"/>
                <w:color w:val="auto"/>
                <w:sz w:val="18"/>
                <w:szCs w:val="18"/>
              </w:rPr>
              <w:t>anufacturers not routinely used.</w:t>
            </w:r>
          </w:p>
        </w:tc>
        <w:tc>
          <w:tcPr>
            <w:tcW w:w="833" w:type="pct"/>
          </w:tcPr>
          <w:p w14:paraId="746EC8BF" w14:textId="7900CE53"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Applicant expected to submit data on which basis ZiN can form an opinion.</w:t>
            </w:r>
          </w:p>
          <w:p w14:paraId="03B7885E" w14:textId="2E3616B8"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 systematic literature search is also carried out.</w:t>
            </w:r>
          </w:p>
          <w:p w14:paraId="32F73DC4" w14:textId="0EC561B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Consults always relevant experts.</w:t>
            </w:r>
          </w:p>
        </w:tc>
        <w:tc>
          <w:tcPr>
            <w:tcW w:w="833" w:type="pct"/>
          </w:tcPr>
          <w:p w14:paraId="487CA5C9" w14:textId="17907B6D" w:rsidR="002F6442" w:rsidRPr="00F956BF" w:rsidRDefault="002F6442" w:rsidP="004B6E02">
            <w:pPr>
              <w:jc w:val="left"/>
              <w:rPr>
                <w:rFonts w:asciiTheme="majorHAnsi" w:hAnsiTheme="majorHAnsi"/>
                <w:color w:val="auto"/>
                <w:sz w:val="18"/>
                <w:szCs w:val="18"/>
              </w:rPr>
            </w:pPr>
            <w:r w:rsidRPr="00F956BF">
              <w:rPr>
                <w:rFonts w:asciiTheme="majorHAnsi" w:hAnsiTheme="majorHAnsi"/>
                <w:color w:val="auto"/>
                <w:sz w:val="18"/>
                <w:szCs w:val="18"/>
              </w:rPr>
              <w:t>Systematic literature search (for more details, see internal manual of LBI)</w:t>
            </w:r>
          </w:p>
        </w:tc>
      </w:tr>
      <w:tr w:rsidR="00985031" w:rsidRPr="00F956BF" w14:paraId="3AA11A8E" w14:textId="77777777" w:rsidTr="00985031">
        <w:tc>
          <w:tcPr>
            <w:tcW w:w="5000" w:type="pct"/>
            <w:gridSpan w:val="6"/>
            <w:shd w:val="clear" w:color="auto" w:fill="auto"/>
          </w:tcPr>
          <w:p w14:paraId="2B0A0651" w14:textId="5BBF74B2"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b) What types of evidence are admissible for the assessment?</w:t>
            </w:r>
          </w:p>
        </w:tc>
      </w:tr>
      <w:tr w:rsidR="002F6442" w:rsidRPr="00F956BF" w14:paraId="2C16A36A" w14:textId="77777777" w:rsidTr="00985031">
        <w:tc>
          <w:tcPr>
            <w:tcW w:w="833" w:type="pct"/>
            <w:shd w:val="clear" w:color="auto" w:fill="auto"/>
          </w:tcPr>
          <w:p w14:paraId="1EE60A0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Based on following level of scientific evidence (HAS grading scheme):</w:t>
            </w:r>
          </w:p>
          <w:p w14:paraId="7A1AA7B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I- High-powered RCT', meta-analyses, decision analyses.</w:t>
            </w:r>
            <w:r w:rsidRPr="00F956BF">
              <w:rPr>
                <w:rFonts w:asciiTheme="majorHAnsi" w:hAnsiTheme="majorHAnsi"/>
                <w:color w:val="auto"/>
                <w:sz w:val="18"/>
                <w:szCs w:val="18"/>
              </w:rPr>
              <w:br/>
              <w:t>II- Low powered RCTs, non-</w:t>
            </w:r>
            <w:proofErr w:type="spellStart"/>
            <w:r w:rsidRPr="00F956BF">
              <w:rPr>
                <w:rFonts w:asciiTheme="majorHAnsi" w:hAnsiTheme="majorHAnsi"/>
                <w:color w:val="auto"/>
                <w:sz w:val="18"/>
                <w:szCs w:val="18"/>
              </w:rPr>
              <w:t>randomised</w:t>
            </w:r>
            <w:proofErr w:type="spellEnd"/>
            <w:r w:rsidRPr="00F956BF">
              <w:rPr>
                <w:rFonts w:asciiTheme="majorHAnsi" w:hAnsiTheme="majorHAnsi"/>
                <w:color w:val="auto"/>
                <w:sz w:val="18"/>
                <w:szCs w:val="18"/>
              </w:rPr>
              <w:t xml:space="preserve"> trials, cohort studies.</w:t>
            </w:r>
            <w:r w:rsidRPr="00F956BF">
              <w:rPr>
                <w:rFonts w:asciiTheme="majorHAnsi" w:hAnsiTheme="majorHAnsi"/>
                <w:color w:val="auto"/>
                <w:sz w:val="18"/>
                <w:szCs w:val="18"/>
              </w:rPr>
              <w:br/>
              <w:t>III- Case-control studies.</w:t>
            </w:r>
            <w:r w:rsidRPr="00F956BF">
              <w:rPr>
                <w:rFonts w:asciiTheme="majorHAnsi" w:hAnsiTheme="majorHAnsi"/>
                <w:color w:val="auto"/>
                <w:sz w:val="18"/>
                <w:szCs w:val="18"/>
              </w:rPr>
              <w:br/>
              <w:t>IV- Retrospective studies, case series, descriptive epidemiological studies, controlled trials with bias.</w:t>
            </w:r>
          </w:p>
          <w:p w14:paraId="6BA22CFD" w14:textId="77777777" w:rsidR="002F6442" w:rsidRPr="00F956BF" w:rsidRDefault="002F6442" w:rsidP="00CF1603">
            <w:pPr>
              <w:jc w:val="left"/>
              <w:rPr>
                <w:rFonts w:asciiTheme="majorHAnsi" w:hAnsiTheme="majorHAnsi"/>
                <w:color w:val="auto"/>
                <w:sz w:val="18"/>
                <w:szCs w:val="18"/>
              </w:rPr>
            </w:pPr>
          </w:p>
        </w:tc>
        <w:tc>
          <w:tcPr>
            <w:tcW w:w="834" w:type="pct"/>
            <w:shd w:val="clear" w:color="auto" w:fill="auto"/>
          </w:tcPr>
          <w:p w14:paraId="1C5635B3" w14:textId="312E199A"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Test accuracy: prospective cohort, cross-sectional, retrospective case-control studies. </w:t>
            </w:r>
            <w:r w:rsidRPr="00F956BF">
              <w:rPr>
                <w:rFonts w:asciiTheme="majorHAnsi" w:hAnsiTheme="majorHAnsi"/>
                <w:color w:val="auto"/>
                <w:sz w:val="18"/>
                <w:szCs w:val="18"/>
              </w:rPr>
              <w:br/>
              <w:t>Test side effects: high-quality systematic reviews, RCTs and other comparative designs, cross-sectional, case studies, patient registries</w:t>
            </w:r>
            <w:r w:rsidRPr="00F956BF">
              <w:rPr>
                <w:rFonts w:asciiTheme="majorHAnsi" w:hAnsiTheme="majorHAnsi"/>
                <w:color w:val="auto"/>
                <w:sz w:val="18"/>
                <w:szCs w:val="18"/>
              </w:rPr>
              <w:br/>
              <w:t>Existing models: may be used if appropriate and of high-quality for management and treatment following a diagnosis</w:t>
            </w:r>
            <w:r w:rsidRPr="00F956BF">
              <w:rPr>
                <w:rFonts w:asciiTheme="majorHAnsi" w:hAnsiTheme="majorHAnsi"/>
                <w:color w:val="auto"/>
                <w:sz w:val="18"/>
                <w:szCs w:val="18"/>
              </w:rPr>
              <w:br/>
              <w:t xml:space="preserve">Treatment effectiveness: high-quality systematic reviews, individual RCT or a meta- analysis, other comparative designs </w:t>
            </w:r>
            <w:r w:rsidRPr="00F956BF">
              <w:rPr>
                <w:rFonts w:asciiTheme="majorHAnsi" w:hAnsiTheme="majorHAnsi"/>
                <w:color w:val="auto"/>
                <w:sz w:val="18"/>
                <w:szCs w:val="18"/>
              </w:rPr>
              <w:br/>
              <w:t xml:space="preserve">Care management: Clinical guidelines from NICE and other </w:t>
            </w:r>
            <w:proofErr w:type="spellStart"/>
            <w:r w:rsidRPr="00F956BF">
              <w:rPr>
                <w:rFonts w:asciiTheme="majorHAnsi" w:hAnsiTheme="majorHAnsi"/>
                <w:color w:val="auto"/>
                <w:sz w:val="18"/>
                <w:szCs w:val="18"/>
              </w:rPr>
              <w:t>organisations</w:t>
            </w:r>
            <w:proofErr w:type="spellEnd"/>
            <w:r w:rsidRPr="00F956BF">
              <w:rPr>
                <w:rFonts w:asciiTheme="majorHAnsi" w:hAnsiTheme="majorHAnsi"/>
                <w:color w:val="auto"/>
                <w:sz w:val="18"/>
                <w:szCs w:val="18"/>
              </w:rPr>
              <w:t>, diagnostic before- and-after studies, expert clinical input</w:t>
            </w:r>
          </w:p>
          <w:p w14:paraId="3256C854"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Manual acknowledges that end to end studies are rarely available for diagnostic technologies and encourages inclusion of all evidence types and the application of a linked evidence approach where appropriate.</w:t>
            </w:r>
          </w:p>
        </w:tc>
        <w:tc>
          <w:tcPr>
            <w:tcW w:w="833" w:type="pct"/>
          </w:tcPr>
          <w:p w14:paraId="4650101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Primary clinical research or secondary research (such as evidence synthesis, network meta-analysis, modelling studies).</w:t>
            </w:r>
          </w:p>
          <w:p w14:paraId="0886FAF6" w14:textId="77777777" w:rsidR="002F6442" w:rsidRPr="00F956BF" w:rsidRDefault="002F6442" w:rsidP="00CF1603">
            <w:pPr>
              <w:jc w:val="left"/>
              <w:rPr>
                <w:rFonts w:asciiTheme="majorHAnsi" w:hAnsiTheme="majorHAnsi"/>
                <w:color w:val="auto"/>
                <w:sz w:val="18"/>
                <w:szCs w:val="18"/>
              </w:rPr>
            </w:pPr>
          </w:p>
          <w:p w14:paraId="3D565B5A" w14:textId="77777777" w:rsidR="002F6442" w:rsidRPr="00F956BF" w:rsidRDefault="002F6442" w:rsidP="00CF1603">
            <w:pPr>
              <w:jc w:val="left"/>
              <w:rPr>
                <w:rFonts w:asciiTheme="majorHAnsi" w:hAnsiTheme="majorHAnsi"/>
                <w:color w:val="auto"/>
                <w:sz w:val="18"/>
                <w:szCs w:val="18"/>
              </w:rPr>
            </w:pPr>
          </w:p>
        </w:tc>
        <w:tc>
          <w:tcPr>
            <w:tcW w:w="834" w:type="pct"/>
          </w:tcPr>
          <w:p w14:paraId="34FB5713"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Study design: meta-analysis, RCTs, non-</w:t>
            </w:r>
            <w:proofErr w:type="spellStart"/>
            <w:r w:rsidRPr="00F956BF">
              <w:rPr>
                <w:rFonts w:asciiTheme="majorHAnsi" w:hAnsiTheme="majorHAnsi"/>
                <w:color w:val="auto"/>
                <w:sz w:val="18"/>
                <w:szCs w:val="18"/>
              </w:rPr>
              <w:t>randomised</w:t>
            </w:r>
            <w:proofErr w:type="spellEnd"/>
            <w:r w:rsidRPr="00F956BF">
              <w:rPr>
                <w:rFonts w:asciiTheme="majorHAnsi" w:hAnsiTheme="majorHAnsi"/>
                <w:color w:val="auto"/>
                <w:sz w:val="18"/>
                <w:szCs w:val="18"/>
              </w:rPr>
              <w:t xml:space="preserve"> controlled trials and case series studies the main sources of data if RCTs not available.</w:t>
            </w:r>
            <w:r w:rsidRPr="00F956BF">
              <w:rPr>
                <w:rFonts w:asciiTheme="majorHAnsi" w:hAnsiTheme="majorHAnsi"/>
                <w:color w:val="auto"/>
                <w:sz w:val="18"/>
                <w:szCs w:val="18"/>
              </w:rPr>
              <w:br/>
              <w:t>Study size: priority for highest number of participants</w:t>
            </w:r>
            <w:r w:rsidRPr="00F956BF">
              <w:rPr>
                <w:rFonts w:asciiTheme="majorHAnsi" w:hAnsiTheme="majorHAnsi"/>
                <w:color w:val="auto"/>
                <w:sz w:val="18"/>
                <w:szCs w:val="18"/>
              </w:rPr>
              <w:br/>
              <w:t>Follow-Up: priority for longer and more complete follow up</w:t>
            </w:r>
          </w:p>
        </w:tc>
        <w:tc>
          <w:tcPr>
            <w:tcW w:w="833" w:type="pct"/>
          </w:tcPr>
          <w:p w14:paraId="29484367" w14:textId="479E8C5F" w:rsidR="002F6442" w:rsidRPr="00F956BF" w:rsidRDefault="002F6442" w:rsidP="00C75A32">
            <w:pPr>
              <w:jc w:val="left"/>
              <w:rPr>
                <w:rFonts w:asciiTheme="majorHAnsi" w:hAnsiTheme="majorHAnsi"/>
                <w:color w:val="auto"/>
                <w:sz w:val="18"/>
                <w:szCs w:val="18"/>
              </w:rPr>
            </w:pPr>
            <w:r w:rsidRPr="00F956BF">
              <w:rPr>
                <w:rFonts w:asciiTheme="majorHAnsi" w:hAnsiTheme="majorHAnsi"/>
                <w:color w:val="auto"/>
                <w:sz w:val="18"/>
                <w:szCs w:val="18"/>
              </w:rPr>
              <w:t>Direct Evidence: RCTs of high-quality, sufficiently long duration. Non-</w:t>
            </w:r>
            <w:proofErr w:type="spellStart"/>
            <w:r w:rsidRPr="00F956BF">
              <w:rPr>
                <w:rFonts w:asciiTheme="majorHAnsi" w:hAnsiTheme="majorHAnsi"/>
                <w:color w:val="auto"/>
                <w:sz w:val="18"/>
                <w:szCs w:val="18"/>
              </w:rPr>
              <w:t>randomised</w:t>
            </w:r>
            <w:proofErr w:type="spellEnd"/>
            <w:r w:rsidRPr="00F956BF">
              <w:rPr>
                <w:rFonts w:asciiTheme="majorHAnsi" w:hAnsiTheme="majorHAnsi"/>
                <w:color w:val="auto"/>
                <w:sz w:val="18"/>
                <w:szCs w:val="18"/>
              </w:rPr>
              <w:t xml:space="preserve"> comparative study, cohort study or similar may be accepted in the absence of RCTs.</w:t>
            </w:r>
            <w:r w:rsidRPr="00F956BF">
              <w:rPr>
                <w:rFonts w:asciiTheme="majorHAnsi" w:hAnsiTheme="majorHAnsi"/>
                <w:color w:val="auto"/>
                <w:sz w:val="18"/>
                <w:szCs w:val="18"/>
              </w:rPr>
              <w:br/>
            </w:r>
            <w:r w:rsidRPr="00F956BF">
              <w:rPr>
                <w:rFonts w:asciiTheme="majorHAnsi" w:hAnsiTheme="majorHAnsi"/>
                <w:color w:val="auto"/>
                <w:sz w:val="18"/>
                <w:szCs w:val="18"/>
              </w:rPr>
              <w:br/>
              <w:t>Indirect Evidence: Application of a comparative analysis framework.</w:t>
            </w:r>
          </w:p>
        </w:tc>
        <w:tc>
          <w:tcPr>
            <w:tcW w:w="833" w:type="pct"/>
          </w:tcPr>
          <w:p w14:paraId="15D20F53" w14:textId="57354A63" w:rsidR="002F6442" w:rsidRPr="00F956BF" w:rsidRDefault="002F6442" w:rsidP="00C12E48">
            <w:pPr>
              <w:spacing w:after="0"/>
              <w:jc w:val="left"/>
              <w:rPr>
                <w:rFonts w:asciiTheme="majorHAnsi" w:hAnsiTheme="majorHAnsi"/>
                <w:color w:val="auto"/>
                <w:sz w:val="18"/>
                <w:szCs w:val="18"/>
              </w:rPr>
            </w:pPr>
            <w:r w:rsidRPr="00F956BF">
              <w:rPr>
                <w:rFonts w:asciiTheme="majorHAnsi" w:hAnsiTheme="majorHAnsi"/>
                <w:color w:val="auto"/>
                <w:sz w:val="18"/>
                <w:szCs w:val="18"/>
              </w:rPr>
              <w:t xml:space="preserve">The most appropriate study design to evaluate the impact of a </w:t>
            </w:r>
            <w:r w:rsidR="00C12E48" w:rsidRPr="00F956BF">
              <w:rPr>
                <w:rFonts w:asciiTheme="majorHAnsi" w:hAnsiTheme="majorHAnsi"/>
                <w:color w:val="auto"/>
                <w:sz w:val="18"/>
                <w:szCs w:val="18"/>
              </w:rPr>
              <w:t>bio-marker test on clinical man</w:t>
            </w:r>
            <w:r w:rsidRPr="00F956BF">
              <w:rPr>
                <w:rFonts w:asciiTheme="majorHAnsi" w:hAnsiTheme="majorHAnsi"/>
                <w:color w:val="auto"/>
                <w:sz w:val="18"/>
                <w:szCs w:val="18"/>
              </w:rPr>
              <w:t xml:space="preserve">agement effects and health outcomes is a RCT. </w:t>
            </w:r>
          </w:p>
          <w:p w14:paraId="60EAF127" w14:textId="0FD314D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The assessment of biomarkers does not necessarily include a classical intervention research question, but instead may include questions on prognosis or diagnostic accuracy, depending on the context of use. For some of these questions the only evidence feasible and/or ethical will be from observational studies and different evidence hierarchies may apply: e.g. from NHMRC and the Oxford Centre for EBM, which should be considered when </w:t>
            </w:r>
            <w:proofErr w:type="spellStart"/>
            <w:r w:rsidRPr="00F956BF">
              <w:rPr>
                <w:rFonts w:asciiTheme="majorHAnsi" w:hAnsiTheme="majorHAnsi"/>
                <w:color w:val="auto"/>
                <w:sz w:val="18"/>
                <w:szCs w:val="18"/>
              </w:rPr>
              <w:t>prioritising</w:t>
            </w:r>
            <w:proofErr w:type="spellEnd"/>
            <w:r w:rsidRPr="00F956BF">
              <w:rPr>
                <w:rFonts w:asciiTheme="majorHAnsi" w:hAnsiTheme="majorHAnsi"/>
                <w:color w:val="auto"/>
                <w:sz w:val="18"/>
                <w:szCs w:val="18"/>
              </w:rPr>
              <w:t xml:space="preserve"> available evidence.</w:t>
            </w:r>
          </w:p>
          <w:p w14:paraId="17622AF4" w14:textId="1BAC044F"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Diagnostic accuracy studies are cross-sectional by nature. Study designs are differentiated in ‘single-gate’ (diagnostic cohort study) and ‘two-gates’ (diagnostic case-control studies) studies (Table 5.2-1, p.24 for the Evidence hierarchies by research questions).</w:t>
            </w:r>
          </w:p>
        </w:tc>
      </w:tr>
      <w:tr w:rsidR="00985031" w:rsidRPr="00F956BF" w14:paraId="256B1EDB" w14:textId="77777777" w:rsidTr="00985031">
        <w:tc>
          <w:tcPr>
            <w:tcW w:w="5000" w:type="pct"/>
            <w:gridSpan w:val="6"/>
            <w:shd w:val="clear" w:color="auto" w:fill="auto"/>
          </w:tcPr>
          <w:p w14:paraId="24D89F7C" w14:textId="1815EC9E"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 xml:space="preserve">c) What sources are used to identify the evidence (databases, registries, specific websites, </w:t>
            </w:r>
            <w:proofErr w:type="gramStart"/>
            <w:r w:rsidRPr="00F956BF">
              <w:rPr>
                <w:rFonts w:asciiTheme="majorHAnsi" w:hAnsiTheme="majorHAnsi"/>
                <w:b/>
                <w:color w:val="auto"/>
                <w:sz w:val="18"/>
                <w:szCs w:val="18"/>
              </w:rPr>
              <w:t>grey</w:t>
            </w:r>
            <w:proofErr w:type="gramEnd"/>
            <w:r w:rsidRPr="00F956BF">
              <w:rPr>
                <w:rFonts w:asciiTheme="majorHAnsi" w:hAnsiTheme="majorHAnsi"/>
                <w:b/>
                <w:color w:val="auto"/>
                <w:sz w:val="18"/>
                <w:szCs w:val="18"/>
              </w:rPr>
              <w:t xml:space="preserve"> literature)?</w:t>
            </w:r>
          </w:p>
        </w:tc>
      </w:tr>
      <w:tr w:rsidR="002F6442" w:rsidRPr="00F956BF" w14:paraId="1A38F0A4" w14:textId="77777777" w:rsidTr="00985031">
        <w:tc>
          <w:tcPr>
            <w:tcW w:w="833" w:type="pct"/>
            <w:shd w:val="clear" w:color="auto" w:fill="auto"/>
          </w:tcPr>
          <w:p w14:paraId="648B3F7C"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Medical and scientific literature databases published national and international clinical practice guidelines, consensus conferences, systematic reviews, meta-analyses and other assessments; relevant websites (government agencies, learned societies etc.); grey literature and relevant legislative and regulatory texts</w:t>
            </w:r>
            <w:r w:rsidRPr="00F956BF">
              <w:rPr>
                <w:rFonts w:asciiTheme="majorHAnsi" w:hAnsiTheme="majorHAnsi"/>
                <w:color w:val="auto"/>
                <w:sz w:val="18"/>
                <w:szCs w:val="18"/>
              </w:rPr>
              <w:br/>
            </w:r>
          </w:p>
        </w:tc>
        <w:tc>
          <w:tcPr>
            <w:tcW w:w="834" w:type="pct"/>
            <w:shd w:val="clear" w:color="auto" w:fill="auto"/>
          </w:tcPr>
          <w:p w14:paraId="4D0F6FC8"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Literature databases and specialist databases (e.g. MEDION, ARIF, DARE), unpublished data (from manufacturers and experts), bibliographies of identified studies, conference abstracts</w:t>
            </w:r>
          </w:p>
        </w:tc>
        <w:tc>
          <w:tcPr>
            <w:tcW w:w="833" w:type="pct"/>
          </w:tcPr>
          <w:p w14:paraId="0D6C797B" w14:textId="5CCC24B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Published evidence: A range of medical literature databases, including primary research databases; registers or databases of systematic reviews; meta-analyses and technology assessment evaluations; registers or databases of ongoing clinical trials; and conference proceedings.</w:t>
            </w:r>
          </w:p>
          <w:p w14:paraId="7E582A3F" w14:textId="1EA858F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Unpublished evidence sources: as part of submission; identified by External Assessment Centre (e.g. professional or manufacturer-sponsored registers)</w:t>
            </w:r>
          </w:p>
          <w:p w14:paraId="1759BFD4" w14:textId="6BB29FFB"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Contributions from expert adviser, patient groups.</w:t>
            </w:r>
          </w:p>
        </w:tc>
        <w:tc>
          <w:tcPr>
            <w:tcW w:w="834" w:type="pct"/>
          </w:tcPr>
          <w:p w14:paraId="30685638" w14:textId="3B68E9B2"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Published and unpublished evidence</w:t>
            </w:r>
          </w:p>
          <w:p w14:paraId="2DC05F69"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Sources for evidence from systematic reviews and health technology assessments (e.g. DARE), primary research evidence (e.g. CENTRAL), ongoing research databases (e.g. National Research Register), conference proceedings</w:t>
            </w:r>
          </w:p>
        </w:tc>
        <w:tc>
          <w:tcPr>
            <w:tcW w:w="833" w:type="pct"/>
          </w:tcPr>
          <w:p w14:paraId="48191A68" w14:textId="4649DC9D"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p w14:paraId="0616EAC4" w14:textId="77777777" w:rsidR="002F6442" w:rsidRPr="00F956BF" w:rsidRDefault="002F6442" w:rsidP="00CF1603">
            <w:pPr>
              <w:jc w:val="left"/>
              <w:rPr>
                <w:rFonts w:asciiTheme="majorHAnsi" w:hAnsiTheme="majorHAnsi"/>
                <w:color w:val="auto"/>
                <w:sz w:val="18"/>
                <w:szCs w:val="18"/>
              </w:rPr>
            </w:pPr>
          </w:p>
        </w:tc>
        <w:tc>
          <w:tcPr>
            <w:tcW w:w="833" w:type="pct"/>
          </w:tcPr>
          <w:p w14:paraId="61D01D86" w14:textId="25227B3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Challenges associated with literature search for medical tests:</w:t>
            </w:r>
          </w:p>
          <w:p w14:paraId="0809874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1. Due to still underdeveloped indexing and reporting of studies of diagnostic tests, literature search should not rely (exclusively) on diagnostic search filters, in particular these filters are inappropriate for systematic review of clinical effectiveness.</w:t>
            </w:r>
          </w:p>
          <w:p w14:paraId="5D7E7256" w14:textId="1FD9BE68"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2. If the name(s) of the diagnostic test(s) relevant for the research question is not known, search strategies should capture the ‘concept of diagnostic tests’</w:t>
            </w:r>
          </w:p>
          <w:p w14:paraId="56F543DA" w14:textId="5098E6AF"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3. To identify all studies for a systematic review, searches should include text words (not subject headings alone) and be combined with hand search including additional sources of information: </w:t>
            </w:r>
            <w:proofErr w:type="spellStart"/>
            <w:r w:rsidRPr="00F956BF">
              <w:rPr>
                <w:rFonts w:asciiTheme="majorHAnsi" w:hAnsiTheme="majorHAnsi"/>
                <w:color w:val="auto"/>
                <w:sz w:val="18"/>
                <w:szCs w:val="18"/>
              </w:rPr>
              <w:t>specialised</w:t>
            </w:r>
            <w:proofErr w:type="spellEnd"/>
            <w:r w:rsidRPr="00F956BF">
              <w:rPr>
                <w:rFonts w:asciiTheme="majorHAnsi" w:hAnsiTheme="majorHAnsi"/>
                <w:color w:val="auto"/>
                <w:sz w:val="18"/>
                <w:szCs w:val="18"/>
              </w:rPr>
              <w:t xml:space="preserve"> databases, citation tracking and regulatory documents).</w:t>
            </w:r>
          </w:p>
        </w:tc>
      </w:tr>
      <w:tr w:rsidR="00985031" w:rsidRPr="00F956BF" w14:paraId="5040F41C" w14:textId="77777777" w:rsidTr="00985031">
        <w:tc>
          <w:tcPr>
            <w:tcW w:w="5000" w:type="pct"/>
            <w:gridSpan w:val="6"/>
            <w:shd w:val="clear" w:color="auto" w:fill="auto"/>
          </w:tcPr>
          <w:p w14:paraId="0977B3FF" w14:textId="0DA4ABD5"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d) Are there specific requirements as to the endpoints included for assessment?</w:t>
            </w:r>
          </w:p>
        </w:tc>
      </w:tr>
      <w:tr w:rsidR="002F6442" w:rsidRPr="00F956BF" w14:paraId="270A2812" w14:textId="77777777" w:rsidTr="00985031">
        <w:tc>
          <w:tcPr>
            <w:tcW w:w="833" w:type="pct"/>
            <w:shd w:val="clear" w:color="auto" w:fill="auto"/>
          </w:tcPr>
          <w:p w14:paraId="43393C1B" w14:textId="1AA14B01" w:rsidR="002F6442" w:rsidRPr="00F956BF" w:rsidRDefault="002F6442" w:rsidP="00C828FA">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05C3AEA8"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All health outcomes resulting directly or indirectly from the use of the test, informational outcomes of value to the patient. Longer-term outcomes in most cases. All costs stemming from the use of the test should be included.</w:t>
            </w:r>
          </w:p>
        </w:tc>
        <w:tc>
          <w:tcPr>
            <w:tcW w:w="833" w:type="pct"/>
          </w:tcPr>
          <w:p w14:paraId="3F100426"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Analysis of indirect and intermediate clinical and system outcomes.</w:t>
            </w:r>
          </w:p>
          <w:p w14:paraId="647C0A95"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If not available in full, appropriate modelling of outcomes may be submitted and should be reflected in the cost analysis.</w:t>
            </w:r>
          </w:p>
        </w:tc>
        <w:tc>
          <w:tcPr>
            <w:tcW w:w="834" w:type="pct"/>
          </w:tcPr>
          <w:p w14:paraId="05AEDBBC"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Patient-focused outcomes (survival, morbidity, quality of life) prioritized over surrogates. Safety outcomes (SAE, etc.) to be included and searched for.</w:t>
            </w:r>
          </w:p>
        </w:tc>
        <w:tc>
          <w:tcPr>
            <w:tcW w:w="833" w:type="pct"/>
          </w:tcPr>
          <w:p w14:paraId="7ED6DF6C" w14:textId="17835D28"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Intrinsic value of medical tests and their consequences for the health of patients.</w:t>
            </w:r>
          </w:p>
          <w:p w14:paraId="3A3685C8" w14:textId="14E95238"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Test-plus-treatment-strategy expressed in health outcomes and data on the analytical and diagnostic accuracy of the test.</w:t>
            </w:r>
          </w:p>
        </w:tc>
        <w:tc>
          <w:tcPr>
            <w:tcW w:w="833" w:type="pct"/>
          </w:tcPr>
          <w:p w14:paraId="2366F926" w14:textId="476BE76C"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Accurate diagnosis is a prerequisite for a successful therapy, but it should not be seen in isolation.</w:t>
            </w:r>
          </w:p>
          <w:p w14:paraId="4D469505" w14:textId="119A0695"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Benefit to patients resulting from diagnosis should be measured in patient-relevant outcomes, such as survival (mortality), clinical events, adverse events, patient-reported outcomes (health related quality of life), activity and function.</w:t>
            </w:r>
          </w:p>
          <w:p w14:paraId="3B005333" w14:textId="5CFB4EA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Based on the analytical framework developed, the reviewer should first explore all outcomes resulting from embedment of the test in the testing and treatment strategy in comparison to clinical practice without the test.</w:t>
            </w:r>
          </w:p>
          <w:p w14:paraId="676BC1FB" w14:textId="13412CD8" w:rsidR="002F6442" w:rsidRPr="00F956BF" w:rsidRDefault="002F6442" w:rsidP="00F46E2A">
            <w:pPr>
              <w:jc w:val="left"/>
              <w:rPr>
                <w:rFonts w:asciiTheme="majorHAnsi" w:hAnsiTheme="majorHAnsi"/>
                <w:color w:val="auto"/>
                <w:sz w:val="18"/>
                <w:szCs w:val="18"/>
              </w:rPr>
            </w:pPr>
            <w:r w:rsidRPr="00F956BF">
              <w:rPr>
                <w:rFonts w:asciiTheme="majorHAnsi" w:hAnsiTheme="majorHAnsi"/>
                <w:color w:val="auto"/>
                <w:sz w:val="18"/>
                <w:szCs w:val="18"/>
              </w:rPr>
              <w:t>Reviewers should then make a careful selection of the relevant outcomes both to the process of testing and to the results of the test by mapping them according to the following categories: Clinical management effects due to testing; Direct health effects of testing; Emotional, social, cognitive, behavioral responses to testing; Legal and ethical effects of testing.</w:t>
            </w:r>
          </w:p>
          <w:p w14:paraId="09084811" w14:textId="3551EAED" w:rsidR="00985031"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 decision which outcomes are relevant for a review depends on the type of test under review and on the needs of the stakeholders of the study. As a consequence the prioritization of the relevant outcomes should involve t</w:t>
            </w:r>
            <w:r w:rsidR="003B4A28">
              <w:rPr>
                <w:rFonts w:asciiTheme="majorHAnsi" w:hAnsiTheme="majorHAnsi"/>
                <w:color w:val="auto"/>
                <w:sz w:val="18"/>
                <w:szCs w:val="18"/>
              </w:rPr>
              <w:t>he commissioner of the study.</w:t>
            </w:r>
          </w:p>
          <w:p w14:paraId="3C60821E" w14:textId="22AE563C"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outcomes are decisive only if they differ between current and new testing and treatment strategy.</w:t>
            </w:r>
          </w:p>
          <w:p w14:paraId="5D6C83D3" w14:textId="299ED10F"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outcomes should explicitly be rated by importance a priori.</w:t>
            </w:r>
          </w:p>
        </w:tc>
      </w:tr>
      <w:tr w:rsidR="00985031" w:rsidRPr="00F956BF" w14:paraId="2A1A5243" w14:textId="77777777" w:rsidTr="00985031">
        <w:tc>
          <w:tcPr>
            <w:tcW w:w="5000" w:type="pct"/>
            <w:gridSpan w:val="6"/>
            <w:shd w:val="clear" w:color="auto" w:fill="auto"/>
          </w:tcPr>
          <w:p w14:paraId="0DE52071" w14:textId="1DC17C2F"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e) Are there specifications as to the comparators to be included?</w:t>
            </w:r>
          </w:p>
        </w:tc>
      </w:tr>
      <w:tr w:rsidR="002F6442" w:rsidRPr="00F956BF" w14:paraId="7868324C" w14:textId="77777777" w:rsidTr="00985031">
        <w:tc>
          <w:tcPr>
            <w:tcW w:w="833" w:type="pct"/>
            <w:shd w:val="clear" w:color="auto" w:fill="auto"/>
          </w:tcPr>
          <w:p w14:paraId="7FC2B121" w14:textId="2A3D2959" w:rsidR="002F6442" w:rsidRPr="00F956BF" w:rsidRDefault="002F6442" w:rsidP="00C828FA">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6B12498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comparator or comparators are the technologies or tests that are most commonly used or are recommended in current NICE guidance for the functions in the evaluation. There may be multiple tests or variants or test sequences in common use and all are included as comparators.</w:t>
            </w:r>
          </w:p>
          <w:p w14:paraId="379BBAB4" w14:textId="77777777" w:rsidR="002F6442" w:rsidRPr="00F956BF" w:rsidRDefault="002F6442" w:rsidP="00CF1603">
            <w:pPr>
              <w:jc w:val="left"/>
              <w:rPr>
                <w:rFonts w:asciiTheme="majorHAnsi" w:hAnsiTheme="majorHAnsi"/>
                <w:color w:val="auto"/>
                <w:sz w:val="18"/>
                <w:szCs w:val="18"/>
              </w:rPr>
            </w:pPr>
          </w:p>
        </w:tc>
        <w:tc>
          <w:tcPr>
            <w:tcW w:w="833" w:type="pct"/>
          </w:tcPr>
          <w:p w14:paraId="6C564C34"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standard intervention against which the technology under evaluation is compared. The comparator is usually a similar or equivalent technology used as part of current management. The comparator can be no intervention.</w:t>
            </w:r>
          </w:p>
        </w:tc>
        <w:tc>
          <w:tcPr>
            <w:tcW w:w="834" w:type="pct"/>
          </w:tcPr>
          <w:p w14:paraId="7C9EB3C5" w14:textId="054C14CC"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preferred comparator is the best standard treatment (rarely available for emerging interventional procedures). Depending on the circumstances, either active treatment or sham (placebo) is the preferred standard in assessing the efficacy and safety of a procedure.</w:t>
            </w:r>
          </w:p>
          <w:p w14:paraId="0EEE7427" w14:textId="08EB27C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Sometimes all of the evidence for a given procedure relates to non-comparative studies. In these circumstances, selected evidence of likely comparator procedures may be presented. No available comparators: key aspects of natural history (such as survival rates at different time intervals if untreated) may be presented.</w:t>
            </w:r>
          </w:p>
        </w:tc>
        <w:tc>
          <w:tcPr>
            <w:tcW w:w="833" w:type="pct"/>
          </w:tcPr>
          <w:p w14:paraId="061893CF" w14:textId="52C67AD3"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Comparative test-plus-treatment-strategy (the current best/usual strategy).</w:t>
            </w:r>
          </w:p>
          <w:p w14:paraId="77EB304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All advantageous and disadvantageous differences between both strategies determine the efficacy of the new test.</w:t>
            </w:r>
          </w:p>
        </w:tc>
        <w:tc>
          <w:tcPr>
            <w:tcW w:w="833" w:type="pct"/>
          </w:tcPr>
          <w:p w14:paraId="72488EFE" w14:textId="5FE557F3"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Comparator in reviews of medical tests is the current test and treatment strategy, i.e. the sequence of tests, patient management decisions and treatments.</w:t>
            </w:r>
          </w:p>
          <w:p w14:paraId="7C6BE9AE" w14:textId="769C014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In diagnostic accuracy studies, the comparison of a new and an existing test may be direct: in fully paired direct comparisons, where all participants receive the index test and one or more comparator tests. As an alternative participants may be randomly allocated to receive the index or the comparator tes</w:t>
            </w:r>
            <w:r w:rsidR="00C12E48">
              <w:rPr>
                <w:rFonts w:asciiTheme="majorHAnsi" w:hAnsiTheme="majorHAnsi"/>
                <w:color w:val="auto"/>
                <w:sz w:val="18"/>
                <w:szCs w:val="18"/>
              </w:rPr>
              <w:t>t</w:t>
            </w:r>
            <w:r w:rsidRPr="00F956BF">
              <w:rPr>
                <w:rFonts w:asciiTheme="majorHAnsi" w:hAnsiTheme="majorHAnsi"/>
                <w:color w:val="auto"/>
                <w:sz w:val="18"/>
                <w:szCs w:val="18"/>
              </w:rPr>
              <w:t xml:space="preserve">. </w:t>
            </w:r>
          </w:p>
          <w:p w14:paraId="4A8F5978" w14:textId="5638D57D" w:rsidR="002F6442" w:rsidRPr="00F956BF" w:rsidRDefault="002F6442" w:rsidP="00C12E48">
            <w:pPr>
              <w:spacing w:after="0"/>
              <w:jc w:val="left"/>
              <w:rPr>
                <w:rFonts w:asciiTheme="majorHAnsi" w:hAnsiTheme="majorHAnsi"/>
                <w:color w:val="auto"/>
                <w:sz w:val="18"/>
                <w:szCs w:val="18"/>
              </w:rPr>
            </w:pPr>
            <w:r w:rsidRPr="00F956BF">
              <w:rPr>
                <w:rFonts w:asciiTheme="majorHAnsi" w:hAnsiTheme="majorHAnsi"/>
                <w:color w:val="auto"/>
                <w:sz w:val="18"/>
                <w:szCs w:val="18"/>
              </w:rPr>
              <w:t>The comparison is indirect, if the estimates of diagnostic accuracy from different</w:t>
            </w:r>
            <w:r w:rsidR="00F956BF">
              <w:rPr>
                <w:rFonts w:asciiTheme="majorHAnsi" w:hAnsiTheme="majorHAnsi"/>
                <w:color w:val="auto"/>
                <w:sz w:val="18"/>
                <w:szCs w:val="18"/>
              </w:rPr>
              <w:t xml:space="preserve"> study populations are compared.</w:t>
            </w:r>
          </w:p>
        </w:tc>
      </w:tr>
      <w:tr w:rsidR="00985031" w:rsidRPr="00F956BF" w14:paraId="0A186EC1" w14:textId="77777777" w:rsidTr="00F956BF">
        <w:tc>
          <w:tcPr>
            <w:tcW w:w="5000" w:type="pct"/>
            <w:gridSpan w:val="6"/>
            <w:shd w:val="clear" w:color="auto" w:fill="F2F2F2" w:themeFill="background1" w:themeFillShade="F2"/>
          </w:tcPr>
          <w:p w14:paraId="1566214E" w14:textId="25C2C91C" w:rsidR="00985031" w:rsidRPr="00F956BF" w:rsidRDefault="00985031" w:rsidP="00DA70FB">
            <w:pPr>
              <w:jc w:val="left"/>
              <w:rPr>
                <w:rFonts w:asciiTheme="majorHAnsi" w:hAnsiTheme="majorHAnsi"/>
                <w:color w:val="auto"/>
                <w:sz w:val="18"/>
                <w:szCs w:val="18"/>
              </w:rPr>
            </w:pPr>
            <w:r w:rsidRPr="00F956BF">
              <w:rPr>
                <w:rFonts w:asciiTheme="majorHAnsi" w:hAnsiTheme="majorHAnsi"/>
                <w:b/>
                <w:color w:val="auto"/>
                <w:sz w:val="18"/>
                <w:szCs w:val="18"/>
              </w:rPr>
              <w:t>3. Evidence Appraisal</w:t>
            </w:r>
          </w:p>
        </w:tc>
      </w:tr>
      <w:tr w:rsidR="00985031" w:rsidRPr="00F956BF" w14:paraId="6063B3A4" w14:textId="77777777" w:rsidTr="00985031">
        <w:tc>
          <w:tcPr>
            <w:tcW w:w="5000" w:type="pct"/>
            <w:gridSpan w:val="6"/>
            <w:shd w:val="clear" w:color="auto" w:fill="auto"/>
          </w:tcPr>
          <w:p w14:paraId="6B66C36A" w14:textId="55249378" w:rsidR="00985031" w:rsidRPr="00F956BF" w:rsidRDefault="00985031" w:rsidP="00DA70FB">
            <w:pPr>
              <w:jc w:val="left"/>
              <w:rPr>
                <w:rFonts w:asciiTheme="majorHAnsi" w:hAnsiTheme="majorHAnsi"/>
                <w:color w:val="auto"/>
                <w:sz w:val="18"/>
                <w:szCs w:val="18"/>
              </w:rPr>
            </w:pPr>
            <w:r w:rsidRPr="00F956BF">
              <w:rPr>
                <w:rFonts w:asciiTheme="majorHAnsi" w:hAnsiTheme="majorHAnsi"/>
                <w:b/>
                <w:color w:val="auto"/>
                <w:sz w:val="18"/>
                <w:szCs w:val="18"/>
              </w:rPr>
              <w:t>Is the evidence critically appraised before conclusions are drawn? If so, are there specific tools used?</w:t>
            </w:r>
          </w:p>
        </w:tc>
      </w:tr>
      <w:tr w:rsidR="002F6442" w:rsidRPr="00F956BF" w14:paraId="584B13AF" w14:textId="77777777" w:rsidTr="00985031">
        <w:tc>
          <w:tcPr>
            <w:tcW w:w="833" w:type="pct"/>
            <w:shd w:val="clear" w:color="auto" w:fill="auto"/>
          </w:tcPr>
          <w:p w14:paraId="43B7C95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each article selected is reviewed according to the principles of critical appraisal of the literature using checklists. A level of scientific evidence (HAS grading scheme) is allocated to each study.</w:t>
            </w:r>
          </w:p>
        </w:tc>
        <w:tc>
          <w:tcPr>
            <w:tcW w:w="834" w:type="pct"/>
            <w:shd w:val="clear" w:color="auto" w:fill="auto"/>
          </w:tcPr>
          <w:p w14:paraId="7CB3D75C"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the critical appraisal is done by the External Assessment Group (EAG) when preparing the Diagnostics Assessment report.</w:t>
            </w:r>
          </w:p>
          <w:p w14:paraId="1A59CC93"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DAP </w:t>
            </w:r>
            <w:proofErr w:type="spellStart"/>
            <w:r w:rsidRPr="00F956BF">
              <w:rPr>
                <w:rFonts w:asciiTheme="majorHAnsi" w:hAnsiTheme="majorHAnsi"/>
                <w:color w:val="auto"/>
                <w:sz w:val="18"/>
                <w:szCs w:val="18"/>
              </w:rPr>
              <w:t>Programme</w:t>
            </w:r>
            <w:proofErr w:type="spellEnd"/>
            <w:r w:rsidRPr="00F956BF">
              <w:rPr>
                <w:rFonts w:asciiTheme="majorHAnsi" w:hAnsiTheme="majorHAnsi"/>
                <w:color w:val="auto"/>
                <w:sz w:val="18"/>
                <w:szCs w:val="18"/>
              </w:rPr>
              <w:t xml:space="preserve"> Manual recommends the use of QUADAS (or a modified version).</w:t>
            </w:r>
          </w:p>
          <w:p w14:paraId="0209E977" w14:textId="77777777" w:rsidR="002F6442" w:rsidRPr="00F956BF" w:rsidRDefault="002F6442" w:rsidP="00CF1603">
            <w:pPr>
              <w:jc w:val="left"/>
              <w:rPr>
                <w:rFonts w:asciiTheme="majorHAnsi" w:hAnsiTheme="majorHAnsi"/>
                <w:color w:val="auto"/>
                <w:sz w:val="18"/>
                <w:szCs w:val="18"/>
              </w:rPr>
            </w:pPr>
          </w:p>
        </w:tc>
        <w:tc>
          <w:tcPr>
            <w:tcW w:w="833" w:type="pct"/>
          </w:tcPr>
          <w:p w14:paraId="514E2756"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Yes; a detailed analysis and critical appraisal of the submission in the form of an assessment report is done by External Assessment Center. Guidance document includes Committee’s recommendations and considerations, including key evidence taken into account by the Committee, its view of this evidence, and the areas of contention and uncertainty that arose during the discussions as well as contributions from expert advisers and patient and </w:t>
            </w:r>
            <w:proofErr w:type="spellStart"/>
            <w:r w:rsidRPr="00F956BF">
              <w:rPr>
                <w:rFonts w:asciiTheme="majorHAnsi" w:hAnsiTheme="majorHAnsi"/>
                <w:color w:val="auto"/>
                <w:sz w:val="18"/>
                <w:szCs w:val="18"/>
              </w:rPr>
              <w:t>carer</w:t>
            </w:r>
            <w:proofErr w:type="spellEnd"/>
            <w:r w:rsidRPr="00F956BF">
              <w:rPr>
                <w:rFonts w:asciiTheme="majorHAnsi" w:hAnsiTheme="majorHAnsi"/>
                <w:color w:val="auto"/>
                <w:sz w:val="18"/>
                <w:szCs w:val="18"/>
              </w:rPr>
              <w:t xml:space="preserve"> </w:t>
            </w:r>
            <w:proofErr w:type="spellStart"/>
            <w:r w:rsidRPr="00F956BF">
              <w:rPr>
                <w:rFonts w:asciiTheme="majorHAnsi" w:hAnsiTheme="majorHAnsi"/>
                <w:color w:val="auto"/>
                <w:sz w:val="18"/>
                <w:szCs w:val="18"/>
              </w:rPr>
              <w:t>organisations</w:t>
            </w:r>
            <w:proofErr w:type="spellEnd"/>
            <w:r w:rsidRPr="00F956BF">
              <w:rPr>
                <w:rFonts w:asciiTheme="majorHAnsi" w:hAnsiTheme="majorHAnsi"/>
                <w:color w:val="auto"/>
                <w:sz w:val="18"/>
                <w:szCs w:val="18"/>
              </w:rPr>
              <w:t>.</w:t>
            </w:r>
          </w:p>
        </w:tc>
        <w:tc>
          <w:tcPr>
            <w:tcW w:w="834" w:type="pct"/>
          </w:tcPr>
          <w:p w14:paraId="13B45F33" w14:textId="482BCAE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Yes; a critical appraisal highlights specific methodological issues or concerns about the evidence (e.g. study type, quality of study; effect size), as perceived by the </w:t>
            </w:r>
            <w:proofErr w:type="spellStart"/>
            <w:r w:rsidRPr="00F956BF">
              <w:rPr>
                <w:rFonts w:asciiTheme="majorHAnsi" w:hAnsiTheme="majorHAnsi"/>
                <w:color w:val="auto"/>
                <w:sz w:val="18"/>
                <w:szCs w:val="18"/>
              </w:rPr>
              <w:t>Programme’s</w:t>
            </w:r>
            <w:proofErr w:type="spellEnd"/>
            <w:r w:rsidRPr="00F956BF">
              <w:rPr>
                <w:rFonts w:asciiTheme="majorHAnsi" w:hAnsiTheme="majorHAnsi"/>
                <w:color w:val="auto"/>
                <w:sz w:val="18"/>
                <w:szCs w:val="18"/>
              </w:rPr>
              <w:t xml:space="preserve"> technical team.</w:t>
            </w:r>
          </w:p>
          <w:p w14:paraId="31A00813" w14:textId="2362CAA5"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checklist used (relative importance of the dimensions will vary according to the intervention).</w:t>
            </w:r>
          </w:p>
          <w:p w14:paraId="63629A24"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A list of issues and evaluated aspects is specified in the document.</w:t>
            </w:r>
          </w:p>
        </w:tc>
        <w:tc>
          <w:tcPr>
            <w:tcW w:w="833" w:type="pct"/>
          </w:tcPr>
          <w:p w14:paraId="620D02ED" w14:textId="038175A9"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QUADAS (or modified version)</w:t>
            </w:r>
          </w:p>
          <w:p w14:paraId="41D05ADD" w14:textId="43B79D57" w:rsidR="002F6442" w:rsidRPr="00F956BF" w:rsidRDefault="002F6442" w:rsidP="00CF1603">
            <w:pPr>
              <w:jc w:val="left"/>
              <w:rPr>
                <w:rFonts w:asciiTheme="majorHAnsi" w:hAnsiTheme="majorHAnsi"/>
                <w:color w:val="auto"/>
                <w:sz w:val="18"/>
                <w:szCs w:val="18"/>
                <w:highlight w:val="yellow"/>
              </w:rPr>
            </w:pPr>
            <w:r w:rsidRPr="00F956BF">
              <w:rPr>
                <w:rFonts w:asciiTheme="majorHAnsi" w:hAnsiTheme="majorHAnsi"/>
                <w:color w:val="auto"/>
                <w:sz w:val="18"/>
                <w:szCs w:val="18"/>
              </w:rPr>
              <w:t>Gradually starting to use the GRADE method in assessing tests</w:t>
            </w:r>
          </w:p>
        </w:tc>
        <w:tc>
          <w:tcPr>
            <w:tcW w:w="833" w:type="pct"/>
          </w:tcPr>
          <w:p w14:paraId="77F439A2" w14:textId="0754C6F6" w:rsidR="002F6442" w:rsidRPr="00F956BF" w:rsidRDefault="002F6442" w:rsidP="00DA70FB">
            <w:pPr>
              <w:jc w:val="left"/>
              <w:rPr>
                <w:rFonts w:asciiTheme="majorHAnsi" w:hAnsiTheme="majorHAnsi"/>
                <w:color w:val="auto"/>
                <w:sz w:val="18"/>
                <w:szCs w:val="18"/>
              </w:rPr>
            </w:pPr>
            <w:r w:rsidRPr="00F956BF">
              <w:rPr>
                <w:rFonts w:asciiTheme="majorHAnsi" w:hAnsiTheme="majorHAnsi"/>
                <w:color w:val="auto"/>
                <w:sz w:val="18"/>
                <w:szCs w:val="18"/>
              </w:rPr>
              <w:t>Standard internal validity critical appraisal checklists for RCTs and cohort studies for interventions may be used (see internal manual of LBI).</w:t>
            </w:r>
          </w:p>
          <w:p w14:paraId="37C26310"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Diagnostic accuracy studies: QUADAS-2 checklist</w:t>
            </w:r>
          </w:p>
          <w:p w14:paraId="0BB6EA68"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Prognosis studies: QUIPS  </w:t>
            </w:r>
          </w:p>
          <w:p w14:paraId="7D00ACDB"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GRADE incl. adaptions of GRADE framework to diagnostic and prognosis studies</w:t>
            </w:r>
          </w:p>
          <w:p w14:paraId="5764FD02" w14:textId="7507EB35" w:rsidR="002F6442" w:rsidRPr="00F956BF" w:rsidRDefault="002F6442" w:rsidP="009B5A96">
            <w:pPr>
              <w:jc w:val="left"/>
              <w:rPr>
                <w:rFonts w:asciiTheme="majorHAnsi" w:hAnsiTheme="majorHAnsi"/>
                <w:color w:val="auto"/>
                <w:sz w:val="18"/>
                <w:szCs w:val="18"/>
              </w:rPr>
            </w:pPr>
            <w:r w:rsidRPr="009B5A96">
              <w:rPr>
                <w:rFonts w:asciiTheme="majorHAnsi" w:hAnsiTheme="majorHAnsi"/>
                <w:color w:val="auto"/>
                <w:sz w:val="18"/>
                <w:szCs w:val="18"/>
              </w:rPr>
              <w:t>Framework for evaluating evidence on the clinical benefit of co-dependent technolog</w:t>
            </w:r>
            <w:r w:rsidR="009B5A96" w:rsidRPr="009B5A96">
              <w:rPr>
                <w:rFonts w:asciiTheme="majorHAnsi" w:hAnsiTheme="majorHAnsi"/>
                <w:color w:val="auto"/>
                <w:sz w:val="18"/>
                <w:szCs w:val="18"/>
              </w:rPr>
              <w:t>ies for reimbursement decisions</w:t>
            </w:r>
          </w:p>
        </w:tc>
      </w:tr>
      <w:tr w:rsidR="00985031" w:rsidRPr="00F956BF" w14:paraId="76C282DB" w14:textId="77777777" w:rsidTr="00F956BF">
        <w:tc>
          <w:tcPr>
            <w:tcW w:w="5000" w:type="pct"/>
            <w:gridSpan w:val="6"/>
            <w:shd w:val="clear" w:color="auto" w:fill="F2F2F2" w:themeFill="background1" w:themeFillShade="F2"/>
          </w:tcPr>
          <w:p w14:paraId="41445D77" w14:textId="7FE14ED2"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4. Review Process &amp; Transparency</w:t>
            </w:r>
          </w:p>
        </w:tc>
      </w:tr>
      <w:tr w:rsidR="00985031" w:rsidRPr="00F956BF" w14:paraId="5B4AE76D" w14:textId="77777777" w:rsidTr="00985031">
        <w:tc>
          <w:tcPr>
            <w:tcW w:w="5000" w:type="pct"/>
            <w:gridSpan w:val="6"/>
            <w:shd w:val="clear" w:color="auto" w:fill="auto"/>
          </w:tcPr>
          <w:p w14:paraId="26BA7C9A" w14:textId="21F5DC0A"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a) Are stakeholders directly involved in the production process?</w:t>
            </w:r>
          </w:p>
        </w:tc>
      </w:tr>
      <w:tr w:rsidR="002F6442" w:rsidRPr="00F956BF" w14:paraId="2C483673" w14:textId="77777777" w:rsidTr="00985031">
        <w:tc>
          <w:tcPr>
            <w:tcW w:w="833" w:type="pct"/>
            <w:shd w:val="clear" w:color="auto" w:fill="auto"/>
          </w:tcPr>
          <w:p w14:paraId="2DFB38DA" w14:textId="77777777" w:rsidR="003B4A28" w:rsidRDefault="002F6442" w:rsidP="00C12E48">
            <w:pPr>
              <w:jc w:val="left"/>
              <w:rPr>
                <w:rFonts w:asciiTheme="majorHAnsi" w:hAnsiTheme="majorHAnsi"/>
                <w:color w:val="auto"/>
                <w:sz w:val="18"/>
                <w:szCs w:val="18"/>
              </w:rPr>
            </w:pPr>
            <w:r w:rsidRPr="00F956BF">
              <w:rPr>
                <w:rFonts w:asciiTheme="majorHAnsi" w:hAnsiTheme="majorHAnsi"/>
                <w:color w:val="auto"/>
                <w:sz w:val="18"/>
                <w:szCs w:val="18"/>
              </w:rPr>
              <w:t xml:space="preserve">Yes: Working group of health professionals from a number of disciplines, working in different types of public or private practice from all over the country and from all schools of thought meets once and systematically discusses whether the literature review and their own experience meet the criteria used to measure the procedure's clinical benefit. </w:t>
            </w:r>
          </w:p>
          <w:p w14:paraId="672A909B" w14:textId="19C0E0F9" w:rsidR="00985031" w:rsidRPr="00F956BF" w:rsidRDefault="002F6442" w:rsidP="00C12E48">
            <w:pPr>
              <w:jc w:val="left"/>
              <w:rPr>
                <w:rFonts w:asciiTheme="majorHAnsi" w:hAnsiTheme="majorHAnsi"/>
                <w:color w:val="auto"/>
                <w:sz w:val="18"/>
                <w:szCs w:val="18"/>
              </w:rPr>
            </w:pPr>
            <w:r w:rsidRPr="00F956BF">
              <w:rPr>
                <w:rFonts w:asciiTheme="majorHAnsi" w:hAnsiTheme="majorHAnsi"/>
                <w:color w:val="auto"/>
                <w:sz w:val="18"/>
                <w:szCs w:val="18"/>
              </w:rPr>
              <w:t>If possible, consensus is reached and a report produced.</w:t>
            </w:r>
          </w:p>
        </w:tc>
        <w:tc>
          <w:tcPr>
            <w:tcW w:w="834" w:type="pct"/>
            <w:shd w:val="clear" w:color="auto" w:fill="auto"/>
          </w:tcPr>
          <w:p w14:paraId="3E001DDF" w14:textId="77777777" w:rsidR="003B4A28"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Yes: Stakeholders are invited to a scoping workshop, to comment on the Diagnostics Assessment Report produced by the External Assessment Group and to take part in the public consultation on the draft guidance recommendations. </w:t>
            </w:r>
          </w:p>
          <w:p w14:paraId="73114AA6" w14:textId="77777777" w:rsidR="002F6442"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Specialist Committee Members are recruited to the Diagnostics Advisory Committee for eac</w:t>
            </w:r>
            <w:r w:rsidR="003B4A28">
              <w:rPr>
                <w:rFonts w:asciiTheme="majorHAnsi" w:hAnsiTheme="majorHAnsi"/>
                <w:color w:val="auto"/>
                <w:sz w:val="18"/>
                <w:szCs w:val="18"/>
              </w:rPr>
              <w:t xml:space="preserve">h </w:t>
            </w:r>
            <w:r w:rsidRPr="00F956BF">
              <w:rPr>
                <w:rFonts w:asciiTheme="majorHAnsi" w:hAnsiTheme="majorHAnsi"/>
                <w:color w:val="auto"/>
                <w:sz w:val="18"/>
                <w:szCs w:val="18"/>
              </w:rPr>
              <w:t>topic; these are people who are clinical specialists in the area or patient experts.</w:t>
            </w:r>
          </w:p>
          <w:p w14:paraId="7969C739" w14:textId="77777777" w:rsidR="003D34EC" w:rsidRDefault="003D34EC" w:rsidP="00CF1603">
            <w:pPr>
              <w:jc w:val="left"/>
              <w:rPr>
                <w:rFonts w:asciiTheme="majorHAnsi" w:hAnsiTheme="majorHAnsi"/>
                <w:color w:val="auto"/>
                <w:sz w:val="18"/>
                <w:szCs w:val="18"/>
              </w:rPr>
            </w:pPr>
          </w:p>
          <w:p w14:paraId="6A0CDEE6" w14:textId="77777777" w:rsidR="003D34EC" w:rsidRDefault="003D34EC" w:rsidP="00CF1603">
            <w:pPr>
              <w:jc w:val="left"/>
              <w:rPr>
                <w:rFonts w:asciiTheme="majorHAnsi" w:hAnsiTheme="majorHAnsi"/>
                <w:color w:val="auto"/>
                <w:sz w:val="18"/>
                <w:szCs w:val="18"/>
              </w:rPr>
            </w:pPr>
          </w:p>
          <w:p w14:paraId="66FA6F9C" w14:textId="0FBF03A3" w:rsidR="003D34EC" w:rsidRPr="00F956BF" w:rsidRDefault="003D34EC" w:rsidP="00CF1603">
            <w:pPr>
              <w:jc w:val="left"/>
              <w:rPr>
                <w:rFonts w:asciiTheme="majorHAnsi" w:hAnsiTheme="majorHAnsi"/>
                <w:color w:val="auto"/>
                <w:sz w:val="18"/>
                <w:szCs w:val="18"/>
              </w:rPr>
            </w:pPr>
          </w:p>
        </w:tc>
        <w:tc>
          <w:tcPr>
            <w:tcW w:w="833" w:type="pct"/>
          </w:tcPr>
          <w:p w14:paraId="44DA919D" w14:textId="77777777" w:rsidR="003B4A28"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Yes: Expert advisers contribute to the evaluation of technologies by providing additional knowledge, opinion and experience to the Committee. </w:t>
            </w:r>
          </w:p>
          <w:p w14:paraId="3CF63400" w14:textId="10110EB4" w:rsidR="003B4A28"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Expert advice can also be used as part of evidence synthesis or modelling studies. </w:t>
            </w:r>
          </w:p>
          <w:p w14:paraId="3098A3B1" w14:textId="4C35BE83"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The Patient and Public Involvement </w:t>
            </w:r>
            <w:proofErr w:type="spellStart"/>
            <w:r w:rsidRPr="00F956BF">
              <w:rPr>
                <w:rFonts w:asciiTheme="majorHAnsi" w:hAnsiTheme="majorHAnsi"/>
                <w:color w:val="auto"/>
                <w:sz w:val="18"/>
                <w:szCs w:val="18"/>
              </w:rPr>
              <w:t>Programme</w:t>
            </w:r>
            <w:proofErr w:type="spellEnd"/>
            <w:r w:rsidRPr="00F956BF">
              <w:rPr>
                <w:rFonts w:asciiTheme="majorHAnsi" w:hAnsiTheme="majorHAnsi"/>
                <w:color w:val="auto"/>
                <w:sz w:val="18"/>
                <w:szCs w:val="18"/>
              </w:rPr>
              <w:t xml:space="preserve"> (PPIP) always approach patient and </w:t>
            </w:r>
            <w:proofErr w:type="spellStart"/>
            <w:r w:rsidRPr="00F956BF">
              <w:rPr>
                <w:rFonts w:asciiTheme="majorHAnsi" w:hAnsiTheme="majorHAnsi"/>
                <w:color w:val="auto"/>
                <w:sz w:val="18"/>
                <w:szCs w:val="18"/>
              </w:rPr>
              <w:t>carer</w:t>
            </w:r>
            <w:proofErr w:type="spellEnd"/>
            <w:r w:rsidRPr="00F956BF">
              <w:rPr>
                <w:rFonts w:asciiTheme="majorHAnsi" w:hAnsiTheme="majorHAnsi"/>
                <w:color w:val="auto"/>
                <w:sz w:val="18"/>
                <w:szCs w:val="18"/>
              </w:rPr>
              <w:t xml:space="preserve"> </w:t>
            </w:r>
            <w:proofErr w:type="spellStart"/>
            <w:r w:rsidRPr="00F956BF">
              <w:rPr>
                <w:rFonts w:asciiTheme="majorHAnsi" w:hAnsiTheme="majorHAnsi"/>
                <w:color w:val="auto"/>
                <w:sz w:val="18"/>
                <w:szCs w:val="18"/>
              </w:rPr>
              <w:t>organisations</w:t>
            </w:r>
            <w:proofErr w:type="spellEnd"/>
            <w:r w:rsidRPr="00F956BF">
              <w:rPr>
                <w:rFonts w:asciiTheme="majorHAnsi" w:hAnsiTheme="majorHAnsi"/>
                <w:color w:val="auto"/>
                <w:sz w:val="18"/>
                <w:szCs w:val="18"/>
              </w:rPr>
              <w:t xml:space="preserve"> to obtain their views on the technology.</w:t>
            </w:r>
          </w:p>
        </w:tc>
        <w:tc>
          <w:tcPr>
            <w:tcW w:w="834" w:type="pct"/>
          </w:tcPr>
          <w:p w14:paraId="433CCF5E" w14:textId="2004D53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Yes: Using the expertise and knowledge of Specialist Advisers. Involving the </w:t>
            </w:r>
            <w:proofErr w:type="spellStart"/>
            <w:r w:rsidRPr="00F956BF">
              <w:rPr>
                <w:rFonts w:asciiTheme="majorHAnsi" w:hAnsiTheme="majorHAnsi"/>
                <w:color w:val="auto"/>
                <w:sz w:val="18"/>
                <w:szCs w:val="18"/>
              </w:rPr>
              <w:t>notifier</w:t>
            </w:r>
            <w:proofErr w:type="spellEnd"/>
            <w:r w:rsidRPr="00F956BF">
              <w:rPr>
                <w:rFonts w:asciiTheme="majorHAnsi" w:hAnsiTheme="majorHAnsi"/>
                <w:color w:val="auto"/>
                <w:sz w:val="18"/>
                <w:szCs w:val="18"/>
              </w:rPr>
              <w:t xml:space="preserve"> of the procedure, manufacturers.</w:t>
            </w:r>
          </w:p>
          <w:p w14:paraId="11AB70BE" w14:textId="0377012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Commentary on patients’ experiences of the procedure is considered by the Committee in formulating its final recommendations.</w:t>
            </w:r>
          </w:p>
        </w:tc>
        <w:tc>
          <w:tcPr>
            <w:tcW w:w="833" w:type="pct"/>
          </w:tcPr>
          <w:p w14:paraId="7910F17A" w14:textId="485BF9EA"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Yes: Relevant experts are consulted, depending on the subject.</w:t>
            </w:r>
          </w:p>
          <w:p w14:paraId="1A0CC7F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Where necessary, methodological experts will be included, in addition to the experts on the subject matter.</w:t>
            </w:r>
          </w:p>
        </w:tc>
        <w:tc>
          <w:tcPr>
            <w:tcW w:w="833" w:type="pct"/>
          </w:tcPr>
          <w:p w14:paraId="38C3029E" w14:textId="03455349"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No information, but the document is meant to complement the internal manual of LBI. Thus information might be given there. </w:t>
            </w:r>
          </w:p>
        </w:tc>
      </w:tr>
      <w:tr w:rsidR="00985031" w:rsidRPr="00F956BF" w14:paraId="314399D2" w14:textId="77777777" w:rsidTr="00985031">
        <w:tc>
          <w:tcPr>
            <w:tcW w:w="5000" w:type="pct"/>
            <w:gridSpan w:val="6"/>
            <w:shd w:val="clear" w:color="auto" w:fill="auto"/>
          </w:tcPr>
          <w:p w14:paraId="5C7FE366" w14:textId="47AE4346"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b) Are (other) specific measures taken to ensure transparency of results?</w:t>
            </w:r>
          </w:p>
        </w:tc>
      </w:tr>
      <w:tr w:rsidR="002F6442" w:rsidRPr="00F956BF" w14:paraId="2C730B5C" w14:textId="77777777" w:rsidTr="00985031">
        <w:tc>
          <w:tcPr>
            <w:tcW w:w="833" w:type="pct"/>
            <w:shd w:val="clear" w:color="auto" w:fill="auto"/>
          </w:tcPr>
          <w:p w14:paraId="5F821A3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Summary and the complete report available online along with English translation of the summary.</w:t>
            </w:r>
          </w:p>
        </w:tc>
        <w:tc>
          <w:tcPr>
            <w:tcW w:w="834" w:type="pct"/>
            <w:shd w:val="clear" w:color="auto" w:fill="auto"/>
          </w:tcPr>
          <w:p w14:paraId="1D358FC5" w14:textId="0B8F64F2"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Draft guidance is produced after committee decision and is made available for public consultation for 4 weeks.</w:t>
            </w:r>
          </w:p>
          <w:p w14:paraId="2AD94AD7"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Specialist Committee members need to declare conflicts of interests.</w:t>
            </w:r>
          </w:p>
          <w:p w14:paraId="6D18DE83" w14:textId="07D75721" w:rsidR="002F6442" w:rsidRPr="00F956BF" w:rsidRDefault="002F6442" w:rsidP="00CF1603">
            <w:pPr>
              <w:jc w:val="left"/>
              <w:rPr>
                <w:rFonts w:asciiTheme="majorHAnsi" w:hAnsiTheme="majorHAnsi"/>
                <w:color w:val="auto"/>
                <w:sz w:val="18"/>
                <w:szCs w:val="18"/>
              </w:rPr>
            </w:pPr>
            <w:proofErr w:type="spellStart"/>
            <w:r w:rsidRPr="00F956BF">
              <w:rPr>
                <w:rFonts w:asciiTheme="majorHAnsi" w:hAnsiTheme="majorHAnsi"/>
                <w:color w:val="auto"/>
                <w:sz w:val="18"/>
                <w:szCs w:val="18"/>
              </w:rPr>
              <w:t>Guidances</w:t>
            </w:r>
            <w:proofErr w:type="spellEnd"/>
            <w:r w:rsidRPr="00F956BF">
              <w:rPr>
                <w:rFonts w:asciiTheme="majorHAnsi" w:hAnsiTheme="majorHAnsi"/>
                <w:color w:val="auto"/>
                <w:sz w:val="18"/>
                <w:szCs w:val="18"/>
              </w:rPr>
              <w:t xml:space="preserve"> are published on the website of NICE.</w:t>
            </w:r>
          </w:p>
        </w:tc>
        <w:tc>
          <w:tcPr>
            <w:tcW w:w="833" w:type="pct"/>
          </w:tcPr>
          <w:p w14:paraId="6E1D4192" w14:textId="172050B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Draft guidance is produced after committee decision and is made available for public consultation for 4 weeks.</w:t>
            </w:r>
          </w:p>
          <w:p w14:paraId="73697326" w14:textId="4DC523D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Specialist Advisers are required to declare any conflicts of interest.</w:t>
            </w:r>
          </w:p>
          <w:p w14:paraId="2F737569" w14:textId="77777777" w:rsidR="002F6442" w:rsidRPr="00F956BF" w:rsidRDefault="002F6442" w:rsidP="00CF1603">
            <w:pPr>
              <w:jc w:val="left"/>
              <w:rPr>
                <w:rFonts w:asciiTheme="majorHAnsi" w:hAnsiTheme="majorHAnsi"/>
                <w:color w:val="auto"/>
                <w:sz w:val="18"/>
                <w:szCs w:val="18"/>
              </w:rPr>
            </w:pPr>
            <w:proofErr w:type="spellStart"/>
            <w:r w:rsidRPr="00F956BF">
              <w:rPr>
                <w:rFonts w:asciiTheme="majorHAnsi" w:hAnsiTheme="majorHAnsi"/>
                <w:color w:val="auto"/>
                <w:sz w:val="18"/>
                <w:szCs w:val="18"/>
              </w:rPr>
              <w:t>Guidances</w:t>
            </w:r>
            <w:proofErr w:type="spellEnd"/>
            <w:r w:rsidRPr="00F956BF">
              <w:rPr>
                <w:rFonts w:asciiTheme="majorHAnsi" w:hAnsiTheme="majorHAnsi"/>
                <w:color w:val="auto"/>
                <w:sz w:val="18"/>
                <w:szCs w:val="18"/>
              </w:rPr>
              <w:t xml:space="preserve"> are published on the website of NICE.</w:t>
            </w:r>
          </w:p>
        </w:tc>
        <w:tc>
          <w:tcPr>
            <w:tcW w:w="834" w:type="pct"/>
          </w:tcPr>
          <w:p w14:paraId="7B6C19A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Draft guidance is produced after committee decision and is made available for public consultation for 4 weeks.</w:t>
            </w:r>
          </w:p>
          <w:p w14:paraId="7D220E8F" w14:textId="1EFBF0A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Specialist Advisers are required to declare any conflicts of interest.</w:t>
            </w:r>
          </w:p>
          <w:p w14:paraId="1E9588F3" w14:textId="7EB24601" w:rsidR="002F6442" w:rsidRPr="00F956BF" w:rsidRDefault="002F6442" w:rsidP="00C12E48">
            <w:pPr>
              <w:jc w:val="left"/>
              <w:rPr>
                <w:rFonts w:asciiTheme="majorHAnsi" w:hAnsiTheme="majorHAnsi"/>
                <w:color w:val="auto"/>
                <w:sz w:val="18"/>
                <w:szCs w:val="18"/>
              </w:rPr>
            </w:pPr>
            <w:proofErr w:type="spellStart"/>
            <w:r w:rsidRPr="00F956BF">
              <w:rPr>
                <w:rFonts w:asciiTheme="majorHAnsi" w:hAnsiTheme="majorHAnsi"/>
                <w:color w:val="auto"/>
                <w:sz w:val="18"/>
                <w:szCs w:val="18"/>
              </w:rPr>
              <w:t>Guidances</w:t>
            </w:r>
            <w:proofErr w:type="spellEnd"/>
            <w:r w:rsidRPr="00F956BF">
              <w:rPr>
                <w:rFonts w:asciiTheme="majorHAnsi" w:hAnsiTheme="majorHAnsi"/>
                <w:color w:val="auto"/>
                <w:sz w:val="18"/>
                <w:szCs w:val="18"/>
              </w:rPr>
              <w:t xml:space="preserve"> are published on the website of NICE.</w:t>
            </w:r>
          </w:p>
        </w:tc>
        <w:tc>
          <w:tcPr>
            <w:tcW w:w="833" w:type="pct"/>
          </w:tcPr>
          <w:p w14:paraId="69B395A3"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Only found: In order to promote the quality of assessments, it is particularly important to ensure that assessments take place transparently and, where necessary, to seek the allegiance of external experts on the subject matter and methodology.</w:t>
            </w:r>
          </w:p>
        </w:tc>
        <w:tc>
          <w:tcPr>
            <w:tcW w:w="833" w:type="pct"/>
          </w:tcPr>
          <w:p w14:paraId="3FD6BF3B" w14:textId="172C7DA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 but the document is meant to complement the internal manual of LBI. Thus information might be given there.</w:t>
            </w:r>
          </w:p>
        </w:tc>
      </w:tr>
      <w:tr w:rsidR="00985031" w:rsidRPr="00F956BF" w14:paraId="326528C8" w14:textId="77777777" w:rsidTr="00F956BF">
        <w:tc>
          <w:tcPr>
            <w:tcW w:w="5000" w:type="pct"/>
            <w:gridSpan w:val="6"/>
            <w:shd w:val="clear" w:color="auto" w:fill="F2F2F2" w:themeFill="background1" w:themeFillShade="F2"/>
          </w:tcPr>
          <w:p w14:paraId="15F35088" w14:textId="18BD07E8"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5. Reassessment</w:t>
            </w:r>
          </w:p>
        </w:tc>
      </w:tr>
      <w:tr w:rsidR="00985031" w:rsidRPr="00F956BF" w14:paraId="30E8B828" w14:textId="77777777" w:rsidTr="00985031">
        <w:tc>
          <w:tcPr>
            <w:tcW w:w="5000" w:type="pct"/>
            <w:gridSpan w:val="6"/>
            <w:shd w:val="clear" w:color="auto" w:fill="auto"/>
          </w:tcPr>
          <w:p w14:paraId="0E035536" w14:textId="7CA4B0EE"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Are there specific intervals/ conditions set for reassessment (fixed time/ new indication)?</w:t>
            </w:r>
          </w:p>
        </w:tc>
      </w:tr>
      <w:tr w:rsidR="002F6442" w:rsidRPr="00F956BF" w14:paraId="1B21A706" w14:textId="77777777" w:rsidTr="00985031">
        <w:tc>
          <w:tcPr>
            <w:tcW w:w="833" w:type="pct"/>
            <w:shd w:val="clear" w:color="auto" w:fill="auto"/>
          </w:tcPr>
          <w:p w14:paraId="1AA7EF81"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Only found: 'All searches are updated until the end of the project.’</w:t>
            </w:r>
          </w:p>
        </w:tc>
        <w:tc>
          <w:tcPr>
            <w:tcW w:w="834" w:type="pct"/>
            <w:shd w:val="clear" w:color="auto" w:fill="auto"/>
          </w:tcPr>
          <w:p w14:paraId="379BD53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Diagnostics Assessment Report will be updated if it were to be decided that an update to the guidance is required.</w:t>
            </w:r>
          </w:p>
        </w:tc>
        <w:tc>
          <w:tcPr>
            <w:tcW w:w="833" w:type="pct"/>
          </w:tcPr>
          <w:p w14:paraId="1EE9355E" w14:textId="40CC46A8" w:rsidR="00BA1EC8" w:rsidRPr="00BA1EC8" w:rsidRDefault="00BA1EC8" w:rsidP="00BA1EC8">
            <w:pPr>
              <w:jc w:val="left"/>
              <w:rPr>
                <w:rFonts w:asciiTheme="majorHAnsi" w:hAnsiTheme="majorHAnsi"/>
                <w:color w:val="auto"/>
                <w:sz w:val="18"/>
                <w:szCs w:val="18"/>
              </w:rPr>
            </w:pPr>
            <w:proofErr w:type="spellStart"/>
            <w:r w:rsidRPr="00BA1EC8">
              <w:rPr>
                <w:rFonts w:asciiTheme="majorHAnsi" w:hAnsiTheme="majorHAnsi"/>
                <w:color w:val="auto"/>
                <w:sz w:val="18"/>
                <w:szCs w:val="18"/>
              </w:rPr>
              <w:t>Programme</w:t>
            </w:r>
            <w:proofErr w:type="spellEnd"/>
            <w:r w:rsidRPr="00BA1EC8">
              <w:rPr>
                <w:rFonts w:asciiTheme="majorHAnsi" w:hAnsiTheme="majorHAnsi"/>
                <w:color w:val="auto"/>
                <w:sz w:val="18"/>
                <w:szCs w:val="18"/>
              </w:rPr>
              <w:t xml:space="preserve"> team</w:t>
            </w:r>
            <w:r>
              <w:rPr>
                <w:rFonts w:asciiTheme="majorHAnsi" w:hAnsiTheme="majorHAnsi"/>
                <w:color w:val="auto"/>
                <w:sz w:val="18"/>
                <w:szCs w:val="18"/>
              </w:rPr>
              <w:t xml:space="preserve"> updates the literature search </w:t>
            </w:r>
            <w:r w:rsidRPr="00BA1EC8">
              <w:rPr>
                <w:rFonts w:asciiTheme="majorHAnsi" w:hAnsiTheme="majorHAnsi"/>
                <w:color w:val="auto"/>
                <w:sz w:val="18"/>
                <w:szCs w:val="18"/>
              </w:rPr>
              <w:t>every 3 years to ensure that relevant new evidence is identified.</w:t>
            </w:r>
            <w:r>
              <w:rPr>
                <w:rFonts w:asciiTheme="majorHAnsi" w:hAnsiTheme="majorHAnsi"/>
                <w:color w:val="auto"/>
                <w:sz w:val="18"/>
                <w:szCs w:val="18"/>
              </w:rPr>
              <w:t xml:space="preserve"> </w:t>
            </w:r>
          </w:p>
          <w:p w14:paraId="499E14F0" w14:textId="0B360EDC" w:rsidR="00FF1EF8" w:rsidRPr="00FF1EF8" w:rsidRDefault="00FF1EF8" w:rsidP="00FF1EF8">
            <w:pPr>
              <w:jc w:val="left"/>
              <w:rPr>
                <w:rFonts w:asciiTheme="majorHAnsi" w:hAnsiTheme="majorHAnsi"/>
                <w:color w:val="auto"/>
                <w:sz w:val="18"/>
                <w:szCs w:val="18"/>
              </w:rPr>
            </w:pPr>
            <w:r>
              <w:rPr>
                <w:rFonts w:asciiTheme="majorHAnsi" w:hAnsiTheme="majorHAnsi"/>
                <w:color w:val="auto"/>
                <w:sz w:val="18"/>
                <w:szCs w:val="18"/>
              </w:rPr>
              <w:t xml:space="preserve">NICE may review the guidance before the expected review date when it becomes aware that there is significant new information that it considers is likely to have a </w:t>
            </w:r>
            <w:r w:rsidRPr="00FF1EF8">
              <w:rPr>
                <w:rFonts w:asciiTheme="majorHAnsi" w:hAnsiTheme="majorHAnsi"/>
                <w:color w:val="auto"/>
                <w:sz w:val="18"/>
                <w:szCs w:val="18"/>
              </w:rPr>
              <w:t>material effect on t</w:t>
            </w:r>
            <w:r>
              <w:rPr>
                <w:rFonts w:asciiTheme="majorHAnsi" w:hAnsiTheme="majorHAnsi"/>
                <w:color w:val="auto"/>
                <w:sz w:val="18"/>
                <w:szCs w:val="18"/>
              </w:rPr>
              <w:t xml:space="preserve">he recommendations in the existing </w:t>
            </w:r>
            <w:r w:rsidRPr="00FF1EF8">
              <w:rPr>
                <w:rFonts w:asciiTheme="majorHAnsi" w:hAnsiTheme="majorHAnsi"/>
                <w:color w:val="auto"/>
                <w:sz w:val="18"/>
                <w:szCs w:val="18"/>
              </w:rPr>
              <w:t>guidance</w:t>
            </w:r>
            <w:r>
              <w:rPr>
                <w:rFonts w:asciiTheme="majorHAnsi" w:hAnsiTheme="majorHAnsi"/>
                <w:color w:val="auto"/>
                <w:sz w:val="18"/>
                <w:szCs w:val="18"/>
              </w:rPr>
              <w:t>.</w:t>
            </w:r>
          </w:p>
          <w:p w14:paraId="704EB4E1" w14:textId="323DE2E4" w:rsidR="00BA1EC8" w:rsidRPr="00F956BF" w:rsidRDefault="00BA1EC8" w:rsidP="00FF1EF8">
            <w:pPr>
              <w:jc w:val="left"/>
              <w:rPr>
                <w:rFonts w:asciiTheme="majorHAnsi" w:hAnsiTheme="majorHAnsi"/>
                <w:color w:val="auto"/>
                <w:sz w:val="18"/>
                <w:szCs w:val="18"/>
              </w:rPr>
            </w:pPr>
            <w:r w:rsidRPr="00BA1EC8">
              <w:rPr>
                <w:rFonts w:asciiTheme="majorHAnsi" w:hAnsiTheme="majorHAnsi"/>
                <w:color w:val="auto"/>
                <w:sz w:val="18"/>
                <w:szCs w:val="18"/>
              </w:rPr>
              <w:t>MTEP team may recommend to Guida</w:t>
            </w:r>
            <w:r>
              <w:rPr>
                <w:rFonts w:asciiTheme="majorHAnsi" w:hAnsiTheme="majorHAnsi"/>
                <w:color w:val="auto"/>
                <w:sz w:val="18"/>
                <w:szCs w:val="18"/>
              </w:rPr>
              <w:t xml:space="preserve">nce Executive that guidance be </w:t>
            </w:r>
            <w:r w:rsidRPr="00BA1EC8">
              <w:rPr>
                <w:rFonts w:asciiTheme="majorHAnsi" w:hAnsiTheme="majorHAnsi"/>
                <w:color w:val="auto"/>
                <w:sz w:val="18"/>
                <w:szCs w:val="18"/>
              </w:rPr>
              <w:t>withdrawn</w:t>
            </w:r>
            <w:r>
              <w:rPr>
                <w:rFonts w:asciiTheme="majorHAnsi" w:hAnsiTheme="majorHAnsi"/>
                <w:color w:val="auto"/>
                <w:sz w:val="18"/>
                <w:szCs w:val="18"/>
              </w:rPr>
              <w:t>.</w:t>
            </w:r>
          </w:p>
        </w:tc>
        <w:tc>
          <w:tcPr>
            <w:tcW w:w="834" w:type="pct"/>
          </w:tcPr>
          <w:p w14:paraId="0CA59DBF" w14:textId="77777777" w:rsidR="003D34EC"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During the consultation period, an updated literature search is conducted to find any further evidence that may have been published since the first Committee meeting. </w:t>
            </w:r>
          </w:p>
          <w:p w14:paraId="167E1427" w14:textId="48A167A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For some procedures, NICE will become aware that potentially important research is due to be published, maintains active surveillance of these procedures and brings a revised overview to the Advisory Committee when appropriate.</w:t>
            </w:r>
          </w:p>
        </w:tc>
        <w:tc>
          <w:tcPr>
            <w:tcW w:w="833" w:type="pct"/>
          </w:tcPr>
          <w:p w14:paraId="7DD7CBBE" w14:textId="3891A3E8" w:rsidR="002F6442" w:rsidRPr="00F956BF" w:rsidRDefault="002F6442" w:rsidP="00C828FA">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3760E443" w14:textId="20DC34E0"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No information, but the document is meant to complement the internal manual of LBI. Thus information might be given there. </w:t>
            </w:r>
          </w:p>
        </w:tc>
      </w:tr>
      <w:tr w:rsidR="00985031" w:rsidRPr="00F956BF" w14:paraId="4B7D5D8F" w14:textId="77777777" w:rsidTr="00F956BF">
        <w:tc>
          <w:tcPr>
            <w:tcW w:w="5000" w:type="pct"/>
            <w:gridSpan w:val="6"/>
            <w:shd w:val="clear" w:color="auto" w:fill="F2F2F2" w:themeFill="background1" w:themeFillShade="F2"/>
          </w:tcPr>
          <w:p w14:paraId="5609A7F6" w14:textId="59B27DA6"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6. Knowledge Exchange and Transferability</w:t>
            </w:r>
          </w:p>
        </w:tc>
      </w:tr>
      <w:tr w:rsidR="00985031" w:rsidRPr="00F956BF" w14:paraId="20B2E1AB" w14:textId="77777777" w:rsidTr="00985031">
        <w:tc>
          <w:tcPr>
            <w:tcW w:w="5000" w:type="pct"/>
            <w:gridSpan w:val="6"/>
            <w:shd w:val="clear" w:color="auto" w:fill="auto"/>
          </w:tcPr>
          <w:p w14:paraId="7D3CCDDF" w14:textId="61D0BA46"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a) Does the agency use data and/or reports from other HTA institutions?</w:t>
            </w:r>
          </w:p>
        </w:tc>
      </w:tr>
      <w:tr w:rsidR="002F6442" w:rsidRPr="00F956BF" w14:paraId="79CAF3FF" w14:textId="77777777" w:rsidTr="00985031">
        <w:tc>
          <w:tcPr>
            <w:tcW w:w="833" w:type="pct"/>
            <w:shd w:val="clear" w:color="auto" w:fill="auto"/>
          </w:tcPr>
          <w:p w14:paraId="268DC1FC"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2757AED9"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69DB8D8D" w14:textId="5DACB3BF" w:rsidR="002F6442" w:rsidRPr="00F956BF" w:rsidRDefault="00B84F36" w:rsidP="00B84F36">
            <w:pPr>
              <w:jc w:val="left"/>
              <w:rPr>
                <w:rFonts w:asciiTheme="majorHAnsi" w:hAnsiTheme="majorHAnsi"/>
                <w:color w:val="auto"/>
                <w:sz w:val="18"/>
                <w:szCs w:val="18"/>
              </w:rPr>
            </w:pPr>
            <w:r>
              <w:rPr>
                <w:rFonts w:asciiTheme="majorHAnsi" w:hAnsiTheme="majorHAnsi"/>
                <w:color w:val="auto"/>
                <w:sz w:val="18"/>
                <w:szCs w:val="18"/>
              </w:rPr>
              <w:t>D</w:t>
            </w:r>
            <w:r w:rsidRPr="00B84F36">
              <w:rPr>
                <w:rFonts w:asciiTheme="majorHAnsi" w:hAnsiTheme="majorHAnsi"/>
                <w:color w:val="auto"/>
                <w:sz w:val="18"/>
                <w:szCs w:val="18"/>
              </w:rPr>
              <w:t>ataba</w:t>
            </w:r>
            <w:r>
              <w:rPr>
                <w:rFonts w:asciiTheme="majorHAnsi" w:hAnsiTheme="majorHAnsi"/>
                <w:color w:val="auto"/>
                <w:sz w:val="18"/>
                <w:szCs w:val="18"/>
              </w:rPr>
              <w:t>ses of systematic reviews; meta-analyses and technology assessment e</w:t>
            </w:r>
            <w:r w:rsidRPr="00B84F36">
              <w:rPr>
                <w:rFonts w:asciiTheme="majorHAnsi" w:hAnsiTheme="majorHAnsi"/>
                <w:color w:val="auto"/>
                <w:sz w:val="18"/>
                <w:szCs w:val="18"/>
              </w:rPr>
              <w:t>valuations</w:t>
            </w:r>
            <w:r>
              <w:rPr>
                <w:rFonts w:asciiTheme="majorHAnsi" w:hAnsiTheme="majorHAnsi"/>
                <w:color w:val="auto"/>
                <w:sz w:val="18"/>
                <w:szCs w:val="18"/>
              </w:rPr>
              <w:t xml:space="preserve"> were searched. </w:t>
            </w:r>
          </w:p>
        </w:tc>
        <w:tc>
          <w:tcPr>
            <w:tcW w:w="834" w:type="pct"/>
          </w:tcPr>
          <w:p w14:paraId="26D24872" w14:textId="6B364961" w:rsidR="002F6442" w:rsidRPr="00F956BF" w:rsidRDefault="002F6442" w:rsidP="00D10575">
            <w:pPr>
              <w:jc w:val="left"/>
              <w:rPr>
                <w:rFonts w:asciiTheme="majorHAnsi" w:hAnsiTheme="majorHAnsi"/>
                <w:color w:val="auto"/>
                <w:sz w:val="18"/>
                <w:szCs w:val="18"/>
              </w:rPr>
            </w:pPr>
            <w:r w:rsidRPr="00F956BF">
              <w:rPr>
                <w:rFonts w:asciiTheme="majorHAnsi" w:hAnsiTheme="majorHAnsi"/>
                <w:color w:val="auto"/>
                <w:sz w:val="18"/>
                <w:szCs w:val="18"/>
              </w:rPr>
              <w:t>Evidence from systematic reviews and health technology assessments (e.g. DARE)</w:t>
            </w:r>
          </w:p>
        </w:tc>
        <w:tc>
          <w:tcPr>
            <w:tcW w:w="833" w:type="pct"/>
          </w:tcPr>
          <w:p w14:paraId="6C31F84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0AD00DE0" w14:textId="77777777" w:rsidR="002F6442" w:rsidRDefault="002F6442" w:rsidP="00C12E48">
            <w:pPr>
              <w:jc w:val="left"/>
              <w:rPr>
                <w:rFonts w:asciiTheme="majorHAnsi" w:hAnsiTheme="majorHAnsi"/>
                <w:color w:val="auto"/>
                <w:sz w:val="18"/>
                <w:szCs w:val="18"/>
              </w:rPr>
            </w:pPr>
            <w:r w:rsidRPr="00F956BF">
              <w:rPr>
                <w:rFonts w:asciiTheme="majorHAnsi" w:hAnsiTheme="majorHAnsi"/>
                <w:color w:val="auto"/>
                <w:sz w:val="18"/>
                <w:szCs w:val="18"/>
              </w:rPr>
              <w:t>No information, but the document is meant to complement the internal manual of LBI. Thus information might be given there.</w:t>
            </w:r>
          </w:p>
          <w:p w14:paraId="7B39F723" w14:textId="3C7F677F" w:rsidR="003D34EC" w:rsidRPr="00F956BF" w:rsidRDefault="003D34EC" w:rsidP="00C12E48">
            <w:pPr>
              <w:jc w:val="left"/>
              <w:rPr>
                <w:rFonts w:asciiTheme="majorHAnsi" w:hAnsiTheme="majorHAnsi"/>
                <w:color w:val="auto"/>
                <w:sz w:val="18"/>
                <w:szCs w:val="18"/>
                <w:highlight w:val="yellow"/>
              </w:rPr>
            </w:pPr>
          </w:p>
        </w:tc>
      </w:tr>
      <w:tr w:rsidR="00985031" w:rsidRPr="00F956BF" w14:paraId="70208502" w14:textId="77777777" w:rsidTr="00985031">
        <w:tc>
          <w:tcPr>
            <w:tcW w:w="5000" w:type="pct"/>
            <w:gridSpan w:val="6"/>
            <w:shd w:val="clear" w:color="auto" w:fill="auto"/>
          </w:tcPr>
          <w:p w14:paraId="2E6EEA55" w14:textId="411F4238"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b) Are there specific processes in place to ensure transferability of results?</w:t>
            </w:r>
          </w:p>
        </w:tc>
      </w:tr>
      <w:tr w:rsidR="002F6442" w:rsidRPr="00F956BF" w14:paraId="08A2929A" w14:textId="77777777" w:rsidTr="00985031">
        <w:tc>
          <w:tcPr>
            <w:tcW w:w="833" w:type="pct"/>
            <w:shd w:val="clear" w:color="auto" w:fill="auto"/>
          </w:tcPr>
          <w:p w14:paraId="604737F1" w14:textId="0B847CDF" w:rsidR="002F6442" w:rsidRPr="00F956BF" w:rsidRDefault="002F6442" w:rsidP="00C828FA">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2739F876" w14:textId="401AB12F" w:rsidR="002F6442" w:rsidRPr="00F956BF" w:rsidRDefault="002F6442" w:rsidP="00C12E48">
            <w:pPr>
              <w:jc w:val="left"/>
              <w:rPr>
                <w:rFonts w:asciiTheme="majorHAnsi" w:hAnsiTheme="majorHAnsi"/>
                <w:color w:val="auto"/>
                <w:sz w:val="18"/>
                <w:szCs w:val="18"/>
              </w:rPr>
            </w:pPr>
            <w:r w:rsidRPr="00F956BF">
              <w:rPr>
                <w:rFonts w:asciiTheme="majorHAnsi" w:hAnsiTheme="majorHAnsi"/>
                <w:color w:val="auto"/>
                <w:sz w:val="18"/>
                <w:szCs w:val="18"/>
              </w:rPr>
              <w:t>Differences between study and application context (e.g. patient population, interve</w:t>
            </w:r>
            <w:r w:rsidR="00CE62FE">
              <w:rPr>
                <w:rFonts w:asciiTheme="majorHAnsi" w:hAnsiTheme="majorHAnsi"/>
                <w:color w:val="auto"/>
                <w:sz w:val="18"/>
                <w:szCs w:val="18"/>
              </w:rPr>
              <w:t>ntion setting</w:t>
            </w:r>
            <w:r w:rsidR="00C12E48">
              <w:rPr>
                <w:rFonts w:asciiTheme="majorHAnsi" w:hAnsiTheme="majorHAnsi"/>
                <w:color w:val="auto"/>
                <w:sz w:val="18"/>
                <w:szCs w:val="18"/>
              </w:rPr>
              <w:t>,</w:t>
            </w:r>
            <w:r w:rsidR="00CE62FE">
              <w:rPr>
                <w:rFonts w:asciiTheme="majorHAnsi" w:hAnsiTheme="majorHAnsi"/>
                <w:color w:val="auto"/>
                <w:sz w:val="18"/>
                <w:szCs w:val="18"/>
              </w:rPr>
              <w:t xml:space="preserve"> </w:t>
            </w:r>
            <w:proofErr w:type="gramStart"/>
            <w:r w:rsidR="00CE62FE">
              <w:rPr>
                <w:rFonts w:asciiTheme="majorHAnsi" w:hAnsiTheme="majorHAnsi"/>
                <w:color w:val="auto"/>
                <w:sz w:val="18"/>
                <w:szCs w:val="18"/>
              </w:rPr>
              <w:t>locality</w:t>
            </w:r>
            <w:proofErr w:type="gramEnd"/>
            <w:r w:rsidRPr="00F956BF">
              <w:rPr>
                <w:rFonts w:asciiTheme="majorHAnsi" w:hAnsiTheme="majorHAnsi"/>
                <w:color w:val="auto"/>
                <w:sz w:val="18"/>
                <w:szCs w:val="18"/>
              </w:rPr>
              <w:t>) should be documented, with reference to the decisions taken about which studies to include in the assessment.</w:t>
            </w:r>
          </w:p>
        </w:tc>
        <w:tc>
          <w:tcPr>
            <w:tcW w:w="833" w:type="pct"/>
          </w:tcPr>
          <w:p w14:paraId="75FD8D86" w14:textId="5E19FB64" w:rsidR="002F6442" w:rsidRPr="00F956BF" w:rsidRDefault="002F6442" w:rsidP="00C828FA">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tcPr>
          <w:p w14:paraId="1B2B3289" w14:textId="0AA17A36" w:rsidR="002F6442" w:rsidRPr="00F956BF" w:rsidRDefault="0023415E" w:rsidP="00CF1603">
            <w:pPr>
              <w:jc w:val="left"/>
              <w:rPr>
                <w:rFonts w:asciiTheme="majorHAnsi" w:hAnsiTheme="majorHAnsi"/>
                <w:color w:val="auto"/>
                <w:sz w:val="18"/>
                <w:szCs w:val="18"/>
              </w:rPr>
            </w:pPr>
            <w:r>
              <w:rPr>
                <w:rFonts w:asciiTheme="majorHAnsi" w:hAnsiTheme="majorHAnsi"/>
                <w:color w:val="auto"/>
                <w:sz w:val="18"/>
                <w:szCs w:val="18"/>
              </w:rPr>
              <w:t>No information</w:t>
            </w:r>
          </w:p>
        </w:tc>
        <w:tc>
          <w:tcPr>
            <w:tcW w:w="833" w:type="pct"/>
          </w:tcPr>
          <w:p w14:paraId="633E7820" w14:textId="6D8EDECA" w:rsidR="002F6442" w:rsidRPr="00F956BF" w:rsidRDefault="0024721B" w:rsidP="00CF1603">
            <w:pPr>
              <w:jc w:val="left"/>
              <w:rPr>
                <w:rFonts w:asciiTheme="majorHAnsi" w:hAnsiTheme="majorHAnsi"/>
                <w:color w:val="auto"/>
                <w:sz w:val="18"/>
                <w:szCs w:val="18"/>
              </w:rPr>
            </w:pPr>
            <w:r>
              <w:rPr>
                <w:rFonts w:asciiTheme="majorHAnsi" w:hAnsiTheme="majorHAnsi"/>
                <w:color w:val="auto"/>
                <w:sz w:val="18"/>
                <w:szCs w:val="18"/>
              </w:rPr>
              <w:t xml:space="preserve">Only found: </w:t>
            </w:r>
            <w:r w:rsidR="00D75837">
              <w:rPr>
                <w:rFonts w:asciiTheme="majorHAnsi" w:hAnsiTheme="majorHAnsi"/>
                <w:color w:val="auto"/>
                <w:sz w:val="18"/>
                <w:szCs w:val="18"/>
              </w:rPr>
              <w:t xml:space="preserve">Following the steps of </w:t>
            </w:r>
            <w:proofErr w:type="spellStart"/>
            <w:r w:rsidR="00D75837">
              <w:rPr>
                <w:rFonts w:asciiTheme="majorHAnsi" w:hAnsiTheme="majorHAnsi"/>
                <w:color w:val="auto"/>
                <w:sz w:val="18"/>
                <w:szCs w:val="18"/>
              </w:rPr>
              <w:t>Eb</w:t>
            </w:r>
            <w:r w:rsidR="002F6442" w:rsidRPr="00F956BF">
              <w:rPr>
                <w:rFonts w:asciiTheme="majorHAnsi" w:hAnsiTheme="majorHAnsi"/>
                <w:color w:val="auto"/>
                <w:sz w:val="18"/>
                <w:szCs w:val="18"/>
              </w:rPr>
              <w:t>M</w:t>
            </w:r>
            <w:proofErr w:type="spellEnd"/>
          </w:p>
        </w:tc>
        <w:tc>
          <w:tcPr>
            <w:tcW w:w="833" w:type="pct"/>
          </w:tcPr>
          <w:p w14:paraId="76B830FC" w14:textId="561AC059" w:rsidR="002F6442" w:rsidRPr="00F956BF" w:rsidRDefault="001469B0" w:rsidP="00CF1603">
            <w:pPr>
              <w:jc w:val="left"/>
              <w:rPr>
                <w:rFonts w:asciiTheme="majorHAnsi" w:hAnsiTheme="majorHAnsi"/>
                <w:color w:val="auto"/>
                <w:sz w:val="18"/>
                <w:szCs w:val="18"/>
              </w:rPr>
            </w:pPr>
            <w:r>
              <w:rPr>
                <w:rFonts w:asciiTheme="majorHAnsi" w:hAnsiTheme="majorHAnsi"/>
                <w:color w:val="auto"/>
                <w:sz w:val="18"/>
                <w:szCs w:val="18"/>
              </w:rPr>
              <w:t xml:space="preserve">Use of the </w:t>
            </w:r>
            <w:r w:rsidR="002F6442" w:rsidRPr="00F956BF">
              <w:rPr>
                <w:rFonts w:asciiTheme="majorHAnsi" w:hAnsiTheme="majorHAnsi"/>
                <w:color w:val="auto"/>
                <w:sz w:val="18"/>
                <w:szCs w:val="18"/>
              </w:rPr>
              <w:t>PICO scheme</w:t>
            </w:r>
          </w:p>
          <w:p w14:paraId="133C3AA5" w14:textId="77777777" w:rsidR="002F6442" w:rsidRPr="00F956BF" w:rsidRDefault="002F6442" w:rsidP="00CF1603">
            <w:pPr>
              <w:jc w:val="left"/>
              <w:rPr>
                <w:rFonts w:asciiTheme="majorHAnsi" w:hAnsiTheme="majorHAnsi"/>
                <w:color w:val="auto"/>
                <w:sz w:val="18"/>
                <w:szCs w:val="18"/>
              </w:rPr>
            </w:pPr>
          </w:p>
        </w:tc>
      </w:tr>
      <w:tr w:rsidR="00985031" w:rsidRPr="00F956BF" w14:paraId="234DB67F" w14:textId="77777777" w:rsidTr="00F956BF">
        <w:tc>
          <w:tcPr>
            <w:tcW w:w="5000" w:type="pct"/>
            <w:gridSpan w:val="6"/>
            <w:shd w:val="clear" w:color="auto" w:fill="F2F2F2" w:themeFill="background1" w:themeFillShade="F2"/>
          </w:tcPr>
          <w:p w14:paraId="39F5BC83" w14:textId="4CDBBC17"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7. Cost and Economic Evaluation</w:t>
            </w:r>
          </w:p>
        </w:tc>
      </w:tr>
      <w:tr w:rsidR="00985031" w:rsidRPr="00F956BF" w14:paraId="24D35BF7" w14:textId="77777777" w:rsidTr="00985031">
        <w:tc>
          <w:tcPr>
            <w:tcW w:w="5000" w:type="pct"/>
            <w:gridSpan w:val="6"/>
            <w:shd w:val="clear" w:color="auto" w:fill="auto"/>
          </w:tcPr>
          <w:p w14:paraId="5474EDCB" w14:textId="79FA379C"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a) If cost or cost-effectiveness information is considered, what methods of evaluation are allowed?</w:t>
            </w:r>
          </w:p>
        </w:tc>
      </w:tr>
      <w:tr w:rsidR="002F6442" w:rsidRPr="00F956BF" w14:paraId="4F897EC5" w14:textId="77777777" w:rsidTr="00985031">
        <w:tc>
          <w:tcPr>
            <w:tcW w:w="833" w:type="pct"/>
            <w:shd w:val="clear" w:color="auto" w:fill="auto"/>
          </w:tcPr>
          <w:p w14:paraId="60375D4F"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47037A36" w14:textId="1CA9F784" w:rsidR="002F6442" w:rsidRPr="00F956BF" w:rsidRDefault="002F6442" w:rsidP="00D10575">
            <w:pPr>
              <w:jc w:val="left"/>
              <w:rPr>
                <w:rFonts w:asciiTheme="majorHAnsi" w:hAnsiTheme="majorHAnsi"/>
                <w:color w:val="auto"/>
                <w:sz w:val="18"/>
                <w:szCs w:val="18"/>
              </w:rPr>
            </w:pPr>
            <w:r w:rsidRPr="00F956BF">
              <w:rPr>
                <w:rFonts w:asciiTheme="majorHAnsi" w:hAnsiTheme="majorHAnsi"/>
                <w:color w:val="auto"/>
                <w:sz w:val="18"/>
                <w:szCs w:val="18"/>
              </w:rPr>
              <w:t>For the reference case, cost-effectiveness (specifically cost–utility) analysis is the preferred form of economic evaluation. This seeks to establish whether differences in costs between options can be justified in terms of health effects related to quality of life.</w:t>
            </w:r>
          </w:p>
        </w:tc>
        <w:tc>
          <w:tcPr>
            <w:tcW w:w="833" w:type="pct"/>
          </w:tcPr>
          <w:p w14:paraId="6B7453A3"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approach expected to be appropriate for most technologies is cost-consequence analysis.</w:t>
            </w:r>
          </w:p>
          <w:p w14:paraId="68B9953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Such analysis may not be needed if relevant high-quality economic evaluations are already available.</w:t>
            </w:r>
          </w:p>
        </w:tc>
        <w:tc>
          <w:tcPr>
            <w:tcW w:w="834" w:type="pct"/>
          </w:tcPr>
          <w:p w14:paraId="329F3D45"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 effectiveness not assessed</w:t>
            </w:r>
          </w:p>
        </w:tc>
        <w:tc>
          <w:tcPr>
            <w:tcW w:w="833" w:type="pct"/>
          </w:tcPr>
          <w:p w14:paraId="21FE606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64EF6884" w14:textId="33F3BEF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Methods of cost-effectiveness excluded in this report.</w:t>
            </w:r>
          </w:p>
        </w:tc>
      </w:tr>
      <w:tr w:rsidR="00985031" w:rsidRPr="00F956BF" w14:paraId="499A5FE7" w14:textId="77777777" w:rsidTr="00985031">
        <w:tc>
          <w:tcPr>
            <w:tcW w:w="5000" w:type="pct"/>
            <w:gridSpan w:val="6"/>
            <w:shd w:val="clear" w:color="auto" w:fill="auto"/>
          </w:tcPr>
          <w:p w14:paraId="5A59FF0C" w14:textId="22672DE4"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b) If cost or cost-effectiveness information is considered, what types of analyses are allowed/recommended?</w:t>
            </w:r>
          </w:p>
        </w:tc>
      </w:tr>
      <w:tr w:rsidR="002F6442" w:rsidRPr="00F956BF" w14:paraId="366BF707" w14:textId="77777777" w:rsidTr="00985031">
        <w:tc>
          <w:tcPr>
            <w:tcW w:w="833" w:type="pct"/>
            <w:shd w:val="clear" w:color="auto" w:fill="auto"/>
          </w:tcPr>
          <w:p w14:paraId="6A6829E9"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391CB9D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DAP considers cost effectiveness analysis with health outcomes expressed as QALYs.</w:t>
            </w:r>
          </w:p>
        </w:tc>
        <w:tc>
          <w:tcPr>
            <w:tcW w:w="833" w:type="pct"/>
          </w:tcPr>
          <w:p w14:paraId="1E116F87" w14:textId="0C278CC5" w:rsidR="00985031"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Cost-consequence analysis considers the costs and resource consequences resulting from, the use of the technology under evaluation and comparator technologies, as well as considering relevant clinical benef</w:t>
            </w:r>
            <w:r w:rsidR="00F956BF">
              <w:rPr>
                <w:rFonts w:asciiTheme="majorHAnsi" w:hAnsiTheme="majorHAnsi"/>
                <w:color w:val="auto"/>
                <w:sz w:val="18"/>
                <w:szCs w:val="18"/>
              </w:rPr>
              <w:t>its alongside the cost analysis.</w:t>
            </w:r>
          </w:p>
        </w:tc>
        <w:tc>
          <w:tcPr>
            <w:tcW w:w="834" w:type="pct"/>
          </w:tcPr>
          <w:p w14:paraId="1DF05766"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 effectiveness not assessed</w:t>
            </w:r>
          </w:p>
        </w:tc>
        <w:tc>
          <w:tcPr>
            <w:tcW w:w="833" w:type="pct"/>
          </w:tcPr>
          <w:p w14:paraId="2855B73A"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1EB8E668" w14:textId="73661279"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Methods of cost-effectiveness excluded in this report.</w:t>
            </w:r>
          </w:p>
        </w:tc>
      </w:tr>
      <w:tr w:rsidR="00985031" w:rsidRPr="00F956BF" w14:paraId="20386412" w14:textId="77777777" w:rsidTr="00985031">
        <w:tc>
          <w:tcPr>
            <w:tcW w:w="5000" w:type="pct"/>
            <w:gridSpan w:val="6"/>
            <w:shd w:val="clear" w:color="auto" w:fill="auto"/>
          </w:tcPr>
          <w:p w14:paraId="1328D321" w14:textId="244EDD27"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c) If cost-effectiveness information is considered, what kind of perspective must be used for the cost-effectiveness assessment?</w:t>
            </w:r>
          </w:p>
        </w:tc>
      </w:tr>
      <w:tr w:rsidR="002F6442" w:rsidRPr="00F956BF" w14:paraId="0373A1CA" w14:textId="77777777" w:rsidTr="00985031">
        <w:tc>
          <w:tcPr>
            <w:tcW w:w="833" w:type="pct"/>
            <w:shd w:val="clear" w:color="auto" w:fill="auto"/>
          </w:tcPr>
          <w:p w14:paraId="7E3CB35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79B9F5B6" w14:textId="28F0EFFB"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Reference case: financial costs relevant to the NHS/PSS. As far as possible, estimates of unit costs and prices for particular resources should be used consistently across evaluations. Diagnostic tests should generally be priced at average cost.</w:t>
            </w:r>
          </w:p>
        </w:tc>
        <w:tc>
          <w:tcPr>
            <w:tcW w:w="833" w:type="pct"/>
          </w:tcPr>
          <w:p w14:paraId="6E143BE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Models should capture and quantify the impact of introducing a new technology into current healthcare pathways and routine NHS use.</w:t>
            </w:r>
          </w:p>
        </w:tc>
        <w:tc>
          <w:tcPr>
            <w:tcW w:w="834" w:type="pct"/>
          </w:tcPr>
          <w:p w14:paraId="194BFA32"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 effectiveness not assessed</w:t>
            </w:r>
          </w:p>
        </w:tc>
        <w:tc>
          <w:tcPr>
            <w:tcW w:w="833" w:type="pct"/>
          </w:tcPr>
          <w:p w14:paraId="12CA16D3"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6CE760A6" w14:textId="7A0D24EE"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Methods of cost-effectiveness excluded in this report.</w:t>
            </w:r>
          </w:p>
        </w:tc>
      </w:tr>
      <w:tr w:rsidR="00985031" w:rsidRPr="00F956BF" w14:paraId="2EDFB082" w14:textId="77777777" w:rsidTr="00985031">
        <w:tc>
          <w:tcPr>
            <w:tcW w:w="5000" w:type="pct"/>
            <w:gridSpan w:val="6"/>
            <w:shd w:val="clear" w:color="auto" w:fill="auto"/>
          </w:tcPr>
          <w:p w14:paraId="139AA604" w14:textId="037DC4DA"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d) If cost-effectiveness information is considered, is estimation of uncertainty mandatory (e.g. confidence intervals)?</w:t>
            </w:r>
          </w:p>
        </w:tc>
      </w:tr>
      <w:tr w:rsidR="002F6442" w:rsidRPr="00F956BF" w14:paraId="3236C440" w14:textId="77777777" w:rsidTr="00985031">
        <w:tc>
          <w:tcPr>
            <w:tcW w:w="833" w:type="pct"/>
            <w:shd w:val="clear" w:color="auto" w:fill="auto"/>
          </w:tcPr>
          <w:p w14:paraId="4CF0A920"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47950DB0" w14:textId="3E332E2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Sensitivity analysis should be used to explore uncertainty around the key structural assumptions used in the analysis (scenarios and parameters).</w:t>
            </w:r>
          </w:p>
        </w:tc>
        <w:tc>
          <w:tcPr>
            <w:tcW w:w="833" w:type="pct"/>
          </w:tcPr>
          <w:p w14:paraId="3C3AE358" w14:textId="70F957A6" w:rsidR="002F6442" w:rsidRPr="00F956BF" w:rsidRDefault="002F6442" w:rsidP="00D10575">
            <w:pPr>
              <w:jc w:val="left"/>
              <w:rPr>
                <w:rFonts w:asciiTheme="majorHAnsi" w:hAnsiTheme="majorHAnsi"/>
                <w:color w:val="auto"/>
                <w:sz w:val="18"/>
                <w:szCs w:val="18"/>
              </w:rPr>
            </w:pPr>
            <w:r w:rsidRPr="00F956BF">
              <w:rPr>
                <w:rFonts w:asciiTheme="majorHAnsi" w:hAnsiTheme="majorHAnsi"/>
                <w:color w:val="auto"/>
                <w:sz w:val="18"/>
                <w:szCs w:val="18"/>
              </w:rPr>
              <w:t>Uncertainty analysis techniques (relating to chance, evidential and model uncertainty) should be undertaken (e.g. scenario-based deterministic sensitivity analysis, threshold analysis or probabilistic sensitivity analysis)</w:t>
            </w:r>
          </w:p>
        </w:tc>
        <w:tc>
          <w:tcPr>
            <w:tcW w:w="834" w:type="pct"/>
          </w:tcPr>
          <w:p w14:paraId="3A30689B"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 effectiveness not assessed</w:t>
            </w:r>
          </w:p>
        </w:tc>
        <w:tc>
          <w:tcPr>
            <w:tcW w:w="833" w:type="pct"/>
          </w:tcPr>
          <w:p w14:paraId="6E29E0A4"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1315464D" w14:textId="17B63FCA"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Methods of cost-effectiveness excluded in this report.</w:t>
            </w:r>
          </w:p>
        </w:tc>
      </w:tr>
      <w:tr w:rsidR="00985031" w:rsidRPr="00F956BF" w14:paraId="7F5448F2" w14:textId="77777777" w:rsidTr="00985031">
        <w:tc>
          <w:tcPr>
            <w:tcW w:w="5000" w:type="pct"/>
            <w:gridSpan w:val="6"/>
            <w:shd w:val="clear" w:color="auto" w:fill="auto"/>
          </w:tcPr>
          <w:p w14:paraId="79A663EC" w14:textId="4D07AA90"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e) If cost-effectiveness information is considered, are threshold used to determine whether technology is cost-effective?</w:t>
            </w:r>
          </w:p>
        </w:tc>
      </w:tr>
      <w:tr w:rsidR="002F6442" w:rsidRPr="00F956BF" w14:paraId="4D47AC3E" w14:textId="77777777" w:rsidTr="00985031">
        <w:tc>
          <w:tcPr>
            <w:tcW w:w="833" w:type="pct"/>
            <w:shd w:val="clear" w:color="auto" w:fill="auto"/>
          </w:tcPr>
          <w:p w14:paraId="224063EE"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4" w:type="pct"/>
            <w:shd w:val="clear" w:color="auto" w:fill="auto"/>
          </w:tcPr>
          <w:p w14:paraId="1B4660DA" w14:textId="61A7EE88" w:rsidR="002F6442" w:rsidRPr="00F956BF" w:rsidRDefault="002F6442" w:rsidP="00985031">
            <w:pPr>
              <w:jc w:val="left"/>
              <w:rPr>
                <w:rFonts w:asciiTheme="majorHAnsi" w:hAnsiTheme="majorHAnsi"/>
                <w:color w:val="auto"/>
                <w:sz w:val="18"/>
                <w:szCs w:val="18"/>
              </w:rPr>
            </w:pPr>
            <w:r w:rsidRPr="00F956BF">
              <w:rPr>
                <w:rFonts w:asciiTheme="majorHAnsi" w:hAnsiTheme="majorHAnsi"/>
                <w:color w:val="auto"/>
                <w:sz w:val="18"/>
                <w:szCs w:val="18"/>
              </w:rPr>
              <w:t>Expected net monetary or health benefits may be presented (in addition to ICERs), using values of £20,000 and £30,000 for a QALY gained.</w:t>
            </w:r>
          </w:p>
        </w:tc>
        <w:tc>
          <w:tcPr>
            <w:tcW w:w="833" w:type="pct"/>
          </w:tcPr>
          <w:p w14:paraId="75FE584B"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 xml:space="preserve">Discounting principles consistent with other NICE guidance </w:t>
            </w:r>
            <w:proofErr w:type="spellStart"/>
            <w:r w:rsidRPr="00F956BF">
              <w:rPr>
                <w:rFonts w:asciiTheme="majorHAnsi" w:hAnsiTheme="majorHAnsi"/>
                <w:color w:val="auto"/>
                <w:sz w:val="18"/>
                <w:szCs w:val="18"/>
              </w:rPr>
              <w:t>programmes</w:t>
            </w:r>
            <w:proofErr w:type="spellEnd"/>
            <w:r w:rsidRPr="00F956BF">
              <w:rPr>
                <w:rFonts w:asciiTheme="majorHAnsi" w:hAnsiTheme="majorHAnsi"/>
                <w:color w:val="auto"/>
                <w:sz w:val="18"/>
                <w:szCs w:val="18"/>
              </w:rPr>
              <w:t>, discount rate of 3.5%.</w:t>
            </w:r>
          </w:p>
        </w:tc>
        <w:tc>
          <w:tcPr>
            <w:tcW w:w="834" w:type="pct"/>
          </w:tcPr>
          <w:p w14:paraId="398E31ED"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Cost effectiveness not assessed</w:t>
            </w:r>
          </w:p>
        </w:tc>
        <w:tc>
          <w:tcPr>
            <w:tcW w:w="833" w:type="pct"/>
          </w:tcPr>
          <w:p w14:paraId="1F1E3488" w14:textId="777777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No information</w:t>
            </w:r>
          </w:p>
        </w:tc>
        <w:tc>
          <w:tcPr>
            <w:tcW w:w="833" w:type="pct"/>
          </w:tcPr>
          <w:p w14:paraId="667C6550" w14:textId="05B2FE6B"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Methods of cost-effectiveness excluded in this report.</w:t>
            </w:r>
          </w:p>
        </w:tc>
      </w:tr>
      <w:tr w:rsidR="00985031" w:rsidRPr="00F956BF" w14:paraId="75FD3E75" w14:textId="77777777" w:rsidTr="00F956BF">
        <w:tc>
          <w:tcPr>
            <w:tcW w:w="5000" w:type="pct"/>
            <w:gridSpan w:val="6"/>
            <w:shd w:val="clear" w:color="auto" w:fill="F2F2F2" w:themeFill="background1" w:themeFillShade="F2"/>
          </w:tcPr>
          <w:p w14:paraId="46F9BE10" w14:textId="04FFBD78" w:rsidR="00985031" w:rsidRPr="00F956BF" w:rsidRDefault="00985031" w:rsidP="00CF1603">
            <w:pPr>
              <w:jc w:val="left"/>
              <w:rPr>
                <w:rFonts w:asciiTheme="majorHAnsi" w:hAnsiTheme="majorHAnsi"/>
                <w:color w:val="auto"/>
                <w:sz w:val="18"/>
                <w:szCs w:val="18"/>
              </w:rPr>
            </w:pPr>
            <w:r w:rsidRPr="00F956BF">
              <w:rPr>
                <w:rFonts w:asciiTheme="majorHAnsi" w:hAnsiTheme="majorHAnsi"/>
                <w:b/>
                <w:color w:val="auto"/>
                <w:sz w:val="18"/>
                <w:szCs w:val="18"/>
              </w:rPr>
              <w:t>8. Other aspects</w:t>
            </w:r>
          </w:p>
        </w:tc>
      </w:tr>
      <w:tr w:rsidR="002F6442" w:rsidRPr="00F956BF" w14:paraId="5ABC6C65" w14:textId="77777777" w:rsidTr="00985031">
        <w:tc>
          <w:tcPr>
            <w:tcW w:w="833" w:type="pct"/>
            <w:shd w:val="clear" w:color="auto" w:fill="auto"/>
          </w:tcPr>
          <w:p w14:paraId="05543B0C" w14:textId="0967DE31"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w:t>
            </w:r>
          </w:p>
        </w:tc>
        <w:tc>
          <w:tcPr>
            <w:tcW w:w="834" w:type="pct"/>
            <w:shd w:val="clear" w:color="auto" w:fill="auto"/>
          </w:tcPr>
          <w:p w14:paraId="0B69ED91" w14:textId="4C7E49F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Characteristics of diagnostic technologies  pointed out:</w:t>
            </w:r>
          </w:p>
          <w:p w14:paraId="79CB7B9C" w14:textId="23E83A43"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Evidence about patient outcomes for diagnostic technologies is lower in quantity and quality than evidence for pharmaceutical products.</w:t>
            </w:r>
          </w:p>
          <w:p w14:paraId="7C26C254" w14:textId="755C6D1D"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Diagnostic technologies, particularly those based on electronics, often change rapidly as new methods, upgrades and capabilities are added.</w:t>
            </w:r>
          </w:p>
        </w:tc>
        <w:tc>
          <w:tcPr>
            <w:tcW w:w="833" w:type="pct"/>
          </w:tcPr>
          <w:p w14:paraId="0BDA06EC" w14:textId="71F52577"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Characteristics of medical technologies pointed out in method guide: Medical technologies are different from other medical interventions because technologies may be modified over time in ways that change their effectiveness. The clinical outcomes resulting from the use of technologies often depend on the training, competence and experience of the user (sometimes referr</w:t>
            </w:r>
            <w:r w:rsidR="007622E6" w:rsidRPr="00F956BF">
              <w:rPr>
                <w:rFonts w:asciiTheme="majorHAnsi" w:hAnsiTheme="majorHAnsi"/>
                <w:color w:val="auto"/>
                <w:sz w:val="18"/>
                <w:szCs w:val="18"/>
              </w:rPr>
              <w:t>ed to as the ‘learning curve’). (</w:t>
            </w:r>
            <w:r w:rsidR="007622E6" w:rsidRPr="00F956BF">
              <w:rPr>
                <w:rFonts w:asciiTheme="majorHAnsi" w:hAnsiTheme="majorHAnsi"/>
                <w:i/>
                <w:color w:val="auto"/>
                <w:sz w:val="18"/>
                <w:szCs w:val="18"/>
              </w:rPr>
              <w:t>continues in next page</w:t>
            </w:r>
            <w:r w:rsidR="007622E6" w:rsidRPr="00F956BF">
              <w:rPr>
                <w:rFonts w:asciiTheme="majorHAnsi" w:hAnsiTheme="majorHAnsi"/>
                <w:color w:val="auto"/>
                <w:sz w:val="18"/>
                <w:szCs w:val="18"/>
              </w:rPr>
              <w:t>) (…)</w:t>
            </w:r>
            <w:r w:rsidRPr="00F956BF">
              <w:rPr>
                <w:rFonts w:asciiTheme="majorHAnsi" w:hAnsiTheme="majorHAnsi"/>
                <w:color w:val="auto"/>
                <w:sz w:val="18"/>
                <w:szCs w:val="18"/>
              </w:rPr>
              <w:t>The Committee may make recommendations for use of the technology in specific circumstances only (e.g. by staff with certain training) and may also recommend development of further evidence or the use in a research context.</w:t>
            </w:r>
          </w:p>
        </w:tc>
        <w:tc>
          <w:tcPr>
            <w:tcW w:w="834" w:type="pct"/>
          </w:tcPr>
          <w:p w14:paraId="56D74A1A" w14:textId="2F64C6E5"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The Committee makes recommendations about the procedure on the basis of the available evidence relating to its efficacy and safety. These maybe affected by certain variables about which published evidence provides little or no helpful information. The individual operator and the different devices used to perform procedures are often important in this context.</w:t>
            </w:r>
            <w:r w:rsidR="007622E6" w:rsidRPr="00F956BF">
              <w:rPr>
                <w:rFonts w:asciiTheme="majorHAnsi" w:hAnsiTheme="majorHAnsi"/>
                <w:color w:val="auto"/>
                <w:sz w:val="18"/>
                <w:szCs w:val="18"/>
              </w:rPr>
              <w:t xml:space="preserve"> </w:t>
            </w:r>
            <w:r w:rsidRPr="00F956BF">
              <w:rPr>
                <w:rFonts w:asciiTheme="majorHAnsi" w:hAnsiTheme="majorHAnsi"/>
                <w:color w:val="auto"/>
                <w:sz w:val="18"/>
                <w:szCs w:val="18"/>
              </w:rPr>
              <w:t>Different recommendations possible.</w:t>
            </w:r>
          </w:p>
        </w:tc>
        <w:tc>
          <w:tcPr>
            <w:tcW w:w="833" w:type="pct"/>
          </w:tcPr>
          <w:p w14:paraId="46B316D7" w14:textId="319110EF"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Give details of constructing a comparative analysis framework.</w:t>
            </w:r>
          </w:p>
        </w:tc>
        <w:tc>
          <w:tcPr>
            <w:tcW w:w="833" w:type="pct"/>
          </w:tcPr>
          <w:p w14:paraId="3B44D56C" w14:textId="1C32FC76" w:rsidR="002F6442" w:rsidRPr="00F956BF" w:rsidRDefault="002F6442" w:rsidP="00CF1603">
            <w:pPr>
              <w:jc w:val="left"/>
              <w:rPr>
                <w:rFonts w:asciiTheme="majorHAnsi" w:hAnsiTheme="majorHAnsi"/>
                <w:color w:val="auto"/>
                <w:sz w:val="18"/>
                <w:szCs w:val="18"/>
              </w:rPr>
            </w:pPr>
            <w:r w:rsidRPr="00F956BF">
              <w:rPr>
                <w:rFonts w:asciiTheme="majorHAnsi" w:hAnsiTheme="majorHAnsi"/>
                <w:color w:val="auto"/>
                <w:sz w:val="18"/>
                <w:szCs w:val="18"/>
              </w:rPr>
              <w:t>-</w:t>
            </w:r>
          </w:p>
        </w:tc>
      </w:tr>
    </w:tbl>
    <w:p w14:paraId="17A1FBA7" w14:textId="7757D4E7" w:rsidR="00423D0E" w:rsidRDefault="00423D0E" w:rsidP="00423D0E">
      <w:pPr>
        <w:spacing w:before="0" w:after="0"/>
        <w:jc w:val="left"/>
        <w:rPr>
          <w:sz w:val="2"/>
          <w:szCs w:val="2"/>
        </w:rPr>
      </w:pPr>
    </w:p>
    <w:p w14:paraId="7F8F94C8" w14:textId="424BA807" w:rsidR="00D27E0F" w:rsidRPr="00423D0E" w:rsidRDefault="00423D0E" w:rsidP="00423D0E">
      <w:pPr>
        <w:tabs>
          <w:tab w:val="left" w:pos="2663"/>
        </w:tabs>
        <w:rPr>
          <w:sz w:val="2"/>
          <w:szCs w:val="2"/>
        </w:rPr>
      </w:pPr>
      <w:r>
        <w:rPr>
          <w:sz w:val="2"/>
          <w:szCs w:val="2"/>
        </w:rPr>
        <w:tab/>
      </w:r>
      <w:bookmarkStart w:id="0" w:name="_GoBack"/>
      <w:bookmarkEnd w:id="0"/>
    </w:p>
    <w:sectPr w:rsidR="00D27E0F" w:rsidRPr="00423D0E" w:rsidSect="00985031">
      <w:footerReference w:type="even" r:id="rId8"/>
      <w:footerReference w:type="default" r:id="rId9"/>
      <w:endnotePr>
        <w:numFmt w:val="decimal"/>
      </w:endnotePr>
      <w:type w:val="continuous"/>
      <w:pgSz w:w="16840" w:h="11900" w:orient="landscape"/>
      <w:pgMar w:top="567" w:right="567" w:bottom="567" w:left="56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8EA04" w14:textId="77777777" w:rsidR="00985031" w:rsidRDefault="00985031" w:rsidP="00266A4E">
      <w:pPr>
        <w:spacing w:before="0" w:after="0"/>
      </w:pPr>
      <w:r>
        <w:separator/>
      </w:r>
    </w:p>
  </w:endnote>
  <w:endnote w:type="continuationSeparator" w:id="0">
    <w:p w14:paraId="5FD710F0" w14:textId="77777777" w:rsidR="00985031" w:rsidRDefault="00985031" w:rsidP="00266A4E">
      <w:pPr>
        <w:spacing w:before="0" w:after="0"/>
      </w:pPr>
      <w:r>
        <w:continuationSeparator/>
      </w:r>
    </w:p>
  </w:endnote>
  <w:endnote w:id="1">
    <w:p w14:paraId="6AB10890" w14:textId="77777777" w:rsidR="003D34EC" w:rsidRDefault="003D34EC" w:rsidP="003D34EC">
      <w:pPr>
        <w:pStyle w:val="Funotentext"/>
        <w:ind w:firstLine="720"/>
      </w:pPr>
    </w:p>
    <w:p w14:paraId="3D12F4F6" w14:textId="19CA2CD9" w:rsidR="009968CA" w:rsidRDefault="003079FF" w:rsidP="0095535C">
      <w:pPr>
        <w:pStyle w:val="Funotentext"/>
      </w:pPr>
      <w:r w:rsidRPr="00470BAC">
        <w:t>*</w:t>
      </w:r>
      <w:proofErr w:type="spellStart"/>
      <w:r w:rsidR="00224886" w:rsidRPr="00470BAC">
        <w:t>Medte</w:t>
      </w:r>
      <w:r w:rsidR="002D39AF" w:rsidRPr="00470BAC">
        <w:t>ch</w:t>
      </w:r>
      <w:proofErr w:type="spellEnd"/>
      <w:r w:rsidR="002D39AF" w:rsidRPr="00470BAC">
        <w:t xml:space="preserve"> Innovation Briefings (MIBs): </w:t>
      </w:r>
      <w:r w:rsidR="00224886" w:rsidRPr="00470BAC">
        <w:t xml:space="preserve">integrated process statement on how NICE select topics and prepare the documents (available </w:t>
      </w:r>
      <w:hyperlink r:id="rId1" w:history="1">
        <w:r w:rsidR="00224886" w:rsidRPr="00470BAC">
          <w:rPr>
            <w:rStyle w:val="Hyperlink"/>
          </w:rPr>
          <w:t>here</w:t>
        </w:r>
      </w:hyperlink>
      <w:r w:rsidR="00224886" w:rsidRPr="00470BAC">
        <w:t>)</w:t>
      </w:r>
      <w:r w:rsidR="004C7520">
        <w:t>; belongs to</w:t>
      </w:r>
      <w:r w:rsidR="002D39AF" w:rsidRPr="00470BAC">
        <w:t xml:space="preserve"> </w:t>
      </w:r>
      <w:r w:rsidR="004C7520">
        <w:t xml:space="preserve">the </w:t>
      </w:r>
      <w:r w:rsidR="002D39AF" w:rsidRPr="00470BAC">
        <w:t xml:space="preserve">MTEP </w:t>
      </w:r>
      <w:proofErr w:type="spellStart"/>
      <w:r w:rsidR="002D39AF" w:rsidRPr="00470BAC">
        <w:t>p</w:t>
      </w:r>
      <w:r w:rsidR="009419B0">
        <w:t>rogramme</w:t>
      </w:r>
      <w:proofErr w:type="spellEnd"/>
      <w:r w:rsidR="009419B0">
        <w:t xml:space="preserve"> but was not considered. </w:t>
      </w:r>
    </w:p>
    <w:p w14:paraId="22F29FC2" w14:textId="406C773E" w:rsidR="00F55558" w:rsidRDefault="002624DD" w:rsidP="00F55558">
      <w:pPr>
        <w:pStyle w:val="Funotentext"/>
      </w:pPr>
      <w:r w:rsidRPr="00EF3C04">
        <w:t>*</w:t>
      </w:r>
      <w:r w:rsidR="003079FF" w:rsidRPr="00EF3C04">
        <w:t>*</w:t>
      </w:r>
      <w:r w:rsidR="00F55558">
        <w:t xml:space="preserve">Interim addendum to replace existing section 8, Guidance reviews, in MTEP process guide was considered in the analysis; Available </w:t>
      </w:r>
      <w:hyperlink r:id="rId2" w:history="1">
        <w:r w:rsidR="00F55558" w:rsidRPr="00F55558">
          <w:rPr>
            <w:rStyle w:val="Hyperlink"/>
          </w:rPr>
          <w:t>here</w:t>
        </w:r>
      </w:hyperlink>
      <w:r w:rsidR="00F55558">
        <w:t xml:space="preserve"> </w:t>
      </w:r>
    </w:p>
    <w:p w14:paraId="4004ADFD" w14:textId="617D1C45" w:rsidR="003F773D" w:rsidRPr="00EF3C04" w:rsidRDefault="00F55558" w:rsidP="0095535C">
      <w:pPr>
        <w:pStyle w:val="Funotentext"/>
      </w:pPr>
      <w:r>
        <w:t>***</w:t>
      </w:r>
      <w:r w:rsidR="002624DD" w:rsidRPr="00EF3C04">
        <w:t xml:space="preserve">Update of ‘Assessment of established medical science and medical practice, 2007’ (2015, English summary available </w:t>
      </w:r>
      <w:hyperlink r:id="rId3" w:history="1">
        <w:r w:rsidR="002624DD" w:rsidRPr="00EF3C04">
          <w:rPr>
            <w:rStyle w:val="Hyperlink"/>
          </w:rPr>
          <w:t>here</w:t>
        </w:r>
      </w:hyperlink>
      <w:r w:rsidR="002624DD" w:rsidRPr="00EF3C04">
        <w:t xml:space="preserve">) also touched the assessment of medical tests, </w:t>
      </w:r>
      <w:r w:rsidR="003079FF" w:rsidRPr="00EF3C04">
        <w:t xml:space="preserve">thus we considered the updated </w:t>
      </w:r>
      <w:r w:rsidR="002624DD" w:rsidRPr="00EF3C04">
        <w:t>information given in the summary in our extraction and analysis.</w:t>
      </w:r>
    </w:p>
    <w:p w14:paraId="7EA158C9" w14:textId="24771C17" w:rsidR="00985031" w:rsidRPr="00EF3C04" w:rsidRDefault="00985031" w:rsidP="0095535C">
      <w:pPr>
        <w:pStyle w:val="Funotentext"/>
      </w:pPr>
      <w:r w:rsidRPr="00EF3C04">
        <w:rPr>
          <w:rStyle w:val="Endnotenzeichen"/>
        </w:rPr>
        <w:endnoteRef/>
      </w:r>
      <w:r w:rsidRPr="00EF3C04">
        <w:t xml:space="preserve"> </w:t>
      </w:r>
      <w:r w:rsidR="00470BAC">
        <w:t>F</w:t>
      </w:r>
      <w:r w:rsidRPr="00EF3C04">
        <w:t>ocuses on benefit assessments carried out by HAS, specifically regarding the diagnostic or therapeutic benefit as well as the public health benefit.</w:t>
      </w:r>
    </w:p>
  </w:endnote>
  <w:endnote w:id="2">
    <w:p w14:paraId="0ED80ADD" w14:textId="5A0F53ED" w:rsidR="00985031" w:rsidRPr="00EF3C04" w:rsidRDefault="00985031" w:rsidP="0095535C">
      <w:pPr>
        <w:pStyle w:val="Funotentext"/>
      </w:pPr>
      <w:r w:rsidRPr="00EF3C04">
        <w:rPr>
          <w:rStyle w:val="Endnotenzeichen"/>
        </w:rPr>
        <w:endnoteRef/>
      </w:r>
      <w:r w:rsidRPr="00EF3C04">
        <w:t xml:space="preserve"> </w:t>
      </w:r>
      <w:r w:rsidR="00470BAC">
        <w:t>E</w:t>
      </w:r>
      <w:r w:rsidRPr="00EF3C04">
        <w:t>valuates diagnostic technologies that have the potential to improve health outcomes but whose introduction is likely to be associated with an overall increase in cost to the NHS.</w:t>
      </w:r>
    </w:p>
  </w:endnote>
  <w:endnote w:id="3">
    <w:p w14:paraId="11256CDF" w14:textId="1D3C5D54" w:rsidR="00985031" w:rsidRPr="00EF3C04" w:rsidRDefault="00985031" w:rsidP="0095535C">
      <w:pPr>
        <w:pStyle w:val="Funotentext"/>
      </w:pPr>
      <w:r w:rsidRPr="00EF3C04">
        <w:rPr>
          <w:rStyle w:val="Endnotenzeichen"/>
        </w:rPr>
        <w:endnoteRef/>
      </w:r>
      <w:r w:rsidRPr="00EF3C04">
        <w:t xml:space="preserve"> </w:t>
      </w:r>
      <w:r w:rsidR="00470BAC">
        <w:t>S</w:t>
      </w:r>
      <w:r w:rsidRPr="00EF3C04">
        <w:t>elects, routes and evaluates new or innovative medical technologies (including devices and diagnostics); evaluates cost saving diagnostics.</w:t>
      </w:r>
    </w:p>
  </w:endnote>
  <w:endnote w:id="4">
    <w:p w14:paraId="63CE5D68" w14:textId="2735E757" w:rsidR="00985031" w:rsidRPr="00EF3C04" w:rsidRDefault="00985031" w:rsidP="0095535C">
      <w:pPr>
        <w:pStyle w:val="Funotentext"/>
      </w:pPr>
      <w:r w:rsidRPr="00EF3C04">
        <w:rPr>
          <w:rStyle w:val="Endnotenzeichen"/>
        </w:rPr>
        <w:endnoteRef/>
      </w:r>
      <w:r w:rsidRPr="00EF3C04">
        <w:t xml:space="preserve"> </w:t>
      </w:r>
      <w:r w:rsidR="00470BAC">
        <w:t>A</w:t>
      </w:r>
      <w:r w:rsidRPr="00EF3C04">
        <w:t xml:space="preserve">ssessment of the efficacy and safety of interventional procedures carried out by the Institute’s Interventional Procedures (IP) </w:t>
      </w:r>
      <w:proofErr w:type="spellStart"/>
      <w:r w:rsidRPr="00EF3C04">
        <w:t>Programme</w:t>
      </w:r>
      <w:proofErr w:type="spellEnd"/>
      <w:r w:rsidRPr="00EF3C04">
        <w:t>; mostly investigates new procedures.</w:t>
      </w:r>
    </w:p>
  </w:endnote>
  <w:endnote w:id="5">
    <w:p w14:paraId="7EE25A09" w14:textId="59F8BB30" w:rsidR="00985031" w:rsidRPr="00EF3C04" w:rsidRDefault="00985031" w:rsidP="0095535C">
      <w:pPr>
        <w:pStyle w:val="Funotentext"/>
      </w:pPr>
      <w:r w:rsidRPr="00EF3C04">
        <w:rPr>
          <w:rStyle w:val="Endnotenzeichen"/>
        </w:rPr>
        <w:endnoteRef/>
      </w:r>
      <w:r w:rsidRPr="00EF3C04">
        <w:t xml:space="preserve"> The report specifically contains an elaboration of the method used by ZiN for assessing medical tests on the basis of principles of </w:t>
      </w:r>
      <w:proofErr w:type="spellStart"/>
      <w:r w:rsidRPr="00EF3C04">
        <w:t>EbM</w:t>
      </w:r>
      <w:proofErr w:type="spellEnd"/>
      <w:r w:rsidRPr="00EF3C04">
        <w:t>. Additionally it aims to inform other parties about the principles and methods used by ZiN.</w:t>
      </w:r>
    </w:p>
  </w:endnote>
  <w:endnote w:id="6">
    <w:p w14:paraId="0563C8F9" w14:textId="73BE62FF" w:rsidR="00102C39" w:rsidRDefault="00985031" w:rsidP="0095535C">
      <w:pPr>
        <w:pStyle w:val="Funotentext"/>
      </w:pPr>
      <w:r w:rsidRPr="00EF3C04">
        <w:rPr>
          <w:rStyle w:val="Endnotenzeichen"/>
        </w:rPr>
        <w:endnoteRef/>
      </w:r>
      <w:r w:rsidRPr="00EF3C04">
        <w:t xml:space="preserve"> The document is meant to complement the LBI internal manual for qualitative evidence synthesis on effectiveness and safety of biomarker tests. Only steps in the assessment which deviate or need special attention are covered, and methods of quantitative evidence synthesis and cost-effectiveness are excluded.</w:t>
      </w:r>
    </w:p>
    <w:p w14:paraId="6021A87C" w14:textId="77777777" w:rsidR="00102C39" w:rsidRPr="00F956BF" w:rsidRDefault="00102C39" w:rsidP="0095535C">
      <w:pPr>
        <w:pStyle w:val="Fu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893F" w14:textId="77777777" w:rsidR="00985031" w:rsidRDefault="00985031" w:rsidP="002874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BE18503" w14:textId="77777777" w:rsidR="00985031" w:rsidRDefault="00985031" w:rsidP="004038B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C94A" w14:textId="61492708" w:rsidR="00985031" w:rsidRDefault="00985031" w:rsidP="002874C2">
    <w:pPr>
      <w:pStyle w:val="Fuzeile"/>
      <w:framePr w:wrap="around" w:vAnchor="text" w:hAnchor="margin" w:xAlign="right" w:y="1"/>
      <w:rPr>
        <w:rStyle w:val="Seitenzahl"/>
      </w:rPr>
    </w:pPr>
  </w:p>
  <w:p w14:paraId="070918EC" w14:textId="77777777" w:rsidR="00985031" w:rsidRDefault="00985031" w:rsidP="004038B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CF9A9" w14:textId="77777777" w:rsidR="00985031" w:rsidRDefault="00985031" w:rsidP="00266A4E">
      <w:pPr>
        <w:spacing w:before="0" w:after="0"/>
      </w:pPr>
      <w:r>
        <w:separator/>
      </w:r>
    </w:p>
  </w:footnote>
  <w:footnote w:type="continuationSeparator" w:id="0">
    <w:p w14:paraId="1AB68BF9" w14:textId="77777777" w:rsidR="00985031" w:rsidRDefault="00985031" w:rsidP="00266A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11F2"/>
    <w:multiLevelType w:val="hybridMultilevel"/>
    <w:tmpl w:val="531CD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C91264"/>
    <w:multiLevelType w:val="multilevel"/>
    <w:tmpl w:val="87543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CD1F24"/>
    <w:multiLevelType w:val="hybridMultilevel"/>
    <w:tmpl w:val="DFC890E2"/>
    <w:lvl w:ilvl="0" w:tplc="BDC6CE7A">
      <w:start w:val="1"/>
      <w:numFmt w:val="bullet"/>
      <w:lvlText w:val="•"/>
      <w:lvlJc w:val="left"/>
      <w:pPr>
        <w:tabs>
          <w:tab w:val="num" w:pos="360"/>
        </w:tabs>
        <w:ind w:left="360" w:hanging="360"/>
      </w:pPr>
      <w:rPr>
        <w:rFonts w:ascii="Times New Roman" w:hAnsi="Times New Roman" w:hint="default"/>
      </w:rPr>
    </w:lvl>
    <w:lvl w:ilvl="1" w:tplc="A5AEA51E" w:tentative="1">
      <w:start w:val="1"/>
      <w:numFmt w:val="bullet"/>
      <w:lvlText w:val="•"/>
      <w:lvlJc w:val="left"/>
      <w:pPr>
        <w:tabs>
          <w:tab w:val="num" w:pos="1080"/>
        </w:tabs>
        <w:ind w:left="1080" w:hanging="360"/>
      </w:pPr>
      <w:rPr>
        <w:rFonts w:ascii="Times New Roman" w:hAnsi="Times New Roman" w:hint="default"/>
      </w:rPr>
    </w:lvl>
    <w:lvl w:ilvl="2" w:tplc="1016A04A" w:tentative="1">
      <w:start w:val="1"/>
      <w:numFmt w:val="bullet"/>
      <w:lvlText w:val="•"/>
      <w:lvlJc w:val="left"/>
      <w:pPr>
        <w:tabs>
          <w:tab w:val="num" w:pos="1800"/>
        </w:tabs>
        <w:ind w:left="1800" w:hanging="360"/>
      </w:pPr>
      <w:rPr>
        <w:rFonts w:ascii="Times New Roman" w:hAnsi="Times New Roman" w:hint="default"/>
      </w:rPr>
    </w:lvl>
    <w:lvl w:ilvl="3" w:tplc="E4EA6BE0" w:tentative="1">
      <w:start w:val="1"/>
      <w:numFmt w:val="bullet"/>
      <w:lvlText w:val="•"/>
      <w:lvlJc w:val="left"/>
      <w:pPr>
        <w:tabs>
          <w:tab w:val="num" w:pos="2520"/>
        </w:tabs>
        <w:ind w:left="2520" w:hanging="360"/>
      </w:pPr>
      <w:rPr>
        <w:rFonts w:ascii="Times New Roman" w:hAnsi="Times New Roman" w:hint="default"/>
      </w:rPr>
    </w:lvl>
    <w:lvl w:ilvl="4" w:tplc="E33873C6" w:tentative="1">
      <w:start w:val="1"/>
      <w:numFmt w:val="bullet"/>
      <w:lvlText w:val="•"/>
      <w:lvlJc w:val="left"/>
      <w:pPr>
        <w:tabs>
          <w:tab w:val="num" w:pos="3240"/>
        </w:tabs>
        <w:ind w:left="3240" w:hanging="360"/>
      </w:pPr>
      <w:rPr>
        <w:rFonts w:ascii="Times New Roman" w:hAnsi="Times New Roman" w:hint="default"/>
      </w:rPr>
    </w:lvl>
    <w:lvl w:ilvl="5" w:tplc="0BCA8534" w:tentative="1">
      <w:start w:val="1"/>
      <w:numFmt w:val="bullet"/>
      <w:lvlText w:val="•"/>
      <w:lvlJc w:val="left"/>
      <w:pPr>
        <w:tabs>
          <w:tab w:val="num" w:pos="3960"/>
        </w:tabs>
        <w:ind w:left="3960" w:hanging="360"/>
      </w:pPr>
      <w:rPr>
        <w:rFonts w:ascii="Times New Roman" w:hAnsi="Times New Roman" w:hint="default"/>
      </w:rPr>
    </w:lvl>
    <w:lvl w:ilvl="6" w:tplc="A3AEE6B2" w:tentative="1">
      <w:start w:val="1"/>
      <w:numFmt w:val="bullet"/>
      <w:lvlText w:val="•"/>
      <w:lvlJc w:val="left"/>
      <w:pPr>
        <w:tabs>
          <w:tab w:val="num" w:pos="4680"/>
        </w:tabs>
        <w:ind w:left="4680" w:hanging="360"/>
      </w:pPr>
      <w:rPr>
        <w:rFonts w:ascii="Times New Roman" w:hAnsi="Times New Roman" w:hint="default"/>
      </w:rPr>
    </w:lvl>
    <w:lvl w:ilvl="7" w:tplc="C18467FA" w:tentative="1">
      <w:start w:val="1"/>
      <w:numFmt w:val="bullet"/>
      <w:lvlText w:val="•"/>
      <w:lvlJc w:val="left"/>
      <w:pPr>
        <w:tabs>
          <w:tab w:val="num" w:pos="5400"/>
        </w:tabs>
        <w:ind w:left="5400" w:hanging="360"/>
      </w:pPr>
      <w:rPr>
        <w:rFonts w:ascii="Times New Roman" w:hAnsi="Times New Roman" w:hint="default"/>
      </w:rPr>
    </w:lvl>
    <w:lvl w:ilvl="8" w:tplc="3DE8521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2BD694A"/>
    <w:multiLevelType w:val="hybridMultilevel"/>
    <w:tmpl w:val="45B6D60E"/>
    <w:lvl w:ilvl="0" w:tplc="69A65DD8">
      <w:start w:val="1"/>
      <w:numFmt w:val="bullet"/>
      <w:lvlText w:val="•"/>
      <w:lvlJc w:val="left"/>
      <w:pPr>
        <w:tabs>
          <w:tab w:val="num" w:pos="360"/>
        </w:tabs>
        <w:ind w:left="360" w:hanging="360"/>
      </w:pPr>
      <w:rPr>
        <w:rFonts w:ascii="Times New Roman" w:hAnsi="Times New Roman" w:hint="default"/>
      </w:rPr>
    </w:lvl>
    <w:lvl w:ilvl="1" w:tplc="8CFAD468" w:tentative="1">
      <w:start w:val="1"/>
      <w:numFmt w:val="bullet"/>
      <w:lvlText w:val="•"/>
      <w:lvlJc w:val="left"/>
      <w:pPr>
        <w:tabs>
          <w:tab w:val="num" w:pos="1080"/>
        </w:tabs>
        <w:ind w:left="1080" w:hanging="360"/>
      </w:pPr>
      <w:rPr>
        <w:rFonts w:ascii="Times New Roman" w:hAnsi="Times New Roman" w:hint="default"/>
      </w:rPr>
    </w:lvl>
    <w:lvl w:ilvl="2" w:tplc="358A7C40" w:tentative="1">
      <w:start w:val="1"/>
      <w:numFmt w:val="bullet"/>
      <w:lvlText w:val="•"/>
      <w:lvlJc w:val="left"/>
      <w:pPr>
        <w:tabs>
          <w:tab w:val="num" w:pos="1800"/>
        </w:tabs>
        <w:ind w:left="1800" w:hanging="360"/>
      </w:pPr>
      <w:rPr>
        <w:rFonts w:ascii="Times New Roman" w:hAnsi="Times New Roman" w:hint="default"/>
      </w:rPr>
    </w:lvl>
    <w:lvl w:ilvl="3" w:tplc="000AEDDC" w:tentative="1">
      <w:start w:val="1"/>
      <w:numFmt w:val="bullet"/>
      <w:lvlText w:val="•"/>
      <w:lvlJc w:val="left"/>
      <w:pPr>
        <w:tabs>
          <w:tab w:val="num" w:pos="2520"/>
        </w:tabs>
        <w:ind w:left="2520" w:hanging="360"/>
      </w:pPr>
      <w:rPr>
        <w:rFonts w:ascii="Times New Roman" w:hAnsi="Times New Roman" w:hint="default"/>
      </w:rPr>
    </w:lvl>
    <w:lvl w:ilvl="4" w:tplc="B7E693EC" w:tentative="1">
      <w:start w:val="1"/>
      <w:numFmt w:val="bullet"/>
      <w:lvlText w:val="•"/>
      <w:lvlJc w:val="left"/>
      <w:pPr>
        <w:tabs>
          <w:tab w:val="num" w:pos="3240"/>
        </w:tabs>
        <w:ind w:left="3240" w:hanging="360"/>
      </w:pPr>
      <w:rPr>
        <w:rFonts w:ascii="Times New Roman" w:hAnsi="Times New Roman" w:hint="default"/>
      </w:rPr>
    </w:lvl>
    <w:lvl w:ilvl="5" w:tplc="4D341466" w:tentative="1">
      <w:start w:val="1"/>
      <w:numFmt w:val="bullet"/>
      <w:lvlText w:val="•"/>
      <w:lvlJc w:val="left"/>
      <w:pPr>
        <w:tabs>
          <w:tab w:val="num" w:pos="3960"/>
        </w:tabs>
        <w:ind w:left="3960" w:hanging="360"/>
      </w:pPr>
      <w:rPr>
        <w:rFonts w:ascii="Times New Roman" w:hAnsi="Times New Roman" w:hint="default"/>
      </w:rPr>
    </w:lvl>
    <w:lvl w:ilvl="6" w:tplc="0DF8316A" w:tentative="1">
      <w:start w:val="1"/>
      <w:numFmt w:val="bullet"/>
      <w:lvlText w:val="•"/>
      <w:lvlJc w:val="left"/>
      <w:pPr>
        <w:tabs>
          <w:tab w:val="num" w:pos="4680"/>
        </w:tabs>
        <w:ind w:left="4680" w:hanging="360"/>
      </w:pPr>
      <w:rPr>
        <w:rFonts w:ascii="Times New Roman" w:hAnsi="Times New Roman" w:hint="default"/>
      </w:rPr>
    </w:lvl>
    <w:lvl w:ilvl="7" w:tplc="23E447FA" w:tentative="1">
      <w:start w:val="1"/>
      <w:numFmt w:val="bullet"/>
      <w:lvlText w:val="•"/>
      <w:lvlJc w:val="left"/>
      <w:pPr>
        <w:tabs>
          <w:tab w:val="num" w:pos="5400"/>
        </w:tabs>
        <w:ind w:left="5400" w:hanging="360"/>
      </w:pPr>
      <w:rPr>
        <w:rFonts w:ascii="Times New Roman" w:hAnsi="Times New Roman" w:hint="default"/>
      </w:rPr>
    </w:lvl>
    <w:lvl w:ilvl="8" w:tplc="9FFC36A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47EE2976"/>
    <w:multiLevelType w:val="hybridMultilevel"/>
    <w:tmpl w:val="913C4C42"/>
    <w:lvl w:ilvl="0" w:tplc="F92A4AD4">
      <w:start w:val="1"/>
      <w:numFmt w:val="bullet"/>
      <w:lvlText w:val="•"/>
      <w:lvlJc w:val="left"/>
      <w:pPr>
        <w:tabs>
          <w:tab w:val="num" w:pos="360"/>
        </w:tabs>
        <w:ind w:left="360" w:hanging="360"/>
      </w:pPr>
      <w:rPr>
        <w:rFonts w:ascii="Times New Roman" w:hAnsi="Times New Roman" w:hint="default"/>
      </w:rPr>
    </w:lvl>
    <w:lvl w:ilvl="1" w:tplc="F74269C8" w:tentative="1">
      <w:start w:val="1"/>
      <w:numFmt w:val="bullet"/>
      <w:lvlText w:val="•"/>
      <w:lvlJc w:val="left"/>
      <w:pPr>
        <w:tabs>
          <w:tab w:val="num" w:pos="1080"/>
        </w:tabs>
        <w:ind w:left="1080" w:hanging="360"/>
      </w:pPr>
      <w:rPr>
        <w:rFonts w:ascii="Times New Roman" w:hAnsi="Times New Roman" w:hint="default"/>
      </w:rPr>
    </w:lvl>
    <w:lvl w:ilvl="2" w:tplc="80D0385A" w:tentative="1">
      <w:start w:val="1"/>
      <w:numFmt w:val="bullet"/>
      <w:lvlText w:val="•"/>
      <w:lvlJc w:val="left"/>
      <w:pPr>
        <w:tabs>
          <w:tab w:val="num" w:pos="1800"/>
        </w:tabs>
        <w:ind w:left="1800" w:hanging="360"/>
      </w:pPr>
      <w:rPr>
        <w:rFonts w:ascii="Times New Roman" w:hAnsi="Times New Roman" w:hint="default"/>
      </w:rPr>
    </w:lvl>
    <w:lvl w:ilvl="3" w:tplc="4BD490DE" w:tentative="1">
      <w:start w:val="1"/>
      <w:numFmt w:val="bullet"/>
      <w:lvlText w:val="•"/>
      <w:lvlJc w:val="left"/>
      <w:pPr>
        <w:tabs>
          <w:tab w:val="num" w:pos="2520"/>
        </w:tabs>
        <w:ind w:left="2520" w:hanging="360"/>
      </w:pPr>
      <w:rPr>
        <w:rFonts w:ascii="Times New Roman" w:hAnsi="Times New Roman" w:hint="default"/>
      </w:rPr>
    </w:lvl>
    <w:lvl w:ilvl="4" w:tplc="28D4A34C" w:tentative="1">
      <w:start w:val="1"/>
      <w:numFmt w:val="bullet"/>
      <w:lvlText w:val="•"/>
      <w:lvlJc w:val="left"/>
      <w:pPr>
        <w:tabs>
          <w:tab w:val="num" w:pos="3240"/>
        </w:tabs>
        <w:ind w:left="3240" w:hanging="360"/>
      </w:pPr>
      <w:rPr>
        <w:rFonts w:ascii="Times New Roman" w:hAnsi="Times New Roman" w:hint="default"/>
      </w:rPr>
    </w:lvl>
    <w:lvl w:ilvl="5" w:tplc="19D8E0A4" w:tentative="1">
      <w:start w:val="1"/>
      <w:numFmt w:val="bullet"/>
      <w:lvlText w:val="•"/>
      <w:lvlJc w:val="left"/>
      <w:pPr>
        <w:tabs>
          <w:tab w:val="num" w:pos="3960"/>
        </w:tabs>
        <w:ind w:left="3960" w:hanging="360"/>
      </w:pPr>
      <w:rPr>
        <w:rFonts w:ascii="Times New Roman" w:hAnsi="Times New Roman" w:hint="default"/>
      </w:rPr>
    </w:lvl>
    <w:lvl w:ilvl="6" w:tplc="A306B0A6" w:tentative="1">
      <w:start w:val="1"/>
      <w:numFmt w:val="bullet"/>
      <w:lvlText w:val="•"/>
      <w:lvlJc w:val="left"/>
      <w:pPr>
        <w:tabs>
          <w:tab w:val="num" w:pos="4680"/>
        </w:tabs>
        <w:ind w:left="4680" w:hanging="360"/>
      </w:pPr>
      <w:rPr>
        <w:rFonts w:ascii="Times New Roman" w:hAnsi="Times New Roman" w:hint="default"/>
      </w:rPr>
    </w:lvl>
    <w:lvl w:ilvl="7" w:tplc="6E3C95D8" w:tentative="1">
      <w:start w:val="1"/>
      <w:numFmt w:val="bullet"/>
      <w:lvlText w:val="•"/>
      <w:lvlJc w:val="left"/>
      <w:pPr>
        <w:tabs>
          <w:tab w:val="num" w:pos="5400"/>
        </w:tabs>
        <w:ind w:left="5400" w:hanging="360"/>
      </w:pPr>
      <w:rPr>
        <w:rFonts w:ascii="Times New Roman" w:hAnsi="Times New Roman" w:hint="default"/>
      </w:rPr>
    </w:lvl>
    <w:lvl w:ilvl="8" w:tplc="F560018E"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57F64315"/>
    <w:multiLevelType w:val="multilevel"/>
    <w:tmpl w:val="8452B966"/>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BC724FE"/>
    <w:multiLevelType w:val="hybridMultilevel"/>
    <w:tmpl w:val="A5D0BE06"/>
    <w:lvl w:ilvl="0" w:tplc="84B801AA">
      <w:start w:val="1"/>
      <w:numFmt w:val="bullet"/>
      <w:lvlText w:val="•"/>
      <w:lvlJc w:val="left"/>
      <w:pPr>
        <w:tabs>
          <w:tab w:val="num" w:pos="360"/>
        </w:tabs>
        <w:ind w:left="360" w:hanging="360"/>
      </w:pPr>
      <w:rPr>
        <w:rFonts w:ascii="Times New Roman" w:hAnsi="Times New Roman" w:hint="default"/>
      </w:rPr>
    </w:lvl>
    <w:lvl w:ilvl="1" w:tplc="486470F8" w:tentative="1">
      <w:start w:val="1"/>
      <w:numFmt w:val="bullet"/>
      <w:lvlText w:val="•"/>
      <w:lvlJc w:val="left"/>
      <w:pPr>
        <w:tabs>
          <w:tab w:val="num" w:pos="1080"/>
        </w:tabs>
        <w:ind w:left="1080" w:hanging="360"/>
      </w:pPr>
      <w:rPr>
        <w:rFonts w:ascii="Times New Roman" w:hAnsi="Times New Roman" w:hint="default"/>
      </w:rPr>
    </w:lvl>
    <w:lvl w:ilvl="2" w:tplc="5E8EF234" w:tentative="1">
      <w:start w:val="1"/>
      <w:numFmt w:val="bullet"/>
      <w:lvlText w:val="•"/>
      <w:lvlJc w:val="left"/>
      <w:pPr>
        <w:tabs>
          <w:tab w:val="num" w:pos="1800"/>
        </w:tabs>
        <w:ind w:left="1800" w:hanging="360"/>
      </w:pPr>
      <w:rPr>
        <w:rFonts w:ascii="Times New Roman" w:hAnsi="Times New Roman" w:hint="default"/>
      </w:rPr>
    </w:lvl>
    <w:lvl w:ilvl="3" w:tplc="453807E6" w:tentative="1">
      <w:start w:val="1"/>
      <w:numFmt w:val="bullet"/>
      <w:lvlText w:val="•"/>
      <w:lvlJc w:val="left"/>
      <w:pPr>
        <w:tabs>
          <w:tab w:val="num" w:pos="2520"/>
        </w:tabs>
        <w:ind w:left="2520" w:hanging="360"/>
      </w:pPr>
      <w:rPr>
        <w:rFonts w:ascii="Times New Roman" w:hAnsi="Times New Roman" w:hint="default"/>
      </w:rPr>
    </w:lvl>
    <w:lvl w:ilvl="4" w:tplc="866674EA" w:tentative="1">
      <w:start w:val="1"/>
      <w:numFmt w:val="bullet"/>
      <w:lvlText w:val="•"/>
      <w:lvlJc w:val="left"/>
      <w:pPr>
        <w:tabs>
          <w:tab w:val="num" w:pos="3240"/>
        </w:tabs>
        <w:ind w:left="3240" w:hanging="360"/>
      </w:pPr>
      <w:rPr>
        <w:rFonts w:ascii="Times New Roman" w:hAnsi="Times New Roman" w:hint="default"/>
      </w:rPr>
    </w:lvl>
    <w:lvl w:ilvl="5" w:tplc="A432ACE2" w:tentative="1">
      <w:start w:val="1"/>
      <w:numFmt w:val="bullet"/>
      <w:lvlText w:val="•"/>
      <w:lvlJc w:val="left"/>
      <w:pPr>
        <w:tabs>
          <w:tab w:val="num" w:pos="3960"/>
        </w:tabs>
        <w:ind w:left="3960" w:hanging="360"/>
      </w:pPr>
      <w:rPr>
        <w:rFonts w:ascii="Times New Roman" w:hAnsi="Times New Roman" w:hint="default"/>
      </w:rPr>
    </w:lvl>
    <w:lvl w:ilvl="6" w:tplc="F9CEE1AA" w:tentative="1">
      <w:start w:val="1"/>
      <w:numFmt w:val="bullet"/>
      <w:lvlText w:val="•"/>
      <w:lvlJc w:val="left"/>
      <w:pPr>
        <w:tabs>
          <w:tab w:val="num" w:pos="4680"/>
        </w:tabs>
        <w:ind w:left="4680" w:hanging="360"/>
      </w:pPr>
      <w:rPr>
        <w:rFonts w:ascii="Times New Roman" w:hAnsi="Times New Roman" w:hint="default"/>
      </w:rPr>
    </w:lvl>
    <w:lvl w:ilvl="7" w:tplc="B87879C2" w:tentative="1">
      <w:start w:val="1"/>
      <w:numFmt w:val="bullet"/>
      <w:lvlText w:val="•"/>
      <w:lvlJc w:val="left"/>
      <w:pPr>
        <w:tabs>
          <w:tab w:val="num" w:pos="5400"/>
        </w:tabs>
        <w:ind w:left="5400" w:hanging="360"/>
      </w:pPr>
      <w:rPr>
        <w:rFonts w:ascii="Times New Roman" w:hAnsi="Times New Roman" w:hint="default"/>
      </w:rPr>
    </w:lvl>
    <w:lvl w:ilvl="8" w:tplc="96884A0E"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3"/>
  </w:num>
  <w:num w:numId="16">
    <w:abstractNumId w:val="6"/>
  </w:num>
  <w:num w:numId="17">
    <w:abstractNumId w:val="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hyphenationZone w:val="357"/>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5A"/>
    <w:rsid w:val="00002074"/>
    <w:rsid w:val="00010B44"/>
    <w:rsid w:val="00014319"/>
    <w:rsid w:val="00021A79"/>
    <w:rsid w:val="000309E3"/>
    <w:rsid w:val="00040061"/>
    <w:rsid w:val="0005409B"/>
    <w:rsid w:val="00057130"/>
    <w:rsid w:val="00065FE5"/>
    <w:rsid w:val="00074E27"/>
    <w:rsid w:val="000950D1"/>
    <w:rsid w:val="00097E96"/>
    <w:rsid w:val="000A3B8A"/>
    <w:rsid w:val="000B2AAB"/>
    <w:rsid w:val="000B6073"/>
    <w:rsid w:val="000E26BF"/>
    <w:rsid w:val="000E375A"/>
    <w:rsid w:val="00102C39"/>
    <w:rsid w:val="00113AEE"/>
    <w:rsid w:val="00120B24"/>
    <w:rsid w:val="00123813"/>
    <w:rsid w:val="00130B39"/>
    <w:rsid w:val="00143EAA"/>
    <w:rsid w:val="001469B0"/>
    <w:rsid w:val="0015013A"/>
    <w:rsid w:val="0016257E"/>
    <w:rsid w:val="001864F6"/>
    <w:rsid w:val="001905C8"/>
    <w:rsid w:val="00197DA4"/>
    <w:rsid w:val="001B4727"/>
    <w:rsid w:val="001B5C9F"/>
    <w:rsid w:val="001C2C2D"/>
    <w:rsid w:val="001E2316"/>
    <w:rsid w:val="001F3336"/>
    <w:rsid w:val="001F7DE2"/>
    <w:rsid w:val="00224886"/>
    <w:rsid w:val="0023415E"/>
    <w:rsid w:val="0024012D"/>
    <w:rsid w:val="00240C45"/>
    <w:rsid w:val="0024721B"/>
    <w:rsid w:val="00257BE6"/>
    <w:rsid w:val="00260E47"/>
    <w:rsid w:val="002624DD"/>
    <w:rsid w:val="00266A4E"/>
    <w:rsid w:val="0027315F"/>
    <w:rsid w:val="00285248"/>
    <w:rsid w:val="002874C2"/>
    <w:rsid w:val="00295891"/>
    <w:rsid w:val="00295D04"/>
    <w:rsid w:val="002A3D3C"/>
    <w:rsid w:val="002B48F1"/>
    <w:rsid w:val="002B5F45"/>
    <w:rsid w:val="002C3C3E"/>
    <w:rsid w:val="002D39AF"/>
    <w:rsid w:val="002D526D"/>
    <w:rsid w:val="002D6BFB"/>
    <w:rsid w:val="002F5DC3"/>
    <w:rsid w:val="002F6442"/>
    <w:rsid w:val="003045E8"/>
    <w:rsid w:val="003079FF"/>
    <w:rsid w:val="00312FF6"/>
    <w:rsid w:val="003158E8"/>
    <w:rsid w:val="003234CC"/>
    <w:rsid w:val="0032375B"/>
    <w:rsid w:val="00333712"/>
    <w:rsid w:val="00333FF3"/>
    <w:rsid w:val="00334E4D"/>
    <w:rsid w:val="0033760F"/>
    <w:rsid w:val="003420CC"/>
    <w:rsid w:val="00351969"/>
    <w:rsid w:val="0036208E"/>
    <w:rsid w:val="00364614"/>
    <w:rsid w:val="00364AC7"/>
    <w:rsid w:val="003959F9"/>
    <w:rsid w:val="003B4A28"/>
    <w:rsid w:val="003B6706"/>
    <w:rsid w:val="003B7271"/>
    <w:rsid w:val="003B7F1B"/>
    <w:rsid w:val="003D2030"/>
    <w:rsid w:val="003D34EC"/>
    <w:rsid w:val="003E5E06"/>
    <w:rsid w:val="003E7FB9"/>
    <w:rsid w:val="003F773D"/>
    <w:rsid w:val="004038B6"/>
    <w:rsid w:val="00423D0E"/>
    <w:rsid w:val="004265D6"/>
    <w:rsid w:val="004351B6"/>
    <w:rsid w:val="00446498"/>
    <w:rsid w:val="0046049F"/>
    <w:rsid w:val="004611E4"/>
    <w:rsid w:val="00465552"/>
    <w:rsid w:val="00465FDF"/>
    <w:rsid w:val="00470BAC"/>
    <w:rsid w:val="00473C1B"/>
    <w:rsid w:val="004935A1"/>
    <w:rsid w:val="004A6401"/>
    <w:rsid w:val="004B6E02"/>
    <w:rsid w:val="004C7520"/>
    <w:rsid w:val="004E14F7"/>
    <w:rsid w:val="004E34CA"/>
    <w:rsid w:val="004E4741"/>
    <w:rsid w:val="004E4C79"/>
    <w:rsid w:val="004F26B6"/>
    <w:rsid w:val="00505828"/>
    <w:rsid w:val="0051369F"/>
    <w:rsid w:val="005230A4"/>
    <w:rsid w:val="00524577"/>
    <w:rsid w:val="00533113"/>
    <w:rsid w:val="00535C12"/>
    <w:rsid w:val="00555A9F"/>
    <w:rsid w:val="0057761C"/>
    <w:rsid w:val="005A08AE"/>
    <w:rsid w:val="005A7853"/>
    <w:rsid w:val="005C3F26"/>
    <w:rsid w:val="005C469A"/>
    <w:rsid w:val="005D35A2"/>
    <w:rsid w:val="005E0119"/>
    <w:rsid w:val="005F17EC"/>
    <w:rsid w:val="006041A8"/>
    <w:rsid w:val="00604B08"/>
    <w:rsid w:val="00605AD2"/>
    <w:rsid w:val="006175B4"/>
    <w:rsid w:val="0063541C"/>
    <w:rsid w:val="006618FA"/>
    <w:rsid w:val="00691475"/>
    <w:rsid w:val="006943FC"/>
    <w:rsid w:val="00694C6D"/>
    <w:rsid w:val="006E0B58"/>
    <w:rsid w:val="00724E47"/>
    <w:rsid w:val="007622E6"/>
    <w:rsid w:val="00763156"/>
    <w:rsid w:val="0076315C"/>
    <w:rsid w:val="00774F50"/>
    <w:rsid w:val="007908D3"/>
    <w:rsid w:val="007B26FD"/>
    <w:rsid w:val="007B5A75"/>
    <w:rsid w:val="007C1EBC"/>
    <w:rsid w:val="007C38A0"/>
    <w:rsid w:val="007D065E"/>
    <w:rsid w:val="00800176"/>
    <w:rsid w:val="00811E0E"/>
    <w:rsid w:val="0083437A"/>
    <w:rsid w:val="00853ADF"/>
    <w:rsid w:val="00853DA2"/>
    <w:rsid w:val="00862978"/>
    <w:rsid w:val="00871332"/>
    <w:rsid w:val="008A2C01"/>
    <w:rsid w:val="008B1FAA"/>
    <w:rsid w:val="008B6ABD"/>
    <w:rsid w:val="008D0894"/>
    <w:rsid w:val="008E548D"/>
    <w:rsid w:val="00901646"/>
    <w:rsid w:val="00904FFB"/>
    <w:rsid w:val="009143A1"/>
    <w:rsid w:val="00924C1C"/>
    <w:rsid w:val="00931EEC"/>
    <w:rsid w:val="0093356C"/>
    <w:rsid w:val="009419B0"/>
    <w:rsid w:val="0095217C"/>
    <w:rsid w:val="0095535C"/>
    <w:rsid w:val="009620C1"/>
    <w:rsid w:val="0096506D"/>
    <w:rsid w:val="00965EC6"/>
    <w:rsid w:val="00966A54"/>
    <w:rsid w:val="00985031"/>
    <w:rsid w:val="009968CA"/>
    <w:rsid w:val="009B5A96"/>
    <w:rsid w:val="009C50DE"/>
    <w:rsid w:val="009E596E"/>
    <w:rsid w:val="009F215C"/>
    <w:rsid w:val="00A261C6"/>
    <w:rsid w:val="00A42EB4"/>
    <w:rsid w:val="00A455E1"/>
    <w:rsid w:val="00A55D87"/>
    <w:rsid w:val="00A6597C"/>
    <w:rsid w:val="00AC4BF6"/>
    <w:rsid w:val="00AD6A9E"/>
    <w:rsid w:val="00B047B3"/>
    <w:rsid w:val="00B061C0"/>
    <w:rsid w:val="00B114F9"/>
    <w:rsid w:val="00B241B3"/>
    <w:rsid w:val="00B252CE"/>
    <w:rsid w:val="00B56C2D"/>
    <w:rsid w:val="00B65C60"/>
    <w:rsid w:val="00B7604B"/>
    <w:rsid w:val="00B84F36"/>
    <w:rsid w:val="00BA12C4"/>
    <w:rsid w:val="00BA1EC8"/>
    <w:rsid w:val="00BD10AC"/>
    <w:rsid w:val="00BE03A5"/>
    <w:rsid w:val="00BE291F"/>
    <w:rsid w:val="00C032E9"/>
    <w:rsid w:val="00C0651C"/>
    <w:rsid w:val="00C0796F"/>
    <w:rsid w:val="00C12E48"/>
    <w:rsid w:val="00C310CB"/>
    <w:rsid w:val="00C31E64"/>
    <w:rsid w:val="00C36671"/>
    <w:rsid w:val="00C4704B"/>
    <w:rsid w:val="00C73100"/>
    <w:rsid w:val="00C75A32"/>
    <w:rsid w:val="00C828FA"/>
    <w:rsid w:val="00C933D1"/>
    <w:rsid w:val="00CA7CE3"/>
    <w:rsid w:val="00CE62FE"/>
    <w:rsid w:val="00CF1603"/>
    <w:rsid w:val="00D10327"/>
    <w:rsid w:val="00D10575"/>
    <w:rsid w:val="00D15AC7"/>
    <w:rsid w:val="00D25E2C"/>
    <w:rsid w:val="00D27E0F"/>
    <w:rsid w:val="00D5020B"/>
    <w:rsid w:val="00D75837"/>
    <w:rsid w:val="00D84BF8"/>
    <w:rsid w:val="00DA0B18"/>
    <w:rsid w:val="00DA70FB"/>
    <w:rsid w:val="00DA7767"/>
    <w:rsid w:val="00DB396F"/>
    <w:rsid w:val="00DC2481"/>
    <w:rsid w:val="00DF47E6"/>
    <w:rsid w:val="00E04D98"/>
    <w:rsid w:val="00E077EC"/>
    <w:rsid w:val="00E16125"/>
    <w:rsid w:val="00E33CCE"/>
    <w:rsid w:val="00E76041"/>
    <w:rsid w:val="00E85BFC"/>
    <w:rsid w:val="00E905FB"/>
    <w:rsid w:val="00E976D4"/>
    <w:rsid w:val="00EA06D0"/>
    <w:rsid w:val="00EB193A"/>
    <w:rsid w:val="00EC2C35"/>
    <w:rsid w:val="00EC446A"/>
    <w:rsid w:val="00EF316A"/>
    <w:rsid w:val="00EF3C04"/>
    <w:rsid w:val="00F17A30"/>
    <w:rsid w:val="00F24314"/>
    <w:rsid w:val="00F33C46"/>
    <w:rsid w:val="00F46E2A"/>
    <w:rsid w:val="00F55558"/>
    <w:rsid w:val="00F56ACA"/>
    <w:rsid w:val="00F72775"/>
    <w:rsid w:val="00F73DAE"/>
    <w:rsid w:val="00F75CF7"/>
    <w:rsid w:val="00F956BF"/>
    <w:rsid w:val="00FC3A27"/>
    <w:rsid w:val="00FF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0DC43"/>
  <w14:defaultImageDpi w14:val="300"/>
  <w15:docId w15:val="{AD8A91FF-C7F8-4AE5-AB54-3E028F40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38B6"/>
    <w:pPr>
      <w:spacing w:before="60" w:after="60"/>
      <w:jc w:val="both"/>
    </w:pPr>
    <w:rPr>
      <w:rFonts w:ascii="Arial" w:hAnsi="Arial" w:cs="Times New Roman"/>
      <w:color w:val="595959" w:themeColor="text1" w:themeTint="A6"/>
      <w:sz w:val="20"/>
      <w:lang w:val="en-US"/>
    </w:rPr>
  </w:style>
  <w:style w:type="paragraph" w:styleId="berschrift1">
    <w:name w:val="heading 1"/>
    <w:basedOn w:val="Standard"/>
    <w:next w:val="Standard"/>
    <w:link w:val="berschrift1Zchn"/>
    <w:autoRedefine/>
    <w:uiPriority w:val="9"/>
    <w:qFormat/>
    <w:rsid w:val="00931EEC"/>
    <w:pPr>
      <w:keepNext/>
      <w:keepLines/>
      <w:jc w:val="left"/>
      <w:outlineLvl w:val="0"/>
    </w:pPr>
    <w:rPr>
      <w:rFonts w:asciiTheme="majorHAnsi" w:eastAsiaTheme="majorEastAsia" w:hAnsiTheme="majorHAnsi"/>
      <w:b/>
      <w:bCs/>
      <w:color w:val="auto"/>
      <w:szCs w:val="20"/>
    </w:rPr>
  </w:style>
  <w:style w:type="paragraph" w:styleId="berschrift2">
    <w:name w:val="heading 2"/>
    <w:basedOn w:val="Standard"/>
    <w:next w:val="Standard"/>
    <w:link w:val="berschrift2Zchn"/>
    <w:autoRedefine/>
    <w:uiPriority w:val="9"/>
    <w:unhideWhenUsed/>
    <w:qFormat/>
    <w:rsid w:val="00BA12C4"/>
    <w:pPr>
      <w:keepNext/>
      <w:keepLines/>
      <w:numPr>
        <w:ilvl w:val="1"/>
        <w:numId w:val="13"/>
      </w:numPr>
      <w:outlineLvl w:val="1"/>
    </w:pPr>
    <w:rPr>
      <w:rFonts w:eastAsiaTheme="majorEastAsia" w:cstheme="majorBidi"/>
      <w:b/>
      <w:bCs/>
      <w:sz w:val="26"/>
      <w:szCs w:val="26"/>
    </w:rPr>
  </w:style>
  <w:style w:type="paragraph" w:styleId="berschrift3">
    <w:name w:val="heading 3"/>
    <w:basedOn w:val="Standard"/>
    <w:next w:val="Standard"/>
    <w:link w:val="berschrift3Zchn"/>
    <w:autoRedefine/>
    <w:uiPriority w:val="9"/>
    <w:unhideWhenUsed/>
    <w:qFormat/>
    <w:rsid w:val="00F73DAE"/>
    <w:pPr>
      <w:keepNext/>
      <w:keepLines/>
      <w:jc w:val="left"/>
      <w:outlineLvl w:val="2"/>
    </w:pPr>
    <w:rPr>
      <w:rFonts w:eastAsiaTheme="majorEastAsia" w:cstheme="majorBidi"/>
      <w:b/>
      <w:bCs/>
      <w:sz w:val="24"/>
    </w:rPr>
  </w:style>
  <w:style w:type="paragraph" w:styleId="berschrift4">
    <w:name w:val="heading 4"/>
    <w:basedOn w:val="Standard"/>
    <w:next w:val="Standard"/>
    <w:link w:val="berschrift4Zchn"/>
    <w:autoRedefine/>
    <w:uiPriority w:val="9"/>
    <w:unhideWhenUsed/>
    <w:qFormat/>
    <w:rsid w:val="00BA12C4"/>
    <w:pPr>
      <w:keepNext/>
      <w:keepLines/>
      <w:numPr>
        <w:ilvl w:val="3"/>
        <w:numId w:val="7"/>
      </w:numPr>
      <w:spacing w:before="200" w:after="200"/>
      <w:jc w:val="left"/>
      <w:outlineLvl w:val="3"/>
    </w:pPr>
    <w:rPr>
      <w:rFonts w:eastAsiaTheme="majorEastAsia" w:cstheme="majorBidi"/>
      <w:b/>
      <w:bCs/>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1EEC"/>
    <w:rPr>
      <w:rFonts w:asciiTheme="majorHAnsi" w:eastAsiaTheme="majorEastAsia" w:hAnsiTheme="majorHAnsi" w:cs="Times New Roman"/>
      <w:b/>
      <w:bCs/>
      <w:sz w:val="20"/>
      <w:szCs w:val="20"/>
      <w:lang w:val="en-US"/>
    </w:rPr>
  </w:style>
  <w:style w:type="character" w:customStyle="1" w:styleId="berschrift2Zchn">
    <w:name w:val="Überschrift 2 Zchn"/>
    <w:basedOn w:val="Absatz-Standardschriftart"/>
    <w:link w:val="berschrift2"/>
    <w:uiPriority w:val="9"/>
    <w:rsid w:val="00BA12C4"/>
    <w:rPr>
      <w:rFonts w:ascii="Arial" w:eastAsiaTheme="majorEastAsia" w:hAnsi="Arial" w:cstheme="majorBidi"/>
      <w:b/>
      <w:bCs/>
      <w:color w:val="595959" w:themeColor="text1" w:themeTint="A6"/>
      <w:sz w:val="26"/>
      <w:szCs w:val="26"/>
      <w:lang w:val="en-US"/>
    </w:rPr>
  </w:style>
  <w:style w:type="character" w:customStyle="1" w:styleId="berschrift3Zchn">
    <w:name w:val="Überschrift 3 Zchn"/>
    <w:basedOn w:val="Absatz-Standardschriftart"/>
    <w:link w:val="berschrift3"/>
    <w:uiPriority w:val="9"/>
    <w:rsid w:val="00F73DAE"/>
    <w:rPr>
      <w:rFonts w:ascii="Arial" w:eastAsiaTheme="majorEastAsia" w:hAnsi="Arial" w:cstheme="majorBidi"/>
      <w:b/>
      <w:bCs/>
      <w:color w:val="595959" w:themeColor="text1" w:themeTint="A6"/>
      <w:lang w:val="en-US"/>
    </w:rPr>
  </w:style>
  <w:style w:type="paragraph" w:styleId="Titel">
    <w:name w:val="Title"/>
    <w:basedOn w:val="Standard"/>
    <w:next w:val="Standard"/>
    <w:link w:val="TitelZchn"/>
    <w:autoRedefine/>
    <w:uiPriority w:val="10"/>
    <w:qFormat/>
    <w:rsid w:val="00CA7CE3"/>
    <w:pPr>
      <w:contextualSpacing/>
    </w:pPr>
    <w:rPr>
      <w:rFonts w:eastAsiaTheme="majorEastAsia" w:cstheme="majorBidi"/>
      <w:b/>
      <w:bCs/>
      <w:smallCaps/>
      <w:spacing w:val="5"/>
      <w:kern w:val="28"/>
      <w:sz w:val="28"/>
      <w:szCs w:val="28"/>
    </w:rPr>
  </w:style>
  <w:style w:type="character" w:customStyle="1" w:styleId="TitelZchn">
    <w:name w:val="Titel Zchn"/>
    <w:basedOn w:val="Absatz-Standardschriftart"/>
    <w:link w:val="Titel"/>
    <w:uiPriority w:val="10"/>
    <w:rsid w:val="00CA7CE3"/>
    <w:rPr>
      <w:rFonts w:ascii="Arial" w:eastAsiaTheme="majorEastAsia" w:hAnsi="Arial" w:cstheme="majorBidi"/>
      <w:b/>
      <w:bCs/>
      <w:smallCaps/>
      <w:color w:val="595959" w:themeColor="text1" w:themeTint="A6"/>
      <w:spacing w:val="5"/>
      <w:kern w:val="28"/>
      <w:sz w:val="28"/>
      <w:szCs w:val="28"/>
    </w:rPr>
  </w:style>
  <w:style w:type="paragraph" w:styleId="Beschriftung">
    <w:name w:val="caption"/>
    <w:basedOn w:val="Standard"/>
    <w:next w:val="Standard"/>
    <w:autoRedefine/>
    <w:uiPriority w:val="35"/>
    <w:unhideWhenUsed/>
    <w:qFormat/>
    <w:rsid w:val="00AC4BF6"/>
    <w:pPr>
      <w:spacing w:after="200"/>
    </w:pPr>
    <w:rPr>
      <w:bCs/>
      <w:sz w:val="18"/>
      <w:szCs w:val="18"/>
    </w:rPr>
  </w:style>
  <w:style w:type="paragraph" w:styleId="Inhaltsverzeichnisberschrift">
    <w:name w:val="TOC Heading"/>
    <w:basedOn w:val="Verzeichnis1"/>
    <w:next w:val="Standard"/>
    <w:autoRedefine/>
    <w:uiPriority w:val="39"/>
    <w:unhideWhenUsed/>
    <w:qFormat/>
    <w:rsid w:val="0033760F"/>
    <w:pPr>
      <w:spacing w:after="0" w:line="276" w:lineRule="auto"/>
    </w:pPr>
    <w:rPr>
      <w:b/>
      <w:sz w:val="28"/>
      <w:szCs w:val="28"/>
    </w:rPr>
  </w:style>
  <w:style w:type="paragraph" w:styleId="Verzeichnis1">
    <w:name w:val="toc 1"/>
    <w:basedOn w:val="Standard"/>
    <w:next w:val="Standard"/>
    <w:autoRedefine/>
    <w:uiPriority w:val="39"/>
    <w:semiHidden/>
    <w:unhideWhenUsed/>
    <w:rsid w:val="0033760F"/>
    <w:pPr>
      <w:spacing w:after="100"/>
    </w:pPr>
  </w:style>
  <w:style w:type="character" w:customStyle="1" w:styleId="berschrift4Zchn">
    <w:name w:val="Überschrift 4 Zchn"/>
    <w:basedOn w:val="Absatz-Standardschriftart"/>
    <w:link w:val="berschrift4"/>
    <w:uiPriority w:val="9"/>
    <w:rsid w:val="00BA12C4"/>
    <w:rPr>
      <w:rFonts w:ascii="Arial" w:eastAsiaTheme="majorEastAsia" w:hAnsi="Arial" w:cstheme="majorBidi"/>
      <w:b/>
      <w:bCs/>
      <w:iCs/>
      <w:color w:val="595959" w:themeColor="text1" w:themeTint="A6"/>
      <w:sz w:val="26"/>
      <w:lang w:val="en-US"/>
    </w:rPr>
  </w:style>
  <w:style w:type="paragraph" w:styleId="Untertitel">
    <w:name w:val="Subtitle"/>
    <w:basedOn w:val="Standard"/>
    <w:next w:val="Standard"/>
    <w:link w:val="UntertitelZchn"/>
    <w:autoRedefine/>
    <w:uiPriority w:val="11"/>
    <w:qFormat/>
    <w:rsid w:val="00074E27"/>
    <w:pPr>
      <w:numPr>
        <w:ilvl w:val="1"/>
      </w:numPr>
    </w:pPr>
    <w:rPr>
      <w:rFonts w:eastAsiaTheme="majorEastAsia" w:cstheme="majorBidi"/>
      <w:szCs w:val="20"/>
    </w:rPr>
  </w:style>
  <w:style w:type="character" w:customStyle="1" w:styleId="UntertitelZchn">
    <w:name w:val="Untertitel Zchn"/>
    <w:basedOn w:val="Absatz-Standardschriftart"/>
    <w:link w:val="Untertitel"/>
    <w:uiPriority w:val="11"/>
    <w:rsid w:val="00074E27"/>
    <w:rPr>
      <w:rFonts w:ascii="Arial" w:eastAsiaTheme="majorEastAsia" w:hAnsi="Arial" w:cstheme="majorBidi"/>
      <w:color w:val="595959" w:themeColor="text1" w:themeTint="A6"/>
      <w:sz w:val="20"/>
      <w:szCs w:val="20"/>
    </w:rPr>
  </w:style>
  <w:style w:type="paragraph" w:styleId="Listenabsatz">
    <w:name w:val="List Paragraph"/>
    <w:basedOn w:val="Standard"/>
    <w:uiPriority w:val="34"/>
    <w:qFormat/>
    <w:rsid w:val="007D065E"/>
    <w:pPr>
      <w:spacing w:before="200" w:after="200"/>
      <w:ind w:left="720"/>
      <w:contextualSpacing/>
    </w:pPr>
  </w:style>
  <w:style w:type="paragraph" w:styleId="Funotentext">
    <w:name w:val="footnote text"/>
    <w:basedOn w:val="Standard"/>
    <w:link w:val="FunotentextZchn"/>
    <w:autoRedefine/>
    <w:uiPriority w:val="99"/>
    <w:unhideWhenUsed/>
    <w:qFormat/>
    <w:rsid w:val="002624DD"/>
    <w:pPr>
      <w:spacing w:before="0" w:after="0"/>
    </w:pPr>
    <w:rPr>
      <w:rFonts w:asciiTheme="majorHAnsi" w:hAnsiTheme="majorHAnsi"/>
      <w:color w:val="auto"/>
      <w:sz w:val="16"/>
      <w:szCs w:val="16"/>
    </w:rPr>
  </w:style>
  <w:style w:type="character" w:customStyle="1" w:styleId="FunotentextZchn">
    <w:name w:val="Fußnotentext Zchn"/>
    <w:basedOn w:val="Absatz-Standardschriftart"/>
    <w:link w:val="Funotentext"/>
    <w:uiPriority w:val="99"/>
    <w:rsid w:val="002624DD"/>
    <w:rPr>
      <w:rFonts w:asciiTheme="majorHAnsi" w:hAnsiTheme="majorHAnsi" w:cs="Times New Roman"/>
      <w:sz w:val="16"/>
      <w:szCs w:val="16"/>
      <w:lang w:val="en-US"/>
    </w:rPr>
  </w:style>
  <w:style w:type="table" w:styleId="Tabellenraster">
    <w:name w:val="Table Grid"/>
    <w:basedOn w:val="NormaleTabelle"/>
    <w:uiPriority w:val="59"/>
    <w:rsid w:val="000E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0E375A"/>
    <w:pPr>
      <w:spacing w:before="0" w:after="200"/>
      <w:jc w:val="left"/>
    </w:pPr>
    <w:rPr>
      <w:rFonts w:ascii="Calibri" w:eastAsia="Calibri" w:hAnsi="Calibri"/>
      <w:color w:val="auto"/>
      <w:szCs w:val="20"/>
      <w:lang w:val="de-DE"/>
    </w:rPr>
  </w:style>
  <w:style w:type="character" w:customStyle="1" w:styleId="KommentartextZchn">
    <w:name w:val="Kommentartext Zchn"/>
    <w:basedOn w:val="Absatz-Standardschriftart"/>
    <w:link w:val="Kommentartext"/>
    <w:uiPriority w:val="99"/>
    <w:rsid w:val="000E375A"/>
    <w:rPr>
      <w:rFonts w:ascii="Calibri" w:eastAsia="Calibri" w:hAnsi="Calibri" w:cs="Times New Roman"/>
      <w:sz w:val="20"/>
      <w:szCs w:val="20"/>
    </w:rPr>
  </w:style>
  <w:style w:type="paragraph" w:styleId="StandardWeb">
    <w:name w:val="Normal (Web)"/>
    <w:basedOn w:val="Standard"/>
    <w:uiPriority w:val="99"/>
    <w:unhideWhenUsed/>
    <w:rsid w:val="00B65C60"/>
    <w:pPr>
      <w:spacing w:before="0" w:after="200" w:line="276" w:lineRule="auto"/>
      <w:jc w:val="left"/>
    </w:pPr>
    <w:rPr>
      <w:rFonts w:ascii="Times New Roman" w:eastAsia="Calibri" w:hAnsi="Times New Roman"/>
      <w:color w:val="auto"/>
      <w:sz w:val="24"/>
      <w:lang w:val="de-DE"/>
    </w:rPr>
  </w:style>
  <w:style w:type="character" w:styleId="Funotenzeichen">
    <w:name w:val="footnote reference"/>
    <w:basedOn w:val="Absatz-Standardschriftart"/>
    <w:uiPriority w:val="99"/>
    <w:unhideWhenUsed/>
    <w:rsid w:val="00266A4E"/>
    <w:rPr>
      <w:vertAlign w:val="superscript"/>
    </w:rPr>
  </w:style>
  <w:style w:type="character" w:styleId="Kommentarzeichen">
    <w:name w:val="annotation reference"/>
    <w:uiPriority w:val="99"/>
    <w:semiHidden/>
    <w:unhideWhenUsed/>
    <w:rsid w:val="003420CC"/>
    <w:rPr>
      <w:sz w:val="16"/>
      <w:szCs w:val="16"/>
    </w:rPr>
  </w:style>
  <w:style w:type="paragraph" w:styleId="Fuzeile">
    <w:name w:val="footer"/>
    <w:basedOn w:val="Standard"/>
    <w:link w:val="FuzeileZchn"/>
    <w:uiPriority w:val="99"/>
    <w:unhideWhenUsed/>
    <w:rsid w:val="004038B6"/>
    <w:pPr>
      <w:tabs>
        <w:tab w:val="center" w:pos="4320"/>
        <w:tab w:val="right" w:pos="8640"/>
      </w:tabs>
      <w:spacing w:before="0" w:after="0"/>
    </w:pPr>
  </w:style>
  <w:style w:type="character" w:customStyle="1" w:styleId="FuzeileZchn">
    <w:name w:val="Fußzeile Zchn"/>
    <w:basedOn w:val="Absatz-Standardschriftart"/>
    <w:link w:val="Fuzeile"/>
    <w:uiPriority w:val="99"/>
    <w:rsid w:val="004038B6"/>
    <w:rPr>
      <w:rFonts w:ascii="Arial" w:hAnsi="Arial" w:cs="Times New Roman"/>
      <w:color w:val="595959" w:themeColor="text1" w:themeTint="A6"/>
      <w:sz w:val="20"/>
      <w:lang w:val="en-US"/>
    </w:rPr>
  </w:style>
  <w:style w:type="character" w:styleId="Seitenzahl">
    <w:name w:val="page number"/>
    <w:basedOn w:val="Absatz-Standardschriftart"/>
    <w:uiPriority w:val="99"/>
    <w:semiHidden/>
    <w:unhideWhenUsed/>
    <w:rsid w:val="004038B6"/>
  </w:style>
  <w:style w:type="paragraph" w:styleId="Endnotentext">
    <w:name w:val="endnote text"/>
    <w:basedOn w:val="Standard"/>
    <w:link w:val="EndnotentextZchn"/>
    <w:uiPriority w:val="99"/>
    <w:unhideWhenUsed/>
    <w:rsid w:val="002874C2"/>
    <w:pPr>
      <w:spacing w:before="0" w:after="0"/>
    </w:pPr>
    <w:rPr>
      <w:sz w:val="24"/>
    </w:rPr>
  </w:style>
  <w:style w:type="character" w:customStyle="1" w:styleId="EndnotentextZchn">
    <w:name w:val="Endnotentext Zchn"/>
    <w:basedOn w:val="Absatz-Standardschriftart"/>
    <w:link w:val="Endnotentext"/>
    <w:uiPriority w:val="99"/>
    <w:rsid w:val="002874C2"/>
    <w:rPr>
      <w:rFonts w:ascii="Arial" w:hAnsi="Arial" w:cs="Times New Roman"/>
      <w:color w:val="595959" w:themeColor="text1" w:themeTint="A6"/>
      <w:lang w:val="en-US"/>
    </w:rPr>
  </w:style>
  <w:style w:type="character" w:styleId="Endnotenzeichen">
    <w:name w:val="endnote reference"/>
    <w:basedOn w:val="Absatz-Standardschriftart"/>
    <w:uiPriority w:val="99"/>
    <w:unhideWhenUsed/>
    <w:rsid w:val="002874C2"/>
    <w:rPr>
      <w:vertAlign w:val="superscript"/>
    </w:rPr>
  </w:style>
  <w:style w:type="paragraph" w:styleId="Sprechblasentext">
    <w:name w:val="Balloon Text"/>
    <w:basedOn w:val="Standard"/>
    <w:link w:val="SprechblasentextZchn"/>
    <w:uiPriority w:val="99"/>
    <w:semiHidden/>
    <w:unhideWhenUsed/>
    <w:rsid w:val="00BE291F"/>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E291F"/>
    <w:rPr>
      <w:rFonts w:ascii="Lucida Grande" w:hAnsi="Lucida Grande" w:cs="Lucida Grande"/>
      <w:color w:val="595959" w:themeColor="text1" w:themeTint="A6"/>
      <w:sz w:val="18"/>
      <w:szCs w:val="18"/>
      <w:lang w:val="en-US"/>
    </w:rPr>
  </w:style>
  <w:style w:type="paragraph" w:styleId="Kopfzeile">
    <w:name w:val="header"/>
    <w:basedOn w:val="Standard"/>
    <w:link w:val="KopfzeileZchn"/>
    <w:uiPriority w:val="99"/>
    <w:unhideWhenUsed/>
    <w:rsid w:val="00DA0B18"/>
    <w:pPr>
      <w:tabs>
        <w:tab w:val="center" w:pos="4320"/>
        <w:tab w:val="right" w:pos="8640"/>
      </w:tabs>
      <w:spacing w:before="0" w:after="0"/>
    </w:pPr>
  </w:style>
  <w:style w:type="character" w:customStyle="1" w:styleId="KopfzeileZchn">
    <w:name w:val="Kopfzeile Zchn"/>
    <w:basedOn w:val="Absatz-Standardschriftart"/>
    <w:link w:val="Kopfzeile"/>
    <w:uiPriority w:val="99"/>
    <w:rsid w:val="00DA0B18"/>
    <w:rPr>
      <w:rFonts w:ascii="Arial" w:hAnsi="Arial" w:cs="Times New Roman"/>
      <w:color w:val="595959" w:themeColor="text1" w:themeTint="A6"/>
      <w:sz w:val="20"/>
      <w:lang w:val="en-US"/>
    </w:rPr>
  </w:style>
  <w:style w:type="paragraph" w:styleId="Kommentarthema">
    <w:name w:val="annotation subject"/>
    <w:basedOn w:val="Kommentartext"/>
    <w:next w:val="Kommentartext"/>
    <w:link w:val="KommentarthemaZchn"/>
    <w:uiPriority w:val="99"/>
    <w:semiHidden/>
    <w:unhideWhenUsed/>
    <w:rsid w:val="001E2316"/>
    <w:pPr>
      <w:spacing w:before="60" w:after="60"/>
      <w:jc w:val="both"/>
    </w:pPr>
    <w:rPr>
      <w:rFonts w:ascii="Arial" w:eastAsiaTheme="minorEastAsia" w:hAnsi="Arial"/>
      <w:b/>
      <w:bCs/>
      <w:color w:val="595959" w:themeColor="text1" w:themeTint="A6"/>
      <w:lang w:val="en-US"/>
    </w:rPr>
  </w:style>
  <w:style w:type="character" w:customStyle="1" w:styleId="KommentarthemaZchn">
    <w:name w:val="Kommentarthema Zchn"/>
    <w:basedOn w:val="KommentartextZchn"/>
    <w:link w:val="Kommentarthema"/>
    <w:uiPriority w:val="99"/>
    <w:semiHidden/>
    <w:rsid w:val="001E2316"/>
    <w:rPr>
      <w:rFonts w:ascii="Arial" w:eastAsia="Calibri" w:hAnsi="Arial" w:cs="Times New Roman"/>
      <w:b/>
      <w:bCs/>
      <w:color w:val="595959" w:themeColor="text1" w:themeTint="A6"/>
      <w:sz w:val="20"/>
      <w:szCs w:val="20"/>
      <w:lang w:val="en-US"/>
    </w:rPr>
  </w:style>
  <w:style w:type="character" w:styleId="Hyperlink">
    <w:name w:val="Hyperlink"/>
    <w:basedOn w:val="Absatz-Standardschriftart"/>
    <w:uiPriority w:val="99"/>
    <w:unhideWhenUsed/>
    <w:rsid w:val="0022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9813">
      <w:bodyDiv w:val="1"/>
      <w:marLeft w:val="0"/>
      <w:marRight w:val="0"/>
      <w:marTop w:val="0"/>
      <w:marBottom w:val="0"/>
      <w:divBdr>
        <w:top w:val="none" w:sz="0" w:space="0" w:color="auto"/>
        <w:left w:val="none" w:sz="0" w:space="0" w:color="auto"/>
        <w:bottom w:val="none" w:sz="0" w:space="0" w:color="auto"/>
        <w:right w:val="none" w:sz="0" w:space="0" w:color="auto"/>
      </w:divBdr>
      <w:divsChild>
        <w:div w:id="1901289470">
          <w:marLeft w:val="0"/>
          <w:marRight w:val="0"/>
          <w:marTop w:val="0"/>
          <w:marBottom w:val="0"/>
          <w:divBdr>
            <w:top w:val="none" w:sz="0" w:space="0" w:color="auto"/>
            <w:left w:val="none" w:sz="0" w:space="0" w:color="auto"/>
            <w:bottom w:val="none" w:sz="0" w:space="0" w:color="auto"/>
            <w:right w:val="none" w:sz="0" w:space="0" w:color="auto"/>
          </w:divBdr>
        </w:div>
        <w:div w:id="892892065">
          <w:marLeft w:val="0"/>
          <w:marRight w:val="0"/>
          <w:marTop w:val="0"/>
          <w:marBottom w:val="0"/>
          <w:divBdr>
            <w:top w:val="none" w:sz="0" w:space="0" w:color="auto"/>
            <w:left w:val="none" w:sz="0" w:space="0" w:color="auto"/>
            <w:bottom w:val="none" w:sz="0" w:space="0" w:color="auto"/>
            <w:right w:val="none" w:sz="0" w:space="0" w:color="auto"/>
          </w:divBdr>
        </w:div>
        <w:div w:id="316767570">
          <w:marLeft w:val="0"/>
          <w:marRight w:val="0"/>
          <w:marTop w:val="0"/>
          <w:marBottom w:val="0"/>
          <w:divBdr>
            <w:top w:val="none" w:sz="0" w:space="0" w:color="auto"/>
            <w:left w:val="none" w:sz="0" w:space="0" w:color="auto"/>
            <w:bottom w:val="none" w:sz="0" w:space="0" w:color="auto"/>
            <w:right w:val="none" w:sz="0" w:space="0" w:color="auto"/>
          </w:divBdr>
        </w:div>
        <w:div w:id="1666977167">
          <w:marLeft w:val="0"/>
          <w:marRight w:val="0"/>
          <w:marTop w:val="0"/>
          <w:marBottom w:val="0"/>
          <w:divBdr>
            <w:top w:val="none" w:sz="0" w:space="0" w:color="auto"/>
            <w:left w:val="none" w:sz="0" w:space="0" w:color="auto"/>
            <w:bottom w:val="none" w:sz="0" w:space="0" w:color="auto"/>
            <w:right w:val="none" w:sz="0" w:space="0" w:color="auto"/>
          </w:divBdr>
        </w:div>
        <w:div w:id="609359125">
          <w:marLeft w:val="0"/>
          <w:marRight w:val="0"/>
          <w:marTop w:val="0"/>
          <w:marBottom w:val="0"/>
          <w:divBdr>
            <w:top w:val="none" w:sz="0" w:space="0" w:color="auto"/>
            <w:left w:val="none" w:sz="0" w:space="0" w:color="auto"/>
            <w:bottom w:val="none" w:sz="0" w:space="0" w:color="auto"/>
            <w:right w:val="none" w:sz="0" w:space="0" w:color="auto"/>
          </w:divBdr>
        </w:div>
        <w:div w:id="1368287301">
          <w:marLeft w:val="0"/>
          <w:marRight w:val="0"/>
          <w:marTop w:val="0"/>
          <w:marBottom w:val="0"/>
          <w:divBdr>
            <w:top w:val="none" w:sz="0" w:space="0" w:color="auto"/>
            <w:left w:val="none" w:sz="0" w:space="0" w:color="auto"/>
            <w:bottom w:val="none" w:sz="0" w:space="0" w:color="auto"/>
            <w:right w:val="none" w:sz="0" w:space="0" w:color="auto"/>
          </w:divBdr>
        </w:div>
        <w:div w:id="1160538617">
          <w:marLeft w:val="0"/>
          <w:marRight w:val="0"/>
          <w:marTop w:val="0"/>
          <w:marBottom w:val="0"/>
          <w:divBdr>
            <w:top w:val="none" w:sz="0" w:space="0" w:color="auto"/>
            <w:left w:val="none" w:sz="0" w:space="0" w:color="auto"/>
            <w:bottom w:val="none" w:sz="0" w:space="0" w:color="auto"/>
            <w:right w:val="none" w:sz="0" w:space="0" w:color="auto"/>
          </w:divBdr>
        </w:div>
        <w:div w:id="253977132">
          <w:marLeft w:val="0"/>
          <w:marRight w:val="0"/>
          <w:marTop w:val="0"/>
          <w:marBottom w:val="0"/>
          <w:divBdr>
            <w:top w:val="none" w:sz="0" w:space="0" w:color="auto"/>
            <w:left w:val="none" w:sz="0" w:space="0" w:color="auto"/>
            <w:bottom w:val="none" w:sz="0" w:space="0" w:color="auto"/>
            <w:right w:val="none" w:sz="0" w:space="0" w:color="auto"/>
          </w:divBdr>
        </w:div>
        <w:div w:id="1195342384">
          <w:marLeft w:val="0"/>
          <w:marRight w:val="0"/>
          <w:marTop w:val="0"/>
          <w:marBottom w:val="0"/>
          <w:divBdr>
            <w:top w:val="none" w:sz="0" w:space="0" w:color="auto"/>
            <w:left w:val="none" w:sz="0" w:space="0" w:color="auto"/>
            <w:bottom w:val="none" w:sz="0" w:space="0" w:color="auto"/>
            <w:right w:val="none" w:sz="0" w:space="0" w:color="auto"/>
          </w:divBdr>
        </w:div>
        <w:div w:id="561058934">
          <w:marLeft w:val="0"/>
          <w:marRight w:val="0"/>
          <w:marTop w:val="0"/>
          <w:marBottom w:val="0"/>
          <w:divBdr>
            <w:top w:val="none" w:sz="0" w:space="0" w:color="auto"/>
            <w:left w:val="none" w:sz="0" w:space="0" w:color="auto"/>
            <w:bottom w:val="none" w:sz="0" w:space="0" w:color="auto"/>
            <w:right w:val="none" w:sz="0" w:space="0" w:color="auto"/>
          </w:divBdr>
        </w:div>
      </w:divsChild>
    </w:div>
    <w:div w:id="369305120">
      <w:bodyDiv w:val="1"/>
      <w:marLeft w:val="0"/>
      <w:marRight w:val="0"/>
      <w:marTop w:val="0"/>
      <w:marBottom w:val="0"/>
      <w:divBdr>
        <w:top w:val="none" w:sz="0" w:space="0" w:color="auto"/>
        <w:left w:val="none" w:sz="0" w:space="0" w:color="auto"/>
        <w:bottom w:val="none" w:sz="0" w:space="0" w:color="auto"/>
        <w:right w:val="none" w:sz="0" w:space="0" w:color="auto"/>
      </w:divBdr>
      <w:divsChild>
        <w:div w:id="166671657">
          <w:marLeft w:val="0"/>
          <w:marRight w:val="0"/>
          <w:marTop w:val="0"/>
          <w:marBottom w:val="0"/>
          <w:divBdr>
            <w:top w:val="none" w:sz="0" w:space="0" w:color="auto"/>
            <w:left w:val="none" w:sz="0" w:space="0" w:color="auto"/>
            <w:bottom w:val="none" w:sz="0" w:space="0" w:color="auto"/>
            <w:right w:val="none" w:sz="0" w:space="0" w:color="auto"/>
          </w:divBdr>
        </w:div>
        <w:div w:id="1910845347">
          <w:marLeft w:val="0"/>
          <w:marRight w:val="0"/>
          <w:marTop w:val="0"/>
          <w:marBottom w:val="0"/>
          <w:divBdr>
            <w:top w:val="none" w:sz="0" w:space="0" w:color="auto"/>
            <w:left w:val="none" w:sz="0" w:space="0" w:color="auto"/>
            <w:bottom w:val="none" w:sz="0" w:space="0" w:color="auto"/>
            <w:right w:val="none" w:sz="0" w:space="0" w:color="auto"/>
          </w:divBdr>
        </w:div>
      </w:divsChild>
    </w:div>
    <w:div w:id="647056712">
      <w:bodyDiv w:val="1"/>
      <w:marLeft w:val="0"/>
      <w:marRight w:val="0"/>
      <w:marTop w:val="0"/>
      <w:marBottom w:val="0"/>
      <w:divBdr>
        <w:top w:val="none" w:sz="0" w:space="0" w:color="auto"/>
        <w:left w:val="none" w:sz="0" w:space="0" w:color="auto"/>
        <w:bottom w:val="none" w:sz="0" w:space="0" w:color="auto"/>
        <w:right w:val="none" w:sz="0" w:space="0" w:color="auto"/>
      </w:divBdr>
      <w:divsChild>
        <w:div w:id="1747726676">
          <w:marLeft w:val="0"/>
          <w:marRight w:val="0"/>
          <w:marTop w:val="0"/>
          <w:marBottom w:val="0"/>
          <w:divBdr>
            <w:top w:val="none" w:sz="0" w:space="0" w:color="auto"/>
            <w:left w:val="none" w:sz="0" w:space="0" w:color="auto"/>
            <w:bottom w:val="none" w:sz="0" w:space="0" w:color="auto"/>
            <w:right w:val="none" w:sz="0" w:space="0" w:color="auto"/>
          </w:divBdr>
        </w:div>
        <w:div w:id="2061631900">
          <w:marLeft w:val="0"/>
          <w:marRight w:val="0"/>
          <w:marTop w:val="0"/>
          <w:marBottom w:val="0"/>
          <w:divBdr>
            <w:top w:val="none" w:sz="0" w:space="0" w:color="auto"/>
            <w:left w:val="none" w:sz="0" w:space="0" w:color="auto"/>
            <w:bottom w:val="none" w:sz="0" w:space="0" w:color="auto"/>
            <w:right w:val="none" w:sz="0" w:space="0" w:color="auto"/>
          </w:divBdr>
        </w:div>
        <w:div w:id="1264147231">
          <w:marLeft w:val="0"/>
          <w:marRight w:val="0"/>
          <w:marTop w:val="0"/>
          <w:marBottom w:val="0"/>
          <w:divBdr>
            <w:top w:val="none" w:sz="0" w:space="0" w:color="auto"/>
            <w:left w:val="none" w:sz="0" w:space="0" w:color="auto"/>
            <w:bottom w:val="none" w:sz="0" w:space="0" w:color="auto"/>
            <w:right w:val="none" w:sz="0" w:space="0" w:color="auto"/>
          </w:divBdr>
        </w:div>
        <w:div w:id="1329358234">
          <w:marLeft w:val="0"/>
          <w:marRight w:val="0"/>
          <w:marTop w:val="0"/>
          <w:marBottom w:val="0"/>
          <w:divBdr>
            <w:top w:val="none" w:sz="0" w:space="0" w:color="auto"/>
            <w:left w:val="none" w:sz="0" w:space="0" w:color="auto"/>
            <w:bottom w:val="none" w:sz="0" w:space="0" w:color="auto"/>
            <w:right w:val="none" w:sz="0" w:space="0" w:color="auto"/>
          </w:divBdr>
        </w:div>
        <w:div w:id="1674259460">
          <w:marLeft w:val="0"/>
          <w:marRight w:val="0"/>
          <w:marTop w:val="0"/>
          <w:marBottom w:val="0"/>
          <w:divBdr>
            <w:top w:val="none" w:sz="0" w:space="0" w:color="auto"/>
            <w:left w:val="none" w:sz="0" w:space="0" w:color="auto"/>
            <w:bottom w:val="none" w:sz="0" w:space="0" w:color="auto"/>
            <w:right w:val="none" w:sz="0" w:space="0" w:color="auto"/>
          </w:divBdr>
        </w:div>
      </w:divsChild>
    </w:div>
    <w:div w:id="656155779">
      <w:bodyDiv w:val="1"/>
      <w:marLeft w:val="0"/>
      <w:marRight w:val="0"/>
      <w:marTop w:val="0"/>
      <w:marBottom w:val="0"/>
      <w:divBdr>
        <w:top w:val="none" w:sz="0" w:space="0" w:color="auto"/>
        <w:left w:val="none" w:sz="0" w:space="0" w:color="auto"/>
        <w:bottom w:val="none" w:sz="0" w:space="0" w:color="auto"/>
        <w:right w:val="none" w:sz="0" w:space="0" w:color="auto"/>
      </w:divBdr>
      <w:divsChild>
        <w:div w:id="612589367">
          <w:marLeft w:val="0"/>
          <w:marRight w:val="0"/>
          <w:marTop w:val="0"/>
          <w:marBottom w:val="0"/>
          <w:divBdr>
            <w:top w:val="none" w:sz="0" w:space="0" w:color="auto"/>
            <w:left w:val="none" w:sz="0" w:space="0" w:color="auto"/>
            <w:bottom w:val="none" w:sz="0" w:space="0" w:color="auto"/>
            <w:right w:val="none" w:sz="0" w:space="0" w:color="auto"/>
          </w:divBdr>
        </w:div>
        <w:div w:id="1388335076">
          <w:marLeft w:val="0"/>
          <w:marRight w:val="0"/>
          <w:marTop w:val="0"/>
          <w:marBottom w:val="0"/>
          <w:divBdr>
            <w:top w:val="none" w:sz="0" w:space="0" w:color="auto"/>
            <w:left w:val="none" w:sz="0" w:space="0" w:color="auto"/>
            <w:bottom w:val="none" w:sz="0" w:space="0" w:color="auto"/>
            <w:right w:val="none" w:sz="0" w:space="0" w:color="auto"/>
          </w:divBdr>
        </w:div>
        <w:div w:id="1808546852">
          <w:marLeft w:val="0"/>
          <w:marRight w:val="0"/>
          <w:marTop w:val="0"/>
          <w:marBottom w:val="0"/>
          <w:divBdr>
            <w:top w:val="none" w:sz="0" w:space="0" w:color="auto"/>
            <w:left w:val="none" w:sz="0" w:space="0" w:color="auto"/>
            <w:bottom w:val="none" w:sz="0" w:space="0" w:color="auto"/>
            <w:right w:val="none" w:sz="0" w:space="0" w:color="auto"/>
          </w:divBdr>
        </w:div>
        <w:div w:id="1478298170">
          <w:marLeft w:val="0"/>
          <w:marRight w:val="0"/>
          <w:marTop w:val="0"/>
          <w:marBottom w:val="0"/>
          <w:divBdr>
            <w:top w:val="none" w:sz="0" w:space="0" w:color="auto"/>
            <w:left w:val="none" w:sz="0" w:space="0" w:color="auto"/>
            <w:bottom w:val="none" w:sz="0" w:space="0" w:color="auto"/>
            <w:right w:val="none" w:sz="0" w:space="0" w:color="auto"/>
          </w:divBdr>
        </w:div>
        <w:div w:id="1770664141">
          <w:marLeft w:val="0"/>
          <w:marRight w:val="0"/>
          <w:marTop w:val="0"/>
          <w:marBottom w:val="0"/>
          <w:divBdr>
            <w:top w:val="none" w:sz="0" w:space="0" w:color="auto"/>
            <w:left w:val="none" w:sz="0" w:space="0" w:color="auto"/>
            <w:bottom w:val="none" w:sz="0" w:space="0" w:color="auto"/>
            <w:right w:val="none" w:sz="0" w:space="0" w:color="auto"/>
          </w:divBdr>
        </w:div>
        <w:div w:id="1105924947">
          <w:marLeft w:val="0"/>
          <w:marRight w:val="0"/>
          <w:marTop w:val="0"/>
          <w:marBottom w:val="0"/>
          <w:divBdr>
            <w:top w:val="none" w:sz="0" w:space="0" w:color="auto"/>
            <w:left w:val="none" w:sz="0" w:space="0" w:color="auto"/>
            <w:bottom w:val="none" w:sz="0" w:space="0" w:color="auto"/>
            <w:right w:val="none" w:sz="0" w:space="0" w:color="auto"/>
          </w:divBdr>
        </w:div>
        <w:div w:id="1839806989">
          <w:marLeft w:val="0"/>
          <w:marRight w:val="0"/>
          <w:marTop w:val="0"/>
          <w:marBottom w:val="0"/>
          <w:divBdr>
            <w:top w:val="none" w:sz="0" w:space="0" w:color="auto"/>
            <w:left w:val="none" w:sz="0" w:space="0" w:color="auto"/>
            <w:bottom w:val="none" w:sz="0" w:space="0" w:color="auto"/>
            <w:right w:val="none" w:sz="0" w:space="0" w:color="auto"/>
          </w:divBdr>
        </w:div>
        <w:div w:id="480729981">
          <w:marLeft w:val="0"/>
          <w:marRight w:val="0"/>
          <w:marTop w:val="0"/>
          <w:marBottom w:val="0"/>
          <w:divBdr>
            <w:top w:val="none" w:sz="0" w:space="0" w:color="auto"/>
            <w:left w:val="none" w:sz="0" w:space="0" w:color="auto"/>
            <w:bottom w:val="none" w:sz="0" w:space="0" w:color="auto"/>
            <w:right w:val="none" w:sz="0" w:space="0" w:color="auto"/>
          </w:divBdr>
        </w:div>
        <w:div w:id="1743135683">
          <w:marLeft w:val="0"/>
          <w:marRight w:val="0"/>
          <w:marTop w:val="0"/>
          <w:marBottom w:val="0"/>
          <w:divBdr>
            <w:top w:val="none" w:sz="0" w:space="0" w:color="auto"/>
            <w:left w:val="none" w:sz="0" w:space="0" w:color="auto"/>
            <w:bottom w:val="none" w:sz="0" w:space="0" w:color="auto"/>
            <w:right w:val="none" w:sz="0" w:space="0" w:color="auto"/>
          </w:divBdr>
        </w:div>
        <w:div w:id="2088914165">
          <w:marLeft w:val="0"/>
          <w:marRight w:val="0"/>
          <w:marTop w:val="0"/>
          <w:marBottom w:val="0"/>
          <w:divBdr>
            <w:top w:val="none" w:sz="0" w:space="0" w:color="auto"/>
            <w:left w:val="none" w:sz="0" w:space="0" w:color="auto"/>
            <w:bottom w:val="none" w:sz="0" w:space="0" w:color="auto"/>
            <w:right w:val="none" w:sz="0" w:space="0" w:color="auto"/>
          </w:divBdr>
        </w:div>
        <w:div w:id="2044204092">
          <w:marLeft w:val="0"/>
          <w:marRight w:val="0"/>
          <w:marTop w:val="0"/>
          <w:marBottom w:val="0"/>
          <w:divBdr>
            <w:top w:val="none" w:sz="0" w:space="0" w:color="auto"/>
            <w:left w:val="none" w:sz="0" w:space="0" w:color="auto"/>
            <w:bottom w:val="none" w:sz="0" w:space="0" w:color="auto"/>
            <w:right w:val="none" w:sz="0" w:space="0" w:color="auto"/>
          </w:divBdr>
        </w:div>
        <w:div w:id="1469008393">
          <w:marLeft w:val="0"/>
          <w:marRight w:val="0"/>
          <w:marTop w:val="0"/>
          <w:marBottom w:val="0"/>
          <w:divBdr>
            <w:top w:val="none" w:sz="0" w:space="0" w:color="auto"/>
            <w:left w:val="none" w:sz="0" w:space="0" w:color="auto"/>
            <w:bottom w:val="none" w:sz="0" w:space="0" w:color="auto"/>
            <w:right w:val="none" w:sz="0" w:space="0" w:color="auto"/>
          </w:divBdr>
        </w:div>
        <w:div w:id="1705130626">
          <w:marLeft w:val="0"/>
          <w:marRight w:val="0"/>
          <w:marTop w:val="0"/>
          <w:marBottom w:val="0"/>
          <w:divBdr>
            <w:top w:val="none" w:sz="0" w:space="0" w:color="auto"/>
            <w:left w:val="none" w:sz="0" w:space="0" w:color="auto"/>
            <w:bottom w:val="none" w:sz="0" w:space="0" w:color="auto"/>
            <w:right w:val="none" w:sz="0" w:space="0" w:color="auto"/>
          </w:divBdr>
        </w:div>
        <w:div w:id="791099532">
          <w:marLeft w:val="0"/>
          <w:marRight w:val="0"/>
          <w:marTop w:val="0"/>
          <w:marBottom w:val="0"/>
          <w:divBdr>
            <w:top w:val="none" w:sz="0" w:space="0" w:color="auto"/>
            <w:left w:val="none" w:sz="0" w:space="0" w:color="auto"/>
            <w:bottom w:val="none" w:sz="0" w:space="0" w:color="auto"/>
            <w:right w:val="none" w:sz="0" w:space="0" w:color="auto"/>
          </w:divBdr>
        </w:div>
        <w:div w:id="1584488069">
          <w:marLeft w:val="0"/>
          <w:marRight w:val="0"/>
          <w:marTop w:val="0"/>
          <w:marBottom w:val="0"/>
          <w:divBdr>
            <w:top w:val="none" w:sz="0" w:space="0" w:color="auto"/>
            <w:left w:val="none" w:sz="0" w:space="0" w:color="auto"/>
            <w:bottom w:val="none" w:sz="0" w:space="0" w:color="auto"/>
            <w:right w:val="none" w:sz="0" w:space="0" w:color="auto"/>
          </w:divBdr>
        </w:div>
        <w:div w:id="933629406">
          <w:marLeft w:val="0"/>
          <w:marRight w:val="0"/>
          <w:marTop w:val="0"/>
          <w:marBottom w:val="0"/>
          <w:divBdr>
            <w:top w:val="none" w:sz="0" w:space="0" w:color="auto"/>
            <w:left w:val="none" w:sz="0" w:space="0" w:color="auto"/>
            <w:bottom w:val="none" w:sz="0" w:space="0" w:color="auto"/>
            <w:right w:val="none" w:sz="0" w:space="0" w:color="auto"/>
          </w:divBdr>
        </w:div>
        <w:div w:id="378944634">
          <w:marLeft w:val="0"/>
          <w:marRight w:val="0"/>
          <w:marTop w:val="0"/>
          <w:marBottom w:val="0"/>
          <w:divBdr>
            <w:top w:val="none" w:sz="0" w:space="0" w:color="auto"/>
            <w:left w:val="none" w:sz="0" w:space="0" w:color="auto"/>
            <w:bottom w:val="none" w:sz="0" w:space="0" w:color="auto"/>
            <w:right w:val="none" w:sz="0" w:space="0" w:color="auto"/>
          </w:divBdr>
        </w:div>
      </w:divsChild>
    </w:div>
    <w:div w:id="686324003">
      <w:bodyDiv w:val="1"/>
      <w:marLeft w:val="0"/>
      <w:marRight w:val="0"/>
      <w:marTop w:val="0"/>
      <w:marBottom w:val="0"/>
      <w:divBdr>
        <w:top w:val="none" w:sz="0" w:space="0" w:color="auto"/>
        <w:left w:val="none" w:sz="0" w:space="0" w:color="auto"/>
        <w:bottom w:val="none" w:sz="0" w:space="0" w:color="auto"/>
        <w:right w:val="none" w:sz="0" w:space="0" w:color="auto"/>
      </w:divBdr>
      <w:divsChild>
        <w:div w:id="38826852">
          <w:marLeft w:val="0"/>
          <w:marRight w:val="0"/>
          <w:marTop w:val="0"/>
          <w:marBottom w:val="0"/>
          <w:divBdr>
            <w:top w:val="none" w:sz="0" w:space="0" w:color="auto"/>
            <w:left w:val="none" w:sz="0" w:space="0" w:color="auto"/>
            <w:bottom w:val="none" w:sz="0" w:space="0" w:color="auto"/>
            <w:right w:val="none" w:sz="0" w:space="0" w:color="auto"/>
          </w:divBdr>
        </w:div>
        <w:div w:id="1946962453">
          <w:marLeft w:val="0"/>
          <w:marRight w:val="0"/>
          <w:marTop w:val="0"/>
          <w:marBottom w:val="0"/>
          <w:divBdr>
            <w:top w:val="none" w:sz="0" w:space="0" w:color="auto"/>
            <w:left w:val="none" w:sz="0" w:space="0" w:color="auto"/>
            <w:bottom w:val="none" w:sz="0" w:space="0" w:color="auto"/>
            <w:right w:val="none" w:sz="0" w:space="0" w:color="auto"/>
          </w:divBdr>
        </w:div>
      </w:divsChild>
    </w:div>
    <w:div w:id="1626882726">
      <w:bodyDiv w:val="1"/>
      <w:marLeft w:val="0"/>
      <w:marRight w:val="0"/>
      <w:marTop w:val="0"/>
      <w:marBottom w:val="0"/>
      <w:divBdr>
        <w:top w:val="none" w:sz="0" w:space="0" w:color="auto"/>
        <w:left w:val="none" w:sz="0" w:space="0" w:color="auto"/>
        <w:bottom w:val="none" w:sz="0" w:space="0" w:color="auto"/>
        <w:right w:val="none" w:sz="0" w:space="0" w:color="auto"/>
      </w:divBdr>
      <w:divsChild>
        <w:div w:id="27074591">
          <w:marLeft w:val="0"/>
          <w:marRight w:val="0"/>
          <w:marTop w:val="0"/>
          <w:marBottom w:val="0"/>
          <w:divBdr>
            <w:top w:val="none" w:sz="0" w:space="0" w:color="auto"/>
            <w:left w:val="none" w:sz="0" w:space="0" w:color="auto"/>
            <w:bottom w:val="none" w:sz="0" w:space="0" w:color="auto"/>
            <w:right w:val="none" w:sz="0" w:space="0" w:color="auto"/>
          </w:divBdr>
        </w:div>
        <w:div w:id="1190144987">
          <w:marLeft w:val="0"/>
          <w:marRight w:val="0"/>
          <w:marTop w:val="0"/>
          <w:marBottom w:val="0"/>
          <w:divBdr>
            <w:top w:val="none" w:sz="0" w:space="0" w:color="auto"/>
            <w:left w:val="none" w:sz="0" w:space="0" w:color="auto"/>
            <w:bottom w:val="none" w:sz="0" w:space="0" w:color="auto"/>
            <w:right w:val="none" w:sz="0" w:space="0" w:color="auto"/>
          </w:divBdr>
        </w:div>
        <w:div w:id="201864739">
          <w:marLeft w:val="0"/>
          <w:marRight w:val="0"/>
          <w:marTop w:val="0"/>
          <w:marBottom w:val="0"/>
          <w:divBdr>
            <w:top w:val="none" w:sz="0" w:space="0" w:color="auto"/>
            <w:left w:val="none" w:sz="0" w:space="0" w:color="auto"/>
            <w:bottom w:val="none" w:sz="0" w:space="0" w:color="auto"/>
            <w:right w:val="none" w:sz="0" w:space="0" w:color="auto"/>
          </w:divBdr>
        </w:div>
        <w:div w:id="43600679">
          <w:marLeft w:val="0"/>
          <w:marRight w:val="0"/>
          <w:marTop w:val="0"/>
          <w:marBottom w:val="0"/>
          <w:divBdr>
            <w:top w:val="none" w:sz="0" w:space="0" w:color="auto"/>
            <w:left w:val="none" w:sz="0" w:space="0" w:color="auto"/>
            <w:bottom w:val="none" w:sz="0" w:space="0" w:color="auto"/>
            <w:right w:val="none" w:sz="0" w:space="0" w:color="auto"/>
          </w:divBdr>
        </w:div>
        <w:div w:id="1112478169">
          <w:marLeft w:val="0"/>
          <w:marRight w:val="0"/>
          <w:marTop w:val="0"/>
          <w:marBottom w:val="0"/>
          <w:divBdr>
            <w:top w:val="none" w:sz="0" w:space="0" w:color="auto"/>
            <w:left w:val="none" w:sz="0" w:space="0" w:color="auto"/>
            <w:bottom w:val="none" w:sz="0" w:space="0" w:color="auto"/>
            <w:right w:val="none" w:sz="0" w:space="0" w:color="auto"/>
          </w:divBdr>
        </w:div>
        <w:div w:id="1121848269">
          <w:marLeft w:val="0"/>
          <w:marRight w:val="0"/>
          <w:marTop w:val="0"/>
          <w:marBottom w:val="0"/>
          <w:divBdr>
            <w:top w:val="none" w:sz="0" w:space="0" w:color="auto"/>
            <w:left w:val="none" w:sz="0" w:space="0" w:color="auto"/>
            <w:bottom w:val="none" w:sz="0" w:space="0" w:color="auto"/>
            <w:right w:val="none" w:sz="0" w:space="0" w:color="auto"/>
          </w:divBdr>
        </w:div>
        <w:div w:id="1262684360">
          <w:marLeft w:val="0"/>
          <w:marRight w:val="0"/>
          <w:marTop w:val="0"/>
          <w:marBottom w:val="0"/>
          <w:divBdr>
            <w:top w:val="none" w:sz="0" w:space="0" w:color="auto"/>
            <w:left w:val="none" w:sz="0" w:space="0" w:color="auto"/>
            <w:bottom w:val="none" w:sz="0" w:space="0" w:color="auto"/>
            <w:right w:val="none" w:sz="0" w:space="0" w:color="auto"/>
          </w:divBdr>
        </w:div>
        <w:div w:id="1657689720">
          <w:marLeft w:val="0"/>
          <w:marRight w:val="0"/>
          <w:marTop w:val="0"/>
          <w:marBottom w:val="0"/>
          <w:divBdr>
            <w:top w:val="none" w:sz="0" w:space="0" w:color="auto"/>
            <w:left w:val="none" w:sz="0" w:space="0" w:color="auto"/>
            <w:bottom w:val="none" w:sz="0" w:space="0" w:color="auto"/>
            <w:right w:val="none" w:sz="0" w:space="0" w:color="auto"/>
          </w:divBdr>
        </w:div>
        <w:div w:id="1637181499">
          <w:marLeft w:val="0"/>
          <w:marRight w:val="0"/>
          <w:marTop w:val="0"/>
          <w:marBottom w:val="0"/>
          <w:divBdr>
            <w:top w:val="none" w:sz="0" w:space="0" w:color="auto"/>
            <w:left w:val="none" w:sz="0" w:space="0" w:color="auto"/>
            <w:bottom w:val="none" w:sz="0" w:space="0" w:color="auto"/>
            <w:right w:val="none" w:sz="0" w:space="0" w:color="auto"/>
          </w:divBdr>
        </w:div>
        <w:div w:id="1408847990">
          <w:marLeft w:val="0"/>
          <w:marRight w:val="0"/>
          <w:marTop w:val="0"/>
          <w:marBottom w:val="0"/>
          <w:divBdr>
            <w:top w:val="none" w:sz="0" w:space="0" w:color="auto"/>
            <w:left w:val="none" w:sz="0" w:space="0" w:color="auto"/>
            <w:bottom w:val="none" w:sz="0" w:space="0" w:color="auto"/>
            <w:right w:val="none" w:sz="0" w:space="0" w:color="auto"/>
          </w:divBdr>
        </w:div>
        <w:div w:id="1319386269">
          <w:marLeft w:val="0"/>
          <w:marRight w:val="0"/>
          <w:marTop w:val="0"/>
          <w:marBottom w:val="0"/>
          <w:divBdr>
            <w:top w:val="none" w:sz="0" w:space="0" w:color="auto"/>
            <w:left w:val="none" w:sz="0" w:space="0" w:color="auto"/>
            <w:bottom w:val="none" w:sz="0" w:space="0" w:color="auto"/>
            <w:right w:val="none" w:sz="0" w:space="0" w:color="auto"/>
          </w:divBdr>
        </w:div>
        <w:div w:id="1713383847">
          <w:marLeft w:val="0"/>
          <w:marRight w:val="0"/>
          <w:marTop w:val="0"/>
          <w:marBottom w:val="0"/>
          <w:divBdr>
            <w:top w:val="none" w:sz="0" w:space="0" w:color="auto"/>
            <w:left w:val="none" w:sz="0" w:space="0" w:color="auto"/>
            <w:bottom w:val="none" w:sz="0" w:space="0" w:color="auto"/>
            <w:right w:val="none" w:sz="0" w:space="0" w:color="auto"/>
          </w:divBdr>
        </w:div>
        <w:div w:id="310864382">
          <w:marLeft w:val="0"/>
          <w:marRight w:val="0"/>
          <w:marTop w:val="0"/>
          <w:marBottom w:val="0"/>
          <w:divBdr>
            <w:top w:val="none" w:sz="0" w:space="0" w:color="auto"/>
            <w:left w:val="none" w:sz="0" w:space="0" w:color="auto"/>
            <w:bottom w:val="none" w:sz="0" w:space="0" w:color="auto"/>
            <w:right w:val="none" w:sz="0" w:space="0" w:color="auto"/>
          </w:divBdr>
        </w:div>
        <w:div w:id="1819689310">
          <w:marLeft w:val="0"/>
          <w:marRight w:val="0"/>
          <w:marTop w:val="0"/>
          <w:marBottom w:val="0"/>
          <w:divBdr>
            <w:top w:val="none" w:sz="0" w:space="0" w:color="auto"/>
            <w:left w:val="none" w:sz="0" w:space="0" w:color="auto"/>
            <w:bottom w:val="none" w:sz="0" w:space="0" w:color="auto"/>
            <w:right w:val="none" w:sz="0" w:space="0" w:color="auto"/>
          </w:divBdr>
        </w:div>
        <w:div w:id="1050614735">
          <w:marLeft w:val="0"/>
          <w:marRight w:val="0"/>
          <w:marTop w:val="0"/>
          <w:marBottom w:val="0"/>
          <w:divBdr>
            <w:top w:val="none" w:sz="0" w:space="0" w:color="auto"/>
            <w:left w:val="none" w:sz="0" w:space="0" w:color="auto"/>
            <w:bottom w:val="none" w:sz="0" w:space="0" w:color="auto"/>
            <w:right w:val="none" w:sz="0" w:space="0" w:color="auto"/>
          </w:divBdr>
        </w:div>
      </w:divsChild>
    </w:div>
    <w:div w:id="2123988147">
      <w:bodyDiv w:val="1"/>
      <w:marLeft w:val="0"/>
      <w:marRight w:val="0"/>
      <w:marTop w:val="0"/>
      <w:marBottom w:val="0"/>
      <w:divBdr>
        <w:top w:val="none" w:sz="0" w:space="0" w:color="auto"/>
        <w:left w:val="none" w:sz="0" w:space="0" w:color="auto"/>
        <w:bottom w:val="none" w:sz="0" w:space="0" w:color="auto"/>
        <w:right w:val="none" w:sz="0" w:space="0" w:color="auto"/>
      </w:divBdr>
      <w:divsChild>
        <w:div w:id="1731348551">
          <w:marLeft w:val="0"/>
          <w:marRight w:val="0"/>
          <w:marTop w:val="0"/>
          <w:marBottom w:val="0"/>
          <w:divBdr>
            <w:top w:val="none" w:sz="0" w:space="0" w:color="auto"/>
            <w:left w:val="none" w:sz="0" w:space="0" w:color="auto"/>
            <w:bottom w:val="none" w:sz="0" w:space="0" w:color="auto"/>
            <w:right w:val="none" w:sz="0" w:space="0" w:color="auto"/>
          </w:divBdr>
        </w:div>
        <w:div w:id="1589386428">
          <w:marLeft w:val="0"/>
          <w:marRight w:val="0"/>
          <w:marTop w:val="0"/>
          <w:marBottom w:val="0"/>
          <w:divBdr>
            <w:top w:val="none" w:sz="0" w:space="0" w:color="auto"/>
            <w:left w:val="none" w:sz="0" w:space="0" w:color="auto"/>
            <w:bottom w:val="none" w:sz="0" w:space="0" w:color="auto"/>
            <w:right w:val="none" w:sz="0" w:space="0" w:color="auto"/>
          </w:divBdr>
        </w:div>
        <w:div w:id="1466779614">
          <w:marLeft w:val="0"/>
          <w:marRight w:val="0"/>
          <w:marTop w:val="0"/>
          <w:marBottom w:val="0"/>
          <w:divBdr>
            <w:top w:val="none" w:sz="0" w:space="0" w:color="auto"/>
            <w:left w:val="none" w:sz="0" w:space="0" w:color="auto"/>
            <w:bottom w:val="none" w:sz="0" w:space="0" w:color="auto"/>
            <w:right w:val="none" w:sz="0" w:space="0" w:color="auto"/>
          </w:divBdr>
        </w:div>
        <w:div w:id="518856692">
          <w:marLeft w:val="0"/>
          <w:marRight w:val="0"/>
          <w:marTop w:val="0"/>
          <w:marBottom w:val="0"/>
          <w:divBdr>
            <w:top w:val="none" w:sz="0" w:space="0" w:color="auto"/>
            <w:left w:val="none" w:sz="0" w:space="0" w:color="auto"/>
            <w:bottom w:val="none" w:sz="0" w:space="0" w:color="auto"/>
            <w:right w:val="none" w:sz="0" w:space="0" w:color="auto"/>
          </w:divBdr>
        </w:div>
        <w:div w:id="1652253273">
          <w:marLeft w:val="0"/>
          <w:marRight w:val="0"/>
          <w:marTop w:val="0"/>
          <w:marBottom w:val="0"/>
          <w:divBdr>
            <w:top w:val="none" w:sz="0" w:space="0" w:color="auto"/>
            <w:left w:val="none" w:sz="0" w:space="0" w:color="auto"/>
            <w:bottom w:val="none" w:sz="0" w:space="0" w:color="auto"/>
            <w:right w:val="none" w:sz="0" w:space="0" w:color="auto"/>
          </w:divBdr>
        </w:div>
        <w:div w:id="276061378">
          <w:marLeft w:val="0"/>
          <w:marRight w:val="0"/>
          <w:marTop w:val="0"/>
          <w:marBottom w:val="0"/>
          <w:divBdr>
            <w:top w:val="none" w:sz="0" w:space="0" w:color="auto"/>
            <w:left w:val="none" w:sz="0" w:space="0" w:color="auto"/>
            <w:bottom w:val="none" w:sz="0" w:space="0" w:color="auto"/>
            <w:right w:val="none" w:sz="0" w:space="0" w:color="auto"/>
          </w:divBdr>
        </w:div>
        <w:div w:id="554125420">
          <w:marLeft w:val="0"/>
          <w:marRight w:val="0"/>
          <w:marTop w:val="0"/>
          <w:marBottom w:val="0"/>
          <w:divBdr>
            <w:top w:val="none" w:sz="0" w:space="0" w:color="auto"/>
            <w:left w:val="none" w:sz="0" w:space="0" w:color="auto"/>
            <w:bottom w:val="none" w:sz="0" w:space="0" w:color="auto"/>
            <w:right w:val="none" w:sz="0" w:space="0" w:color="auto"/>
          </w:divBdr>
        </w:div>
        <w:div w:id="69083244">
          <w:marLeft w:val="0"/>
          <w:marRight w:val="0"/>
          <w:marTop w:val="0"/>
          <w:marBottom w:val="0"/>
          <w:divBdr>
            <w:top w:val="none" w:sz="0" w:space="0" w:color="auto"/>
            <w:left w:val="none" w:sz="0" w:space="0" w:color="auto"/>
            <w:bottom w:val="none" w:sz="0" w:space="0" w:color="auto"/>
            <w:right w:val="none" w:sz="0" w:space="0" w:color="auto"/>
          </w:divBdr>
        </w:div>
        <w:div w:id="1614629057">
          <w:marLeft w:val="0"/>
          <w:marRight w:val="0"/>
          <w:marTop w:val="0"/>
          <w:marBottom w:val="0"/>
          <w:divBdr>
            <w:top w:val="none" w:sz="0" w:space="0" w:color="auto"/>
            <w:left w:val="none" w:sz="0" w:space="0" w:color="auto"/>
            <w:bottom w:val="none" w:sz="0" w:space="0" w:color="auto"/>
            <w:right w:val="none" w:sz="0" w:space="0" w:color="auto"/>
          </w:divBdr>
        </w:div>
        <w:div w:id="713236405">
          <w:marLeft w:val="0"/>
          <w:marRight w:val="0"/>
          <w:marTop w:val="0"/>
          <w:marBottom w:val="0"/>
          <w:divBdr>
            <w:top w:val="none" w:sz="0" w:space="0" w:color="auto"/>
            <w:left w:val="none" w:sz="0" w:space="0" w:color="auto"/>
            <w:bottom w:val="none" w:sz="0" w:space="0" w:color="auto"/>
            <w:right w:val="none" w:sz="0" w:space="0" w:color="auto"/>
          </w:divBdr>
        </w:div>
        <w:div w:id="1731339275">
          <w:marLeft w:val="0"/>
          <w:marRight w:val="0"/>
          <w:marTop w:val="0"/>
          <w:marBottom w:val="0"/>
          <w:divBdr>
            <w:top w:val="none" w:sz="0" w:space="0" w:color="auto"/>
            <w:left w:val="none" w:sz="0" w:space="0" w:color="auto"/>
            <w:bottom w:val="none" w:sz="0" w:space="0" w:color="auto"/>
            <w:right w:val="none" w:sz="0" w:space="0" w:color="auto"/>
          </w:divBdr>
        </w:div>
        <w:div w:id="11802002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zorginstituutnederland.nl/binaries/content/documents/zinl-www/documenten/publicaties/publications-in-english/2015/1501-assessment-of-%E2%80%98established-medical-science-and-medical-practice%E2%80%99-update-2015/1501-assessment-of-%E2%80%98established-medical-science-and-medical-practice%E2%80%99-update-2015/Assessment+of+%E2%80%98established+medical+science+and+medical+practice%E2%80%99+%28update+2015%29.pdf" TargetMode="External"/><Relationship Id="rId2" Type="http://schemas.openxmlformats.org/officeDocument/2006/relationships/hyperlink" Target="https://www.nice.org.uk/Media/Default/About/what-we-do/NICE-guidance/NICE-medical-technologies/MTEP-Interim-addendum-guidance-review.pdf" TargetMode="External"/><Relationship Id="rId1" Type="http://schemas.openxmlformats.org/officeDocument/2006/relationships/hyperlink" Target="https://www.nice.org.uk/Media/Default/About/what-we-do/NICE-advice/Medtech-innovation-briefings/MIB-interim-process-methods-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F525-2C74-4D09-B02C-E581F895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20262</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Ramirez</dc:creator>
  <cp:keywords/>
  <dc:description/>
  <cp:lastModifiedBy>Sabine Fuchs</cp:lastModifiedBy>
  <cp:revision>12</cp:revision>
  <dcterms:created xsi:type="dcterms:W3CDTF">2016-01-12T10:02:00Z</dcterms:created>
  <dcterms:modified xsi:type="dcterms:W3CDTF">2016-05-13T10:23:00Z</dcterms:modified>
</cp:coreProperties>
</file>