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14" w:rsidRPr="002B5314" w:rsidRDefault="002B5314" w:rsidP="002B5314">
      <w:pPr>
        <w:pStyle w:val="Didascalia"/>
        <w:keepNext/>
        <w:rPr>
          <w:rFonts w:ascii="Times New Roman" w:hAnsi="Times New Roman" w:cs="Times New Roman"/>
          <w:color w:val="auto"/>
          <w:sz w:val="20"/>
          <w:lang w:val="en-GB"/>
        </w:rPr>
      </w:pPr>
      <w:bookmarkStart w:id="0" w:name="_GoBack"/>
      <w:bookmarkEnd w:id="0"/>
      <w:r w:rsidRPr="002B5314">
        <w:rPr>
          <w:rFonts w:ascii="Times New Roman" w:hAnsi="Times New Roman" w:cs="Times New Roman"/>
          <w:color w:val="auto"/>
          <w:sz w:val="20"/>
          <w:lang w:val="en-GB"/>
        </w:rPr>
        <w:t>Table 3. External consistency: comparison with similar studies.</w:t>
      </w:r>
    </w:p>
    <w:tbl>
      <w:tblPr>
        <w:tblStyle w:val="Elencochiaro"/>
        <w:tblW w:w="14271" w:type="dxa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979"/>
        <w:gridCol w:w="1172"/>
        <w:gridCol w:w="1777"/>
        <w:gridCol w:w="2551"/>
        <w:gridCol w:w="1985"/>
        <w:gridCol w:w="3314"/>
        <w:gridCol w:w="1493"/>
      </w:tblGrid>
      <w:tr w:rsidR="002B5314" w:rsidRPr="006A5BB4" w:rsidTr="003114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Align w:val="center"/>
          </w:tcPr>
          <w:p w:rsidR="002B5314" w:rsidRPr="006A5BB4" w:rsidRDefault="002B5314" w:rsidP="003114FA">
            <w:pPr>
              <w:keepNext/>
              <w:keepLines/>
              <w:suppressAutoHyphens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lang w:val="en-US" w:eastAsia="ar-SA"/>
              </w:rPr>
            </w:pPr>
            <w:r w:rsidRPr="006A5BB4">
              <w:rPr>
                <w:rFonts w:ascii="Times New Roman" w:eastAsia="Times New Roman" w:hAnsi="Times New Roman" w:cs="Times New Roman"/>
                <w:sz w:val="20"/>
                <w:lang w:val="en-US" w:eastAsia="ar-SA"/>
              </w:rPr>
              <w:t>First author, year</w:t>
            </w:r>
          </w:p>
        </w:tc>
        <w:tc>
          <w:tcPr>
            <w:tcW w:w="1172" w:type="dxa"/>
            <w:vAlign w:val="center"/>
          </w:tcPr>
          <w:p w:rsidR="002B5314" w:rsidRPr="006A5BB4" w:rsidRDefault="002B5314" w:rsidP="003114FA">
            <w:pPr>
              <w:keepNext/>
              <w:keepLines/>
              <w:suppressAutoHyphens/>
              <w:spacing w:line="276" w:lineRule="auto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lang w:val="en-US" w:eastAsia="ar-SA"/>
              </w:rPr>
            </w:pPr>
            <w:r w:rsidRPr="006A5BB4">
              <w:rPr>
                <w:rFonts w:ascii="Times New Roman" w:eastAsia="Times New Roman" w:hAnsi="Times New Roman" w:cs="Times New Roman"/>
                <w:sz w:val="20"/>
                <w:lang w:val="en-US" w:eastAsia="ar-SA"/>
              </w:rPr>
              <w:t>Country</w:t>
            </w:r>
          </w:p>
        </w:tc>
        <w:tc>
          <w:tcPr>
            <w:tcW w:w="1777" w:type="dxa"/>
            <w:vAlign w:val="center"/>
          </w:tcPr>
          <w:p w:rsidR="002B5314" w:rsidRPr="006A5BB4" w:rsidRDefault="002B5314" w:rsidP="003114FA">
            <w:pPr>
              <w:keepNext/>
              <w:keepLines/>
              <w:suppressAutoHyphens/>
              <w:spacing w:line="276" w:lineRule="auto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lang w:val="en-US" w:eastAsia="ar-SA"/>
              </w:rPr>
            </w:pPr>
            <w:r w:rsidRPr="006A5BB4">
              <w:rPr>
                <w:rFonts w:ascii="Times New Roman" w:eastAsia="Times New Roman" w:hAnsi="Times New Roman" w:cs="Times New Roman"/>
                <w:sz w:val="20"/>
                <w:lang w:val="en-US" w:eastAsia="ar-SA"/>
              </w:rPr>
              <w:t>Study perspective</w:t>
            </w:r>
          </w:p>
        </w:tc>
        <w:tc>
          <w:tcPr>
            <w:tcW w:w="2551" w:type="dxa"/>
            <w:vAlign w:val="center"/>
          </w:tcPr>
          <w:p w:rsidR="002B5314" w:rsidRPr="006A5BB4" w:rsidRDefault="002B5314" w:rsidP="003114FA">
            <w:pPr>
              <w:keepNext/>
              <w:keepLines/>
              <w:suppressAutoHyphens/>
              <w:spacing w:line="276" w:lineRule="auto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lang w:val="en-US" w:eastAsia="ar-SA"/>
              </w:rPr>
            </w:pPr>
            <w:r w:rsidRPr="006A5BB4">
              <w:rPr>
                <w:rFonts w:ascii="Times New Roman" w:eastAsia="Times New Roman" w:hAnsi="Times New Roman" w:cs="Times New Roman"/>
                <w:sz w:val="20"/>
                <w:lang w:val="en-US" w:eastAsia="ar-SA"/>
              </w:rPr>
              <w:t>Population</w:t>
            </w:r>
          </w:p>
        </w:tc>
        <w:tc>
          <w:tcPr>
            <w:tcW w:w="1985" w:type="dxa"/>
            <w:vAlign w:val="center"/>
          </w:tcPr>
          <w:p w:rsidR="002B5314" w:rsidRPr="006A5BB4" w:rsidRDefault="002B5314" w:rsidP="003114FA">
            <w:pPr>
              <w:keepNext/>
              <w:keepLines/>
              <w:suppressAutoHyphens/>
              <w:spacing w:line="276" w:lineRule="auto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lang w:val="en-US" w:eastAsia="ar-SA"/>
              </w:rPr>
            </w:pPr>
            <w:r w:rsidRPr="006A5BB4">
              <w:rPr>
                <w:rFonts w:ascii="Times New Roman" w:eastAsia="Times New Roman" w:hAnsi="Times New Roman" w:cs="Times New Roman"/>
                <w:sz w:val="20"/>
                <w:lang w:val="en-US" w:eastAsia="ar-SA"/>
              </w:rPr>
              <w:t>Time horizon</w:t>
            </w:r>
          </w:p>
        </w:tc>
        <w:tc>
          <w:tcPr>
            <w:tcW w:w="3314" w:type="dxa"/>
            <w:vAlign w:val="center"/>
          </w:tcPr>
          <w:p w:rsidR="002B5314" w:rsidRPr="006A5BB4" w:rsidRDefault="002B5314" w:rsidP="003114FA">
            <w:pPr>
              <w:keepNext/>
              <w:keepLines/>
              <w:suppressAutoHyphens/>
              <w:spacing w:line="276" w:lineRule="auto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lang w:val="en-US" w:eastAsia="ar-SA"/>
              </w:rPr>
            </w:pPr>
            <w:r w:rsidRPr="006A5BB4">
              <w:rPr>
                <w:rFonts w:ascii="Times New Roman" w:eastAsia="Times New Roman" w:hAnsi="Times New Roman" w:cs="Times New Roman"/>
                <w:sz w:val="20"/>
                <w:lang w:val="en-US" w:eastAsia="ar-SA"/>
              </w:rPr>
              <w:t>ICER</w:t>
            </w:r>
          </w:p>
        </w:tc>
        <w:tc>
          <w:tcPr>
            <w:tcW w:w="1493" w:type="dxa"/>
            <w:vAlign w:val="center"/>
          </w:tcPr>
          <w:p w:rsidR="002B5314" w:rsidRPr="006A5BB4" w:rsidRDefault="002B5314" w:rsidP="003114FA">
            <w:pPr>
              <w:keepNext/>
              <w:keepLines/>
              <w:suppressAutoHyphens/>
              <w:spacing w:line="276" w:lineRule="auto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lang w:val="en-US" w:eastAsia="ar-SA"/>
              </w:rPr>
            </w:pPr>
            <w:r w:rsidRPr="006A5BB4">
              <w:rPr>
                <w:rFonts w:ascii="Times New Roman" w:eastAsia="Times New Roman" w:hAnsi="Times New Roman" w:cs="Times New Roman"/>
                <w:sz w:val="20"/>
                <w:lang w:val="en-US" w:eastAsia="ar-SA"/>
              </w:rPr>
              <w:t>PSA</w:t>
            </w:r>
          </w:p>
        </w:tc>
      </w:tr>
      <w:tr w:rsidR="002B5314" w:rsidRPr="006A5BB4" w:rsidTr="00311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B5314" w:rsidRPr="006A5BB4" w:rsidRDefault="002B5314" w:rsidP="00E105B9">
            <w:pPr>
              <w:keepNext/>
              <w:keepLines/>
              <w:suppressAutoHyphens/>
              <w:spacing w:before="24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 w:val="0"/>
                <w:sz w:val="20"/>
                <w:lang w:val="en-US" w:eastAsia="ar-SA"/>
              </w:rPr>
            </w:pPr>
            <w:proofErr w:type="spellStart"/>
            <w:r w:rsidRPr="006A5BB4">
              <w:rPr>
                <w:rFonts w:ascii="Times New Roman" w:eastAsia="Times New Roman" w:hAnsi="Times New Roman" w:cs="Times New Roman"/>
                <w:sz w:val="20"/>
                <w:lang w:val="en-US" w:eastAsia="ar-SA"/>
              </w:rPr>
              <w:t>Bresse</w:t>
            </w:r>
            <w:proofErr w:type="spellEnd"/>
            <w:r w:rsidRPr="006A5BB4">
              <w:rPr>
                <w:rFonts w:ascii="Times New Roman" w:eastAsia="Times New Roman" w:hAnsi="Times New Roman" w:cs="Times New Roman"/>
                <w:sz w:val="20"/>
                <w:lang w:val="en-US" w:eastAsia="ar-SA"/>
              </w:rPr>
              <w:t xml:space="preserve"> X.,2013</w:t>
            </w:r>
            <w:r w:rsidR="00284E7F">
              <w:rPr>
                <w:rFonts w:ascii="Times New Roman" w:eastAsia="Times New Roman" w:hAnsi="Times New Roman" w:cs="Times New Roman"/>
                <w:sz w:val="20"/>
                <w:lang w:val="en-US" w:eastAsia="ar-SA"/>
              </w:rPr>
              <w:t xml:space="preserve"> [8]</w:t>
            </w:r>
          </w:p>
        </w:tc>
        <w:tc>
          <w:tcPr>
            <w:tcW w:w="1172" w:type="dxa"/>
            <w:tcBorders>
              <w:top w:val="none" w:sz="0" w:space="0" w:color="auto"/>
              <w:bottom w:val="none" w:sz="0" w:space="0" w:color="auto"/>
            </w:tcBorders>
          </w:tcPr>
          <w:p w:rsidR="002B5314" w:rsidRPr="006A5BB4" w:rsidRDefault="002B5314" w:rsidP="00E105B9">
            <w:pPr>
              <w:keepNext/>
              <w:keepLines/>
              <w:suppressAutoHyphens/>
              <w:spacing w:before="240" w:line="276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ar-SA"/>
              </w:rPr>
            </w:pPr>
            <w:r w:rsidRPr="006A5BB4"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France</w:t>
            </w:r>
          </w:p>
        </w:tc>
        <w:tc>
          <w:tcPr>
            <w:tcW w:w="1777" w:type="dxa"/>
            <w:tcBorders>
              <w:top w:val="none" w:sz="0" w:space="0" w:color="auto"/>
              <w:bottom w:val="none" w:sz="0" w:space="0" w:color="auto"/>
            </w:tcBorders>
          </w:tcPr>
          <w:p w:rsidR="002B5314" w:rsidRPr="006A5BB4" w:rsidRDefault="00E5257C" w:rsidP="00C2287A">
            <w:pPr>
              <w:keepNext/>
              <w:keepLines/>
              <w:suppressAutoHyphens/>
              <w:spacing w:before="240" w:line="276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lang w:val="en-GB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TPP</w:t>
            </w:r>
            <w:r w:rsidR="002B5314" w:rsidRPr="006A5B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; societal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:rsidR="002B5314" w:rsidRPr="006A5BB4" w:rsidRDefault="002B5314" w:rsidP="00C2287A">
            <w:pPr>
              <w:keepNext/>
              <w:keepLines/>
              <w:suppressAutoHyphens/>
              <w:spacing w:before="240" w:line="276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People aged 70-79</w:t>
            </w:r>
            <w:r w:rsidR="00C2287A"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and</w:t>
            </w:r>
            <w:r w:rsidR="00C2287A"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 xml:space="preserve"> 65+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:rsidR="002B5314" w:rsidRPr="006A5BB4" w:rsidRDefault="002B5314" w:rsidP="00E105B9">
            <w:pPr>
              <w:keepNext/>
              <w:keepLines/>
              <w:suppressAutoHyphens/>
              <w:spacing w:before="240" w:line="276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lang w:val="en-GB" w:eastAsia="ar-SA"/>
              </w:rPr>
            </w:pPr>
            <w:r w:rsidRPr="006A5BB4">
              <w:rPr>
                <w:rFonts w:ascii="Times New Roman" w:eastAsia="Times New Roman" w:hAnsi="Times New Roman" w:cs="Times New Roman"/>
                <w:bCs/>
                <w:sz w:val="20"/>
                <w:lang w:val="en-GB" w:eastAsia="ar-SA"/>
              </w:rPr>
              <w:t>Lifetime</w:t>
            </w:r>
          </w:p>
        </w:tc>
        <w:tc>
          <w:tcPr>
            <w:tcW w:w="3314" w:type="dxa"/>
            <w:tcBorders>
              <w:top w:val="none" w:sz="0" w:space="0" w:color="auto"/>
              <w:bottom w:val="none" w:sz="0" w:space="0" w:color="auto"/>
            </w:tcBorders>
          </w:tcPr>
          <w:p w:rsidR="00E5257C" w:rsidRDefault="00E5257C" w:rsidP="002341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ar-SA"/>
              </w:rPr>
            </w:pPr>
          </w:p>
          <w:p w:rsidR="00E52968" w:rsidRDefault="00397053" w:rsidP="002341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</w:pPr>
            <w:r w:rsidRPr="0039705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ar-SA"/>
              </w:rPr>
              <w:t>TPP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 xml:space="preserve">: </w:t>
            </w:r>
          </w:p>
          <w:p w:rsidR="00C2287A" w:rsidRDefault="002B5314" w:rsidP="002341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</w:pPr>
            <w:r w:rsidRPr="00397053"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70-79</w:t>
            </w:r>
            <w:r w:rsidR="00C33D65"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:</w:t>
            </w:r>
            <w:r w:rsidRPr="00DE3151"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 xml:space="preserve"> €9,513/QALY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;</w:t>
            </w:r>
            <w:r w:rsidR="00E5257C"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 xml:space="preserve"> </w:t>
            </w:r>
          </w:p>
          <w:p w:rsidR="002B5314" w:rsidRDefault="002B5314" w:rsidP="002341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</w:pPr>
            <w:r w:rsidRPr="00397053"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65</w:t>
            </w:r>
            <w:r w:rsidR="00C2287A"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 xml:space="preserve"> +</w:t>
            </w:r>
            <w:r w:rsidRPr="00397053"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 xml:space="preserve"> </w:t>
            </w:r>
            <w:r w:rsidR="00C2287A"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 xml:space="preserve">: </w:t>
            </w:r>
            <w:r w:rsidR="00234113" w:rsidRPr="00234113">
              <w:rPr>
                <w:rFonts w:ascii="SymbolStd" w:hAnsi="SymbolStd" w:cs="SymbolStd"/>
                <w:sz w:val="20"/>
                <w:szCs w:val="20"/>
                <w:lang w:val="en-GB"/>
              </w:rPr>
              <w:t>€</w:t>
            </w:r>
            <w:r w:rsidR="00234113">
              <w:rPr>
                <w:rFonts w:ascii="SymbolStd" w:hAnsi="SymbolStd" w:cs="SymbolStd"/>
                <w:sz w:val="20"/>
                <w:szCs w:val="20"/>
                <w:lang w:val="en-GB"/>
              </w:rPr>
              <w:t xml:space="preserve"> </w:t>
            </w:r>
            <w:r w:rsidR="00234113" w:rsidRPr="00234113">
              <w:rPr>
                <w:rFonts w:ascii="AGaramond-Regular" w:hAnsi="AGaramond-Regular" w:cs="AGaramond-Regular"/>
                <w:sz w:val="20"/>
                <w:szCs w:val="20"/>
                <w:lang w:val="en-GB"/>
              </w:rPr>
              <w:t>12,304/QALY.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 xml:space="preserve"> </w:t>
            </w:r>
          </w:p>
          <w:p w:rsidR="00E52968" w:rsidRDefault="00397053" w:rsidP="002341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</w:pPr>
            <w:r w:rsidRPr="0039705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ar-SA"/>
              </w:rPr>
              <w:t>Societal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:</w:t>
            </w:r>
          </w:p>
          <w:p w:rsidR="00C2287A" w:rsidRDefault="00397053" w:rsidP="002341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aramond-Regular" w:hAnsi="AGaramond-Regular" w:cs="AGaramond-Regular"/>
                <w:sz w:val="20"/>
                <w:szCs w:val="20"/>
                <w:lang w:val="en-GB"/>
              </w:rPr>
            </w:pPr>
            <w:r w:rsidRPr="00397053"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70-79</w:t>
            </w:r>
            <w:r w:rsidR="00C33D65"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 xml:space="preserve">: </w:t>
            </w:r>
            <w:r w:rsidRPr="00AB2EAE">
              <w:rPr>
                <w:rFonts w:ascii="SymbolStd" w:hAnsi="SymbolStd" w:cs="SymbolStd"/>
                <w:sz w:val="20"/>
                <w:szCs w:val="20"/>
                <w:lang w:val="en-GB"/>
              </w:rPr>
              <w:t>€</w:t>
            </w:r>
            <w:r w:rsidRPr="00AB2EAE">
              <w:rPr>
                <w:rFonts w:ascii="AGaramond-Regular" w:hAnsi="AGaramond-Regular" w:cs="AGaramond-Regular"/>
                <w:sz w:val="20"/>
                <w:szCs w:val="20"/>
                <w:lang w:val="en-GB"/>
              </w:rPr>
              <w:t>14,198</w:t>
            </w:r>
            <w:r>
              <w:rPr>
                <w:rFonts w:ascii="AGaramond-Regular" w:hAnsi="AGaramond-Regular" w:cs="AGaramond-Regular"/>
                <w:sz w:val="20"/>
                <w:szCs w:val="20"/>
                <w:lang w:val="en-GB"/>
              </w:rPr>
              <w:t xml:space="preserve">/QALY; </w:t>
            </w:r>
          </w:p>
          <w:p w:rsidR="00397053" w:rsidRPr="00397053" w:rsidRDefault="00C2287A" w:rsidP="002341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65+</w:t>
            </w:r>
            <w:r w:rsidR="00397053" w:rsidRPr="00397053"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:</w:t>
            </w:r>
            <w:r w:rsidR="00397053"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 xml:space="preserve"> </w:t>
            </w:r>
            <w:r w:rsidR="00397053" w:rsidRPr="00397053">
              <w:rPr>
                <w:rFonts w:ascii="SymbolStd" w:hAnsi="SymbolStd" w:cs="SymbolStd"/>
                <w:sz w:val="20"/>
                <w:szCs w:val="20"/>
                <w:lang w:val="en-GB"/>
              </w:rPr>
              <w:t>€</w:t>
            </w:r>
            <w:r w:rsidR="00397053" w:rsidRPr="00397053">
              <w:rPr>
                <w:rFonts w:ascii="AGaramond-Regular" w:hAnsi="AGaramond-Regular" w:cs="AGaramond-Regular"/>
                <w:sz w:val="20"/>
                <w:szCs w:val="20"/>
                <w:lang w:val="en-GB"/>
              </w:rPr>
              <w:t>18,385</w:t>
            </w:r>
            <w:r w:rsidR="00397053">
              <w:rPr>
                <w:rFonts w:ascii="AGaramond-Regular" w:hAnsi="AGaramond-Regular" w:cs="AGaramond-Regular"/>
                <w:sz w:val="20"/>
                <w:szCs w:val="20"/>
                <w:lang w:val="en-GB"/>
              </w:rPr>
              <w:t>/QALY</w:t>
            </w:r>
          </w:p>
        </w:tc>
        <w:tc>
          <w:tcPr>
            <w:tcW w:w="14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B5314" w:rsidRPr="00225459" w:rsidRDefault="00225459" w:rsidP="00E105B9">
            <w:pPr>
              <w:keepNext/>
              <w:keepLines/>
              <w:suppressAutoHyphens/>
              <w:spacing w:before="240" w:line="276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</w:pPr>
            <w:r w:rsidRPr="00225459"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99% cost effective</w:t>
            </w:r>
          </w:p>
        </w:tc>
      </w:tr>
      <w:tr w:rsidR="002B5314" w:rsidRPr="006A5BB4" w:rsidTr="003114FA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</w:tcPr>
          <w:p w:rsidR="002B5314" w:rsidRPr="006A5BB4" w:rsidRDefault="00FC23A1" w:rsidP="00E105B9">
            <w:pPr>
              <w:keepNext/>
              <w:keepLines/>
              <w:suppressAutoHyphens/>
              <w:spacing w:before="24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lang w:val="en-US" w:eastAsia="ar-SA"/>
              </w:rPr>
            </w:pPr>
            <w:r w:rsidRPr="00FC23A1">
              <w:rPr>
                <w:rFonts w:ascii="Times New Roman" w:eastAsia="Times New Roman" w:hAnsi="Times New Roman" w:cs="Times New Roman"/>
                <w:sz w:val="20"/>
                <w:lang w:val="en-US" w:eastAsia="ar-SA"/>
              </w:rPr>
              <w:t>Moore L., 2010</w:t>
            </w:r>
            <w:r w:rsidR="00284E7F">
              <w:rPr>
                <w:rFonts w:ascii="Times New Roman" w:eastAsia="Times New Roman" w:hAnsi="Times New Roman" w:cs="Times New Roman"/>
                <w:sz w:val="20"/>
                <w:lang w:val="en-US" w:eastAsia="ar-SA"/>
              </w:rPr>
              <w:t xml:space="preserve"> [9]</w:t>
            </w:r>
          </w:p>
        </w:tc>
        <w:tc>
          <w:tcPr>
            <w:tcW w:w="1172" w:type="dxa"/>
          </w:tcPr>
          <w:p w:rsidR="002B5314" w:rsidRPr="006A5BB4" w:rsidRDefault="0055417C" w:rsidP="00E105B9">
            <w:pPr>
              <w:keepNext/>
              <w:keepLines/>
              <w:suppressAutoHyphens/>
              <w:spacing w:before="240" w:line="276" w:lineRule="auto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ar-SA"/>
              </w:rPr>
            </w:pPr>
            <w:r w:rsidRPr="0055417C"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UK</w:t>
            </w:r>
          </w:p>
        </w:tc>
        <w:tc>
          <w:tcPr>
            <w:tcW w:w="1777" w:type="dxa"/>
          </w:tcPr>
          <w:p w:rsidR="002B5314" w:rsidRPr="006A5BB4" w:rsidRDefault="0030485C" w:rsidP="00E105B9">
            <w:pPr>
              <w:keepNext/>
              <w:keepLines/>
              <w:suppressAutoHyphens/>
              <w:spacing w:before="240" w:line="276" w:lineRule="auto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TPP</w:t>
            </w:r>
            <w:r w:rsidR="004E322C" w:rsidRPr="004E32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; societal</w:t>
            </w:r>
          </w:p>
        </w:tc>
        <w:tc>
          <w:tcPr>
            <w:tcW w:w="2551" w:type="dxa"/>
          </w:tcPr>
          <w:p w:rsidR="002B5314" w:rsidRPr="006A5BB4" w:rsidRDefault="00B14BB6" w:rsidP="00336DFD">
            <w:pPr>
              <w:keepNext/>
              <w:keepLines/>
              <w:suppressAutoHyphens/>
              <w:spacing w:before="240" w:line="276" w:lineRule="auto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 xml:space="preserve">People aged 50+, </w:t>
            </w:r>
            <w:r w:rsidR="00336DFD"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50-54</w:t>
            </w:r>
            <w:r w:rsidR="0023579E"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,</w:t>
            </w:r>
            <w:r w:rsidR="00336DFD"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 xml:space="preserve"> 55-59, </w:t>
            </w:r>
            <w:r w:rsidR="0023579E"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 xml:space="preserve"> 60-64, 65-69, </w:t>
            </w:r>
            <w:r w:rsidR="00336DFD"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70+</w:t>
            </w:r>
          </w:p>
        </w:tc>
        <w:tc>
          <w:tcPr>
            <w:tcW w:w="1985" w:type="dxa"/>
          </w:tcPr>
          <w:p w:rsidR="002B5314" w:rsidRPr="006A5BB4" w:rsidRDefault="007A7A22" w:rsidP="00E105B9">
            <w:pPr>
              <w:keepNext/>
              <w:keepLines/>
              <w:suppressAutoHyphens/>
              <w:spacing w:before="240" w:line="276" w:lineRule="auto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ar-SA"/>
              </w:rPr>
            </w:pPr>
            <w:r w:rsidRPr="006A5BB4">
              <w:rPr>
                <w:rFonts w:ascii="Times New Roman" w:eastAsia="Times New Roman" w:hAnsi="Times New Roman" w:cs="Times New Roman"/>
                <w:bCs/>
                <w:sz w:val="20"/>
                <w:lang w:val="en-GB" w:eastAsia="ar-SA"/>
              </w:rPr>
              <w:t>Lifetime</w:t>
            </w:r>
          </w:p>
        </w:tc>
        <w:tc>
          <w:tcPr>
            <w:tcW w:w="3314" w:type="dxa"/>
          </w:tcPr>
          <w:p w:rsidR="00B14BB6" w:rsidRDefault="00B14BB6" w:rsidP="00B14BB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</w:pPr>
            <w:r w:rsidRPr="0039705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ar-SA"/>
              </w:rPr>
              <w:t>TPP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 xml:space="preserve">: </w:t>
            </w:r>
          </w:p>
          <w:p w:rsidR="00B14BB6" w:rsidRDefault="0023579E" w:rsidP="00B14BB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 xml:space="preserve">50+: </w:t>
            </w:r>
            <w:r w:rsidR="00B14BB6"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€ 15,559</w:t>
            </w:r>
            <w:r w:rsidR="00B14BB6" w:rsidRPr="00DE3151"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/QALY</w:t>
            </w:r>
            <w:r w:rsidR="00B14BB6"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 xml:space="preserve">; </w:t>
            </w:r>
          </w:p>
          <w:p w:rsidR="00336DFD" w:rsidRDefault="00336DFD" w:rsidP="00B14BB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50-54: €15,403/QALY</w:t>
            </w:r>
          </w:p>
          <w:p w:rsidR="00336DFD" w:rsidRDefault="00336DFD" w:rsidP="00B14BB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55-59: € 13, 815/QALY</w:t>
            </w:r>
          </w:p>
          <w:p w:rsidR="0023579E" w:rsidRDefault="0023579E" w:rsidP="00B14BB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aramond-Regular" w:hAnsi="AGaramond-Regular" w:cs="AGaramond-Regular"/>
                <w:sz w:val="20"/>
                <w:szCs w:val="20"/>
                <w:lang w:val="en-GB"/>
              </w:rPr>
            </w:pPr>
            <w:r>
              <w:rPr>
                <w:rFonts w:ascii="AGaramond-Regular" w:hAnsi="AGaramond-Regular" w:cs="AGaramond-Regular"/>
                <w:sz w:val="20"/>
                <w:szCs w:val="20"/>
                <w:lang w:val="en-GB"/>
              </w:rPr>
              <w:t>60-64: € 12,747/QALY;</w:t>
            </w:r>
          </w:p>
          <w:p w:rsidR="00B14BB6" w:rsidRDefault="00336DFD" w:rsidP="00B14BB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</w:pPr>
            <w:r>
              <w:rPr>
                <w:rFonts w:ascii="AGaramond-Regular" w:hAnsi="AGaramond-Regular" w:cs="AGaramond-Regular"/>
                <w:sz w:val="20"/>
                <w:szCs w:val="20"/>
                <w:lang w:val="en-GB"/>
              </w:rPr>
              <w:t xml:space="preserve">65-69: € 11,924 </w:t>
            </w:r>
            <w:r w:rsidR="00B14BB6" w:rsidRPr="00234113">
              <w:rPr>
                <w:rFonts w:ascii="AGaramond-Regular" w:hAnsi="AGaramond-Regular" w:cs="AGaramond-Regular"/>
                <w:sz w:val="20"/>
                <w:szCs w:val="20"/>
                <w:lang w:val="en-GB"/>
              </w:rPr>
              <w:t>/QALY.</w:t>
            </w:r>
            <w:r w:rsidR="00B14BB6"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 xml:space="preserve"> </w:t>
            </w:r>
          </w:p>
          <w:p w:rsidR="00B14BB6" w:rsidRDefault="00B14BB6" w:rsidP="00B14BB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</w:pPr>
            <w:r w:rsidRPr="0039705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ar-SA"/>
              </w:rPr>
              <w:t>Societal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:</w:t>
            </w:r>
          </w:p>
          <w:p w:rsidR="00B14BB6" w:rsidRDefault="0023579E" w:rsidP="00B14BB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aramond-Regular" w:hAnsi="AGaramond-Regular" w:cs="AGaramond-Regular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50+: € 13,584/QALY</w:t>
            </w:r>
            <w:r w:rsidR="00B14BB6">
              <w:rPr>
                <w:rFonts w:ascii="AGaramond-Regular" w:hAnsi="AGaramond-Regular" w:cs="AGaramond-Regular"/>
                <w:sz w:val="20"/>
                <w:szCs w:val="20"/>
                <w:lang w:val="en-GB"/>
              </w:rPr>
              <w:t xml:space="preserve">; </w:t>
            </w:r>
          </w:p>
          <w:p w:rsidR="002B5314" w:rsidRDefault="00336DFD" w:rsidP="00B14BB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aramond-Regular" w:hAnsi="AGaramond-Regular" w:cs="AGaramond-Regular"/>
                <w:sz w:val="20"/>
                <w:szCs w:val="20"/>
                <w:lang w:val="en-GB"/>
              </w:rPr>
            </w:pPr>
            <w:r>
              <w:rPr>
                <w:rFonts w:ascii="AGaramond-Regular" w:hAnsi="AGaramond-Regular" w:cs="AGaramond-Regular"/>
                <w:sz w:val="20"/>
                <w:szCs w:val="20"/>
                <w:lang w:val="en-GB"/>
              </w:rPr>
              <w:t>50-54: €10,662</w:t>
            </w:r>
            <w:r w:rsidR="00B14BB6">
              <w:rPr>
                <w:rFonts w:ascii="AGaramond-Regular" w:hAnsi="AGaramond-Regular" w:cs="AGaramond-Regular"/>
                <w:sz w:val="20"/>
                <w:szCs w:val="20"/>
                <w:lang w:val="en-GB"/>
              </w:rPr>
              <w:t>/QALY</w:t>
            </w:r>
          </w:p>
          <w:p w:rsidR="00336DFD" w:rsidRDefault="00336DFD" w:rsidP="00B14BB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aramond-Regular" w:hAnsi="AGaramond-Regular" w:cs="AGaramond-Regular"/>
                <w:sz w:val="20"/>
                <w:szCs w:val="20"/>
                <w:lang w:val="en-GB"/>
              </w:rPr>
            </w:pPr>
            <w:r>
              <w:rPr>
                <w:rFonts w:ascii="AGaramond-Regular" w:hAnsi="AGaramond-Regular" w:cs="AGaramond-Regular"/>
                <w:sz w:val="20"/>
                <w:szCs w:val="20"/>
                <w:lang w:val="en-GB"/>
              </w:rPr>
              <w:t>55-59: € 10,351/QALY</w:t>
            </w:r>
          </w:p>
          <w:p w:rsidR="00336DFD" w:rsidRDefault="00336DFD" w:rsidP="00B14BB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aramond-Regular" w:hAnsi="AGaramond-Regular" w:cs="AGaramond-Regular"/>
                <w:sz w:val="20"/>
                <w:szCs w:val="20"/>
                <w:lang w:val="en-GB"/>
              </w:rPr>
            </w:pPr>
            <w:r>
              <w:rPr>
                <w:rFonts w:ascii="AGaramond-Regular" w:hAnsi="AGaramond-Regular" w:cs="AGaramond-Regular"/>
                <w:sz w:val="20"/>
                <w:szCs w:val="20"/>
                <w:lang w:val="en-GB"/>
              </w:rPr>
              <w:t>60-64: € 10,984/QALY</w:t>
            </w:r>
          </w:p>
          <w:p w:rsidR="00336DFD" w:rsidRDefault="00336DFD" w:rsidP="00B14BB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aramond-Regular" w:hAnsi="AGaramond-Regular" w:cs="AGaramond-Regular"/>
                <w:sz w:val="20"/>
                <w:szCs w:val="20"/>
                <w:lang w:val="en-GB"/>
              </w:rPr>
            </w:pPr>
            <w:r>
              <w:rPr>
                <w:rFonts w:ascii="AGaramond-Regular" w:hAnsi="AGaramond-Regular" w:cs="AGaramond-Regular"/>
                <w:sz w:val="20"/>
                <w:szCs w:val="20"/>
                <w:lang w:val="en-GB"/>
              </w:rPr>
              <w:t>65-69: € 11,644/QALY</w:t>
            </w:r>
          </w:p>
          <w:p w:rsidR="0023579E" w:rsidRPr="006A5BB4" w:rsidRDefault="002B2D2E" w:rsidP="00F843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ar-SA"/>
              </w:rPr>
            </w:pPr>
            <w:r w:rsidRPr="002B2D2E">
              <w:rPr>
                <w:rFonts w:ascii="AGaramond-Regular" w:hAnsi="AGaramond-Regular" w:cs="AGaramond-Regular"/>
                <w:sz w:val="20"/>
                <w:szCs w:val="20"/>
                <w:lang w:val="en-GB"/>
              </w:rPr>
              <w:t xml:space="preserve">ICERs remain less than the </w:t>
            </w:r>
            <w:r w:rsidR="00F84385">
              <w:rPr>
                <w:rFonts w:ascii="AGaramond-Regular" w:hAnsi="AGaramond-Regular" w:cs="AGaramond-Regular"/>
                <w:sz w:val="20"/>
                <w:szCs w:val="20"/>
                <w:lang w:val="en-GB"/>
              </w:rPr>
              <w:t xml:space="preserve"> </w:t>
            </w:r>
            <w:r w:rsidRPr="002B2D2E">
              <w:rPr>
                <w:rFonts w:ascii="AGaramond-Regular" w:hAnsi="AGaramond-Regular" w:cs="AGaramond-Regular"/>
                <w:sz w:val="20"/>
                <w:szCs w:val="20"/>
                <w:lang w:val="en-GB"/>
              </w:rPr>
              <w:t>th</w:t>
            </w:r>
            <w:r>
              <w:rPr>
                <w:rFonts w:ascii="AGaramond-Regular" w:hAnsi="AGaramond-Regular" w:cs="AGaramond-Regular"/>
                <w:sz w:val="20"/>
                <w:szCs w:val="20"/>
                <w:lang w:val="en-GB"/>
              </w:rPr>
              <w:t>reshold £30,000/QALY gained</w:t>
            </w:r>
            <w:r w:rsidR="00B37407">
              <w:rPr>
                <w:rFonts w:ascii="AGaramond-Regular" w:hAnsi="AGaramond-Regular" w:cs="AGaramond-Regular"/>
                <w:sz w:val="20"/>
                <w:szCs w:val="20"/>
                <w:lang w:val="en-GB"/>
              </w:rPr>
              <w:t xml:space="preserve"> </w:t>
            </w:r>
            <w:r w:rsidRPr="002B2D2E">
              <w:rPr>
                <w:rFonts w:ascii="AGaramond-Regular" w:hAnsi="AGaramond-Regular" w:cs="AGaramond-Regular"/>
                <w:sz w:val="20"/>
                <w:szCs w:val="20"/>
                <w:lang w:val="en-GB"/>
              </w:rPr>
              <w:t>for persons aged less</w:t>
            </w:r>
            <w:r w:rsidR="00F84385">
              <w:rPr>
                <w:rFonts w:ascii="AGaramond-Regular" w:hAnsi="AGaramond-Regular" w:cs="AGaramond-Regular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Garamond-Regular" w:hAnsi="AGaramond-Regular" w:cs="AGaramond-Regular"/>
                <w:sz w:val="20"/>
                <w:szCs w:val="20"/>
                <w:lang w:val="en-GB"/>
              </w:rPr>
              <w:t>than 85.</w:t>
            </w:r>
            <w:r w:rsidR="0023579E" w:rsidRPr="0023579E"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The ICERs of the two perspectives are identical after the age of 70 as there are no productivity losses</w:t>
            </w:r>
            <w:r w:rsidR="00F84385"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 xml:space="preserve"> </w:t>
            </w:r>
            <w:r w:rsidR="0023579E" w:rsidRPr="0023579E"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after this age.</w:t>
            </w:r>
          </w:p>
        </w:tc>
        <w:tc>
          <w:tcPr>
            <w:tcW w:w="1493" w:type="dxa"/>
          </w:tcPr>
          <w:p w:rsidR="002B5314" w:rsidRPr="006A5BB4" w:rsidRDefault="00F077B4" w:rsidP="00E105B9">
            <w:pPr>
              <w:keepNext/>
              <w:keepLines/>
              <w:suppressAutoHyphens/>
              <w:spacing w:before="240" w:line="276" w:lineRule="auto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ar-SA"/>
              </w:rPr>
            </w:pPr>
            <w:r w:rsidRPr="00F077B4"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92,7% cost effective</w:t>
            </w:r>
          </w:p>
        </w:tc>
      </w:tr>
      <w:tr w:rsidR="002B5314" w:rsidRPr="006A5BB4" w:rsidTr="00311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B5314" w:rsidRPr="006A5BB4" w:rsidRDefault="00620867" w:rsidP="00E105B9">
            <w:pPr>
              <w:keepNext/>
              <w:keepLines/>
              <w:suppressAutoHyphens/>
              <w:spacing w:before="24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lang w:val="en-US" w:eastAsia="ar-SA"/>
              </w:rPr>
            </w:pPr>
            <w:proofErr w:type="spellStart"/>
            <w:r w:rsidRPr="00620867">
              <w:rPr>
                <w:rFonts w:ascii="Times New Roman" w:eastAsia="Times New Roman" w:hAnsi="Times New Roman" w:cs="Times New Roman"/>
                <w:sz w:val="20"/>
                <w:lang w:val="en-US" w:eastAsia="ar-SA"/>
              </w:rPr>
              <w:t>Annemans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en-US" w:eastAsia="ar-SA"/>
              </w:rPr>
              <w:t xml:space="preserve"> </w:t>
            </w:r>
            <w:r w:rsidRPr="00620867">
              <w:rPr>
                <w:rFonts w:ascii="Times New Roman" w:eastAsia="Times New Roman" w:hAnsi="Times New Roman" w:cs="Times New Roman"/>
                <w:sz w:val="20"/>
                <w:lang w:val="en-US" w:eastAsia="ar-SA"/>
              </w:rPr>
              <w:t>L.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ar-SA"/>
              </w:rPr>
              <w:t>, 2010</w:t>
            </w:r>
            <w:r w:rsidR="00284E7F">
              <w:rPr>
                <w:rFonts w:ascii="Times New Roman" w:eastAsia="Times New Roman" w:hAnsi="Times New Roman" w:cs="Times New Roman"/>
                <w:sz w:val="20"/>
                <w:lang w:val="en-US" w:eastAsia="ar-SA"/>
              </w:rPr>
              <w:t xml:space="preserve"> [10]</w:t>
            </w:r>
          </w:p>
        </w:tc>
        <w:tc>
          <w:tcPr>
            <w:tcW w:w="1172" w:type="dxa"/>
            <w:tcBorders>
              <w:top w:val="none" w:sz="0" w:space="0" w:color="auto"/>
              <w:bottom w:val="none" w:sz="0" w:space="0" w:color="auto"/>
            </w:tcBorders>
          </w:tcPr>
          <w:p w:rsidR="002B5314" w:rsidRPr="006A5BB4" w:rsidRDefault="0055417C" w:rsidP="00E105B9">
            <w:pPr>
              <w:keepNext/>
              <w:keepLines/>
              <w:suppressAutoHyphens/>
              <w:spacing w:before="240" w:line="276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ar-SA"/>
              </w:rPr>
            </w:pPr>
            <w:r w:rsidRPr="0055417C"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Belgium</w:t>
            </w:r>
          </w:p>
        </w:tc>
        <w:tc>
          <w:tcPr>
            <w:tcW w:w="1777" w:type="dxa"/>
            <w:tcBorders>
              <w:top w:val="none" w:sz="0" w:space="0" w:color="auto"/>
              <w:bottom w:val="none" w:sz="0" w:space="0" w:color="auto"/>
            </w:tcBorders>
          </w:tcPr>
          <w:p w:rsidR="002B5314" w:rsidRPr="008D099F" w:rsidRDefault="00620867" w:rsidP="00E105B9">
            <w:pPr>
              <w:keepNext/>
              <w:keepLines/>
              <w:suppressAutoHyphens/>
              <w:spacing w:before="240" w:line="276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</w:pPr>
            <w:r w:rsidRPr="008D099F"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 xml:space="preserve">TPP; </w:t>
            </w:r>
            <w:r w:rsidR="00723532" w:rsidRPr="008D099F"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 xml:space="preserve">healthcare; </w:t>
            </w:r>
            <w:r w:rsidRPr="008D099F"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societal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:rsidR="002B5314" w:rsidRPr="008D099F" w:rsidRDefault="002D3BCC" w:rsidP="00B14BB6">
            <w:pPr>
              <w:keepNext/>
              <w:keepLines/>
              <w:suppressAutoHyphens/>
              <w:spacing w:before="240" w:line="276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 xml:space="preserve">People aged 60 </w:t>
            </w:r>
            <w:r w:rsidR="00B14BB6"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and 50+, 65+, 60-64, 65-69, 60-69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:rsidR="002B5314" w:rsidRPr="006A5BB4" w:rsidRDefault="00723532" w:rsidP="00E105B9">
            <w:pPr>
              <w:keepNext/>
              <w:keepLines/>
              <w:suppressAutoHyphens/>
              <w:spacing w:before="240" w:line="276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ar-SA"/>
              </w:rPr>
            </w:pPr>
            <w:r w:rsidRPr="006A5BB4">
              <w:rPr>
                <w:rFonts w:ascii="Times New Roman" w:eastAsia="Times New Roman" w:hAnsi="Times New Roman" w:cs="Times New Roman"/>
                <w:bCs/>
                <w:sz w:val="20"/>
                <w:lang w:val="en-GB" w:eastAsia="ar-SA"/>
              </w:rPr>
              <w:t>Lifetime</w:t>
            </w:r>
          </w:p>
        </w:tc>
        <w:tc>
          <w:tcPr>
            <w:tcW w:w="3314" w:type="dxa"/>
            <w:tcBorders>
              <w:top w:val="none" w:sz="0" w:space="0" w:color="auto"/>
              <w:bottom w:val="none" w:sz="0" w:space="0" w:color="auto"/>
            </w:tcBorders>
          </w:tcPr>
          <w:p w:rsidR="00E52968" w:rsidRDefault="001C1345" w:rsidP="00E72A67">
            <w:pPr>
              <w:keepNext/>
              <w:keepLines/>
              <w:suppressAutoHyphens/>
              <w:spacing w:line="276" w:lineRule="auto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</w:pPr>
            <w:r w:rsidRPr="0039705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ar-SA"/>
              </w:rPr>
              <w:t>TPP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:</w:t>
            </w:r>
            <w:r w:rsidR="00E72A67"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 xml:space="preserve"> </w:t>
            </w:r>
          </w:p>
          <w:p w:rsidR="002B5314" w:rsidRDefault="00E72A67" w:rsidP="00E72A67">
            <w:pPr>
              <w:keepNext/>
              <w:keepLines/>
              <w:suppressAutoHyphens/>
              <w:spacing w:line="276" w:lineRule="auto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60+:</w:t>
            </w:r>
            <w:r w:rsidR="001808D7"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€ 6,799/QALY;</w:t>
            </w:r>
          </w:p>
          <w:p w:rsidR="00E72A67" w:rsidRDefault="00E72A67" w:rsidP="00E72A67">
            <w:pPr>
              <w:keepNext/>
              <w:keepLines/>
              <w:suppressAutoHyphens/>
              <w:spacing w:line="276" w:lineRule="auto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50+: € 6,614/QALY;</w:t>
            </w:r>
          </w:p>
          <w:p w:rsidR="00E72A67" w:rsidRDefault="001808D7" w:rsidP="00E72A67">
            <w:pPr>
              <w:keepNext/>
              <w:keepLines/>
              <w:suppressAutoHyphens/>
              <w:spacing w:line="276" w:lineRule="auto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65+: €7,173/QALY</w:t>
            </w:r>
            <w:r w:rsidR="00480066"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;</w:t>
            </w:r>
          </w:p>
          <w:p w:rsidR="001808D7" w:rsidRDefault="001808D7" w:rsidP="00E72A67">
            <w:pPr>
              <w:keepNext/>
              <w:keepLines/>
              <w:suppressAutoHyphens/>
              <w:spacing w:line="276" w:lineRule="auto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60-64: € 5,686/QALY</w:t>
            </w:r>
            <w:r w:rsidR="00480066"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;</w:t>
            </w:r>
          </w:p>
          <w:p w:rsidR="001808D7" w:rsidRDefault="001808D7" w:rsidP="00E72A67">
            <w:pPr>
              <w:keepNext/>
              <w:keepLines/>
              <w:suppressAutoHyphens/>
              <w:spacing w:line="276" w:lineRule="auto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65-69: € 5,404/QALY</w:t>
            </w:r>
            <w:r w:rsidR="00480066"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;</w:t>
            </w:r>
          </w:p>
          <w:p w:rsidR="00E72A67" w:rsidRDefault="001808D7" w:rsidP="00E72A67">
            <w:pPr>
              <w:keepNext/>
              <w:keepLines/>
              <w:suppressAutoHyphens/>
              <w:spacing w:line="276" w:lineRule="auto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60-69: € 5,545/QALY</w:t>
            </w:r>
            <w:r w:rsidR="00480066"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;</w:t>
            </w:r>
          </w:p>
          <w:p w:rsidR="00E52968" w:rsidRDefault="001C1345" w:rsidP="00E72A67">
            <w:pPr>
              <w:keepNext/>
              <w:keepLines/>
              <w:suppressAutoHyphens/>
              <w:spacing w:line="276" w:lineRule="auto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ar-SA"/>
              </w:rPr>
            </w:pPr>
            <w:r w:rsidRPr="001C1345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ar-SA"/>
              </w:rPr>
              <w:t>Healthcare:</w:t>
            </w:r>
            <w:r w:rsidR="001808D7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ar-SA"/>
              </w:rPr>
              <w:t xml:space="preserve"> </w:t>
            </w:r>
          </w:p>
          <w:p w:rsidR="001C1345" w:rsidRDefault="001808D7" w:rsidP="00E72A67">
            <w:pPr>
              <w:keepNext/>
              <w:keepLines/>
              <w:suppressAutoHyphens/>
              <w:spacing w:line="276" w:lineRule="auto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60+: € 7,169/QALY;</w:t>
            </w:r>
          </w:p>
          <w:p w:rsidR="001808D7" w:rsidRDefault="001808D7" w:rsidP="00E72A67">
            <w:pPr>
              <w:keepNext/>
              <w:keepLines/>
              <w:suppressAutoHyphens/>
              <w:spacing w:line="276" w:lineRule="auto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lastRenderedPageBreak/>
              <w:t>50+: €6,966/QALY;</w:t>
            </w:r>
          </w:p>
          <w:p w:rsidR="001808D7" w:rsidRDefault="001808D7" w:rsidP="00E72A67">
            <w:pPr>
              <w:keepNext/>
              <w:keepLines/>
              <w:suppressAutoHyphens/>
              <w:spacing w:line="276" w:lineRule="auto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65+:</w:t>
            </w:r>
            <w:r w:rsidR="00480066"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 xml:space="preserve"> € 7,575/QALY;</w:t>
            </w:r>
          </w:p>
          <w:p w:rsidR="001808D7" w:rsidRDefault="001808D7" w:rsidP="00E72A67">
            <w:pPr>
              <w:keepNext/>
              <w:keepLines/>
              <w:suppressAutoHyphens/>
              <w:spacing w:line="276" w:lineRule="auto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60-64:</w:t>
            </w:r>
            <w:r w:rsidR="00E52968"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 xml:space="preserve"> € 5,953/QALY;</w:t>
            </w:r>
          </w:p>
          <w:p w:rsidR="001808D7" w:rsidRDefault="001808D7" w:rsidP="00E72A67">
            <w:pPr>
              <w:keepNext/>
              <w:keepLines/>
              <w:suppressAutoHyphens/>
              <w:spacing w:line="276" w:lineRule="auto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65-69:</w:t>
            </w:r>
            <w:r w:rsidR="00E52968"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€ 5,647/QALY;</w:t>
            </w:r>
          </w:p>
          <w:p w:rsidR="001808D7" w:rsidRPr="001808D7" w:rsidRDefault="001808D7" w:rsidP="00E72A67">
            <w:pPr>
              <w:keepNext/>
              <w:keepLines/>
              <w:suppressAutoHyphens/>
              <w:spacing w:line="276" w:lineRule="auto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60-69:</w:t>
            </w:r>
            <w:r w:rsidR="00E52968"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 xml:space="preserve"> € 5,800/QALY</w:t>
            </w:r>
          </w:p>
          <w:p w:rsidR="00E52968" w:rsidRDefault="001C1345" w:rsidP="00E72A67">
            <w:pPr>
              <w:keepNext/>
              <w:keepLines/>
              <w:suppressAutoHyphens/>
              <w:spacing w:line="276" w:lineRule="auto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ar-SA"/>
              </w:rPr>
            </w:pPr>
            <w:r w:rsidRPr="001C1345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ar-SA"/>
              </w:rPr>
              <w:t>Societal:</w:t>
            </w:r>
            <w:r w:rsidR="001808D7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ar-SA"/>
              </w:rPr>
              <w:t xml:space="preserve"> </w:t>
            </w:r>
          </w:p>
          <w:p w:rsidR="001C1345" w:rsidRDefault="001808D7" w:rsidP="00E72A67">
            <w:pPr>
              <w:keepNext/>
              <w:keepLines/>
              <w:suppressAutoHyphens/>
              <w:spacing w:line="276" w:lineRule="auto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60+: € 7,137/QALY;</w:t>
            </w:r>
          </w:p>
          <w:p w:rsidR="001808D7" w:rsidRDefault="001808D7" w:rsidP="00E72A67">
            <w:pPr>
              <w:keepNext/>
              <w:keepLines/>
              <w:suppressAutoHyphens/>
              <w:spacing w:line="276" w:lineRule="auto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50+: €6,812/QALY;</w:t>
            </w:r>
          </w:p>
          <w:p w:rsidR="001808D7" w:rsidRDefault="001808D7" w:rsidP="00E72A67">
            <w:pPr>
              <w:keepNext/>
              <w:keepLines/>
              <w:suppressAutoHyphens/>
              <w:spacing w:line="276" w:lineRule="auto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65+: €7,566/QALY;</w:t>
            </w:r>
          </w:p>
          <w:p w:rsidR="001808D7" w:rsidRDefault="001808D7" w:rsidP="00E72A67">
            <w:pPr>
              <w:keepNext/>
              <w:keepLines/>
              <w:suppressAutoHyphens/>
              <w:spacing w:line="276" w:lineRule="auto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60-64: € 5,858/QALY;</w:t>
            </w:r>
          </w:p>
          <w:p w:rsidR="001808D7" w:rsidRDefault="001808D7" w:rsidP="00E72A67">
            <w:pPr>
              <w:keepNext/>
              <w:keepLines/>
              <w:suppressAutoHyphens/>
              <w:spacing w:line="276" w:lineRule="auto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65-69: €5,629/QALY;</w:t>
            </w:r>
          </w:p>
          <w:p w:rsidR="001808D7" w:rsidRPr="001808D7" w:rsidRDefault="001808D7" w:rsidP="00E72A67">
            <w:pPr>
              <w:keepNext/>
              <w:keepLines/>
              <w:suppressAutoHyphens/>
              <w:spacing w:line="276" w:lineRule="auto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60-69: € 5,739/QALY</w:t>
            </w:r>
          </w:p>
        </w:tc>
        <w:tc>
          <w:tcPr>
            <w:tcW w:w="14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B5314" w:rsidRPr="006A5BB4" w:rsidRDefault="00F7207A" w:rsidP="00E105B9">
            <w:pPr>
              <w:keepNext/>
              <w:keepLines/>
              <w:suppressAutoHyphens/>
              <w:spacing w:before="240" w:line="276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ar-SA"/>
              </w:rPr>
            </w:pPr>
            <w:r w:rsidRPr="00F7207A"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lastRenderedPageBreak/>
              <w:t>94% cost-effective</w:t>
            </w:r>
          </w:p>
        </w:tc>
      </w:tr>
      <w:tr w:rsidR="002B5314" w:rsidRPr="006A5BB4" w:rsidTr="003114FA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</w:tcPr>
          <w:p w:rsidR="002B5314" w:rsidRPr="00D960BB" w:rsidRDefault="00D960BB" w:rsidP="00E105B9">
            <w:pPr>
              <w:keepNext/>
              <w:keepLines/>
              <w:suppressAutoHyphens/>
              <w:spacing w:before="24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lang w:val="en-GB" w:eastAsia="ar-SA"/>
              </w:rPr>
            </w:pPr>
            <w:proofErr w:type="spellStart"/>
            <w:r w:rsidRPr="00D960BB">
              <w:rPr>
                <w:rFonts w:ascii="Times New Roman" w:eastAsia="Times New Roman" w:hAnsi="Times New Roman" w:cs="Times New Roman"/>
                <w:sz w:val="20"/>
                <w:lang w:val="en-US" w:eastAsia="ar-SA"/>
              </w:rPr>
              <w:lastRenderedPageBreak/>
              <w:t>Szucs</w:t>
            </w:r>
            <w:proofErr w:type="spellEnd"/>
            <w:r w:rsidRPr="00D960BB">
              <w:rPr>
                <w:rFonts w:ascii="Times New Roman" w:eastAsia="Times New Roman" w:hAnsi="Times New Roman" w:cs="Times New Roman"/>
                <w:sz w:val="20"/>
                <w:lang w:val="en-US" w:eastAsia="ar-SA"/>
              </w:rPr>
              <w:t xml:space="preserve"> T.,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ar-SA"/>
              </w:rPr>
              <w:t xml:space="preserve"> 2011</w:t>
            </w:r>
            <w:r w:rsidR="00284E7F">
              <w:rPr>
                <w:rFonts w:ascii="Times New Roman" w:eastAsia="Times New Roman" w:hAnsi="Times New Roman" w:cs="Times New Roman"/>
                <w:sz w:val="20"/>
                <w:lang w:val="en-US" w:eastAsia="ar-SA"/>
              </w:rPr>
              <w:t xml:space="preserve"> [11]</w:t>
            </w:r>
          </w:p>
        </w:tc>
        <w:tc>
          <w:tcPr>
            <w:tcW w:w="1172" w:type="dxa"/>
          </w:tcPr>
          <w:p w:rsidR="002B5314" w:rsidRPr="006A5BB4" w:rsidRDefault="0055417C" w:rsidP="00E105B9">
            <w:pPr>
              <w:keepNext/>
              <w:keepLines/>
              <w:suppressAutoHyphens/>
              <w:spacing w:before="240" w:line="276" w:lineRule="auto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ar-SA"/>
              </w:rPr>
            </w:pPr>
            <w:r w:rsidRPr="0055417C"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Switzerland</w:t>
            </w:r>
          </w:p>
        </w:tc>
        <w:tc>
          <w:tcPr>
            <w:tcW w:w="1777" w:type="dxa"/>
          </w:tcPr>
          <w:p w:rsidR="002B5314" w:rsidRPr="006A5BB4" w:rsidRDefault="00D960BB" w:rsidP="00723532">
            <w:pPr>
              <w:keepNext/>
              <w:keepLines/>
              <w:suppressAutoHyphens/>
              <w:spacing w:before="240" w:line="276" w:lineRule="auto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TPP</w:t>
            </w:r>
            <w:r w:rsidRPr="006A5B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;</w:t>
            </w:r>
            <w:r w:rsidR="00535DC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6A5B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societal</w:t>
            </w:r>
          </w:p>
        </w:tc>
        <w:tc>
          <w:tcPr>
            <w:tcW w:w="2551" w:type="dxa"/>
          </w:tcPr>
          <w:p w:rsidR="002B5314" w:rsidRPr="006A5BB4" w:rsidRDefault="00D960BB" w:rsidP="00E105B9">
            <w:pPr>
              <w:keepNext/>
              <w:keepLines/>
              <w:suppressAutoHyphens/>
              <w:spacing w:before="240" w:line="276" w:lineRule="auto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 xml:space="preserve">People aged 70-79; </w:t>
            </w:r>
            <w:r>
              <w:rPr>
                <w:rFonts w:ascii="AGaramond-Regular" w:hAnsi="AGaramond-Regular" w:cs="AGaramond-Regular"/>
                <w:sz w:val="20"/>
                <w:szCs w:val="20"/>
              </w:rPr>
              <w:t>60–69, 65+ and 75+</w:t>
            </w:r>
          </w:p>
        </w:tc>
        <w:tc>
          <w:tcPr>
            <w:tcW w:w="1985" w:type="dxa"/>
          </w:tcPr>
          <w:p w:rsidR="002B5314" w:rsidRPr="006A5BB4" w:rsidRDefault="00D960BB" w:rsidP="00E105B9">
            <w:pPr>
              <w:keepNext/>
              <w:keepLines/>
              <w:suppressAutoHyphens/>
              <w:spacing w:before="240" w:line="276" w:lineRule="auto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ar-SA"/>
              </w:rPr>
            </w:pPr>
            <w:r w:rsidRPr="006A5BB4">
              <w:rPr>
                <w:rFonts w:ascii="Times New Roman" w:eastAsia="Times New Roman" w:hAnsi="Times New Roman" w:cs="Times New Roman"/>
                <w:bCs/>
                <w:sz w:val="20"/>
                <w:lang w:val="en-GB" w:eastAsia="ar-SA"/>
              </w:rPr>
              <w:t>Lifetime</w:t>
            </w:r>
          </w:p>
        </w:tc>
        <w:tc>
          <w:tcPr>
            <w:tcW w:w="3314" w:type="dxa"/>
          </w:tcPr>
          <w:p w:rsidR="00E52968" w:rsidRDefault="00C64F05" w:rsidP="00C2287A">
            <w:pPr>
              <w:keepNext/>
              <w:keepLines/>
              <w:suppressAutoHyphens/>
              <w:spacing w:line="276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</w:pPr>
            <w:r w:rsidRPr="0039705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ar-SA"/>
              </w:rPr>
              <w:t>TPP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 xml:space="preserve">: </w:t>
            </w:r>
          </w:p>
          <w:p w:rsidR="00C2287A" w:rsidRDefault="00C64F05" w:rsidP="00C2287A">
            <w:pPr>
              <w:keepNext/>
              <w:keepLines/>
              <w:suppressAutoHyphens/>
              <w:spacing w:line="276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</w:pPr>
            <w:r w:rsidRPr="00397053"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70-79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. € 18,250/QALY;</w:t>
            </w:r>
            <w:r w:rsidR="00C33D65"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 xml:space="preserve"> </w:t>
            </w:r>
          </w:p>
          <w:p w:rsidR="00C2287A" w:rsidRDefault="00C33D65" w:rsidP="00C2287A">
            <w:pPr>
              <w:keepNext/>
              <w:keepLines/>
              <w:suppressAutoHyphens/>
              <w:spacing w:line="276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 xml:space="preserve">60-69: € 14,849/QALY; </w:t>
            </w:r>
          </w:p>
          <w:p w:rsidR="00C2287A" w:rsidRDefault="00C33D65" w:rsidP="00C2287A">
            <w:pPr>
              <w:keepNext/>
              <w:keepLines/>
              <w:suppressAutoHyphens/>
              <w:spacing w:line="276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65+ : € 21,412/QALY;</w:t>
            </w:r>
          </w:p>
          <w:p w:rsidR="00C33D65" w:rsidRDefault="00C33D65" w:rsidP="00C2287A">
            <w:pPr>
              <w:keepNext/>
              <w:keepLines/>
              <w:suppressAutoHyphens/>
              <w:spacing w:line="276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75+: € 25,394/QALY</w:t>
            </w:r>
          </w:p>
          <w:p w:rsidR="00E52968" w:rsidRDefault="00C33D65" w:rsidP="00C2287A">
            <w:pPr>
              <w:keepNext/>
              <w:keepLines/>
              <w:suppressAutoHyphens/>
              <w:spacing w:line="276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</w:pPr>
            <w:r w:rsidRPr="00C33D65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ar-SA"/>
              </w:rPr>
              <w:t>Societal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:</w:t>
            </w:r>
            <w:r w:rsidRPr="00397053"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 xml:space="preserve"> </w:t>
            </w:r>
          </w:p>
          <w:p w:rsidR="00C2287A" w:rsidRDefault="00C33D65" w:rsidP="00C2287A">
            <w:pPr>
              <w:keepNext/>
              <w:keepLines/>
              <w:suppressAutoHyphens/>
              <w:spacing w:line="276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</w:pPr>
            <w:r w:rsidRPr="00397053"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70-79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:</w:t>
            </w:r>
            <w:r w:rsidRPr="00DE3151"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 xml:space="preserve"> </w:t>
            </w:r>
            <w:r w:rsidR="00C64F05"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 xml:space="preserve"> € 20,399/QALY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 xml:space="preserve">; </w:t>
            </w:r>
          </w:p>
          <w:p w:rsidR="00C2287A" w:rsidRDefault="00C33D65" w:rsidP="00C2287A">
            <w:pPr>
              <w:keepNext/>
              <w:keepLines/>
              <w:suppressAutoHyphens/>
              <w:spacing w:line="276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 xml:space="preserve">60-69: € 16,417/QALY; </w:t>
            </w:r>
          </w:p>
          <w:p w:rsidR="00C2287A" w:rsidRDefault="00C33D65" w:rsidP="00C2287A">
            <w:pPr>
              <w:keepNext/>
              <w:keepLines/>
              <w:suppressAutoHyphens/>
              <w:spacing w:line="276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65+: €23,892/QALY;</w:t>
            </w:r>
          </w:p>
          <w:p w:rsidR="002B5314" w:rsidRPr="006A5BB4" w:rsidRDefault="00C33D65" w:rsidP="00C2287A">
            <w:pPr>
              <w:keepNext/>
              <w:keepLines/>
              <w:suppressAutoHyphens/>
              <w:spacing w:line="276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val="en-US" w:eastAsia="ar-SA"/>
              </w:rPr>
              <w:t>75+: € 28,357/QALY</w:t>
            </w:r>
          </w:p>
        </w:tc>
        <w:tc>
          <w:tcPr>
            <w:tcW w:w="1493" w:type="dxa"/>
          </w:tcPr>
          <w:p w:rsidR="002B5314" w:rsidRPr="006A5BB4" w:rsidRDefault="00C2287A" w:rsidP="00E105B9">
            <w:pPr>
              <w:keepNext/>
              <w:keepLines/>
              <w:suppressAutoHyphens/>
              <w:spacing w:before="240" w:line="276" w:lineRule="auto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ar-SA"/>
              </w:rPr>
            </w:pPr>
            <w:r w:rsidRPr="00C2287A">
              <w:rPr>
                <w:rFonts w:ascii="Times New Roman" w:eastAsia="Times New Roman" w:hAnsi="Times New Roman" w:cs="Times New Roman"/>
                <w:bCs/>
                <w:sz w:val="20"/>
                <w:lang w:val="en-GB" w:eastAsia="ar-SA"/>
              </w:rPr>
              <w:t>N.A.</w:t>
            </w:r>
          </w:p>
        </w:tc>
      </w:tr>
    </w:tbl>
    <w:p w:rsidR="002B5314" w:rsidRDefault="00397053" w:rsidP="00C2287A">
      <w:pPr>
        <w:keepNext/>
        <w:keepLines/>
        <w:suppressAutoHyphens/>
        <w:spacing w:after="0" w:line="240" w:lineRule="auto"/>
        <w:outlineLvl w:val="2"/>
        <w:rPr>
          <w:rFonts w:ascii="Times New Roman" w:eastAsia="Times New Roman" w:hAnsi="Times New Roman"/>
          <w:bCs/>
          <w:sz w:val="20"/>
          <w:szCs w:val="20"/>
          <w:lang w:val="en-US" w:eastAsia="ar-SA"/>
        </w:rPr>
      </w:pPr>
      <w:r w:rsidRPr="00C2287A">
        <w:rPr>
          <w:rFonts w:ascii="Times New Roman" w:eastAsia="Times New Roman" w:hAnsi="Times New Roman"/>
          <w:bCs/>
          <w:sz w:val="20"/>
          <w:szCs w:val="20"/>
          <w:lang w:val="en-US" w:eastAsia="ar-SA"/>
        </w:rPr>
        <w:t xml:space="preserve">TPP: </w:t>
      </w:r>
      <w:proofErr w:type="spellStart"/>
      <w:r w:rsidRPr="00C2287A">
        <w:rPr>
          <w:rFonts w:ascii="Times New Roman" w:eastAsia="Times New Roman" w:hAnsi="Times New Roman"/>
          <w:bCs/>
          <w:sz w:val="20"/>
          <w:szCs w:val="20"/>
          <w:lang w:val="en-US" w:eastAsia="ar-SA"/>
        </w:rPr>
        <w:t>Thirdy</w:t>
      </w:r>
      <w:proofErr w:type="spellEnd"/>
      <w:r w:rsidRPr="00C2287A">
        <w:rPr>
          <w:rFonts w:ascii="Times New Roman" w:eastAsia="Times New Roman" w:hAnsi="Times New Roman"/>
          <w:bCs/>
          <w:sz w:val="20"/>
          <w:szCs w:val="20"/>
          <w:lang w:val="en-US" w:eastAsia="ar-SA"/>
        </w:rPr>
        <w:t xml:space="preserve"> party payer</w:t>
      </w:r>
    </w:p>
    <w:p w:rsidR="00C2287A" w:rsidRPr="00C2287A" w:rsidRDefault="004E322C" w:rsidP="00C2287A">
      <w:pPr>
        <w:keepNext/>
        <w:keepLines/>
        <w:suppressAutoHyphens/>
        <w:spacing w:after="0" w:line="240" w:lineRule="auto"/>
        <w:outlineLvl w:val="2"/>
        <w:rPr>
          <w:rFonts w:ascii="Times New Roman" w:eastAsia="Times New Roman" w:hAnsi="Times New Roman"/>
          <w:bCs/>
          <w:sz w:val="20"/>
          <w:szCs w:val="20"/>
          <w:lang w:val="en-US" w:eastAsia="ar-SA"/>
        </w:rPr>
      </w:pPr>
      <w:r>
        <w:rPr>
          <w:rFonts w:ascii="Times New Roman" w:eastAsia="Times New Roman" w:hAnsi="Times New Roman"/>
          <w:bCs/>
          <w:sz w:val="20"/>
          <w:szCs w:val="20"/>
          <w:lang w:val="en-US" w:eastAsia="ar-SA"/>
        </w:rPr>
        <w:t>N.A.: N</w:t>
      </w:r>
      <w:r w:rsidR="00C2287A" w:rsidRPr="00C2287A">
        <w:rPr>
          <w:rFonts w:ascii="Times New Roman" w:eastAsia="Times New Roman" w:hAnsi="Times New Roman"/>
          <w:bCs/>
          <w:sz w:val="20"/>
          <w:szCs w:val="20"/>
          <w:lang w:val="en-US" w:eastAsia="ar-SA"/>
        </w:rPr>
        <w:t>ot applicable</w:t>
      </w:r>
    </w:p>
    <w:sectPr w:rsidR="00C2287A" w:rsidRPr="00C2287A" w:rsidSect="002B5314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0558C"/>
    <w:multiLevelType w:val="hybridMultilevel"/>
    <w:tmpl w:val="28BE5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E5"/>
    <w:rsid w:val="00022144"/>
    <w:rsid w:val="00035DB9"/>
    <w:rsid w:val="0006756D"/>
    <w:rsid w:val="000C6D8D"/>
    <w:rsid w:val="001176E5"/>
    <w:rsid w:val="001808D7"/>
    <w:rsid w:val="00183598"/>
    <w:rsid w:val="001B2AEE"/>
    <w:rsid w:val="001C1345"/>
    <w:rsid w:val="001C3243"/>
    <w:rsid w:val="001E445A"/>
    <w:rsid w:val="00225459"/>
    <w:rsid w:val="00234113"/>
    <w:rsid w:val="0023579E"/>
    <w:rsid w:val="00237FC6"/>
    <w:rsid w:val="00284E7F"/>
    <w:rsid w:val="002A3301"/>
    <w:rsid w:val="002B0DCC"/>
    <w:rsid w:val="002B2D2E"/>
    <w:rsid w:val="002B5314"/>
    <w:rsid w:val="002D3BCC"/>
    <w:rsid w:val="00303A23"/>
    <w:rsid w:val="0030485C"/>
    <w:rsid w:val="003114FA"/>
    <w:rsid w:val="00336DFD"/>
    <w:rsid w:val="003643C4"/>
    <w:rsid w:val="003659A6"/>
    <w:rsid w:val="00397053"/>
    <w:rsid w:val="004064B9"/>
    <w:rsid w:val="00473DA5"/>
    <w:rsid w:val="00477F62"/>
    <w:rsid w:val="00480066"/>
    <w:rsid w:val="004E322C"/>
    <w:rsid w:val="00512F55"/>
    <w:rsid w:val="00535DCB"/>
    <w:rsid w:val="00544643"/>
    <w:rsid w:val="0055417C"/>
    <w:rsid w:val="005B2DC1"/>
    <w:rsid w:val="005B6D0D"/>
    <w:rsid w:val="005C342D"/>
    <w:rsid w:val="00620867"/>
    <w:rsid w:val="00620E28"/>
    <w:rsid w:val="00690FC4"/>
    <w:rsid w:val="006A0B1F"/>
    <w:rsid w:val="006A5BB4"/>
    <w:rsid w:val="007075E6"/>
    <w:rsid w:val="00723532"/>
    <w:rsid w:val="00746FDE"/>
    <w:rsid w:val="0075278F"/>
    <w:rsid w:val="007A5754"/>
    <w:rsid w:val="007A7A22"/>
    <w:rsid w:val="007B78F0"/>
    <w:rsid w:val="007C4AB7"/>
    <w:rsid w:val="007D0673"/>
    <w:rsid w:val="00860821"/>
    <w:rsid w:val="008D099F"/>
    <w:rsid w:val="008D474C"/>
    <w:rsid w:val="009116A8"/>
    <w:rsid w:val="00927AAF"/>
    <w:rsid w:val="00952E50"/>
    <w:rsid w:val="00982D9B"/>
    <w:rsid w:val="009A6A46"/>
    <w:rsid w:val="00A54770"/>
    <w:rsid w:val="00AB2EAE"/>
    <w:rsid w:val="00AB7325"/>
    <w:rsid w:val="00AD29D3"/>
    <w:rsid w:val="00B14BB6"/>
    <w:rsid w:val="00B37407"/>
    <w:rsid w:val="00B44E24"/>
    <w:rsid w:val="00B74890"/>
    <w:rsid w:val="00C2287A"/>
    <w:rsid w:val="00C337A3"/>
    <w:rsid w:val="00C33D65"/>
    <w:rsid w:val="00C64F05"/>
    <w:rsid w:val="00D20E59"/>
    <w:rsid w:val="00D5690D"/>
    <w:rsid w:val="00D75145"/>
    <w:rsid w:val="00D960BB"/>
    <w:rsid w:val="00DC1659"/>
    <w:rsid w:val="00DE3151"/>
    <w:rsid w:val="00E027C6"/>
    <w:rsid w:val="00E5257C"/>
    <w:rsid w:val="00E52968"/>
    <w:rsid w:val="00E72A67"/>
    <w:rsid w:val="00E75AD8"/>
    <w:rsid w:val="00F077B4"/>
    <w:rsid w:val="00F12229"/>
    <w:rsid w:val="00F12E10"/>
    <w:rsid w:val="00F7207A"/>
    <w:rsid w:val="00F84385"/>
    <w:rsid w:val="00F93950"/>
    <w:rsid w:val="00FC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6A8"/>
    <w:rPr>
      <w:rFonts w:ascii="Tahoma" w:hAnsi="Tahoma" w:cs="Tahoma"/>
      <w:sz w:val="16"/>
      <w:szCs w:val="16"/>
    </w:rPr>
  </w:style>
  <w:style w:type="table" w:styleId="Grigliachiara">
    <w:name w:val="Light Grid"/>
    <w:basedOn w:val="Tabellanormale"/>
    <w:uiPriority w:val="62"/>
    <w:rsid w:val="007527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Elencochiaro">
    <w:name w:val="Light List"/>
    <w:basedOn w:val="Tabellanormale"/>
    <w:uiPriority w:val="61"/>
    <w:rsid w:val="006A0B1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gliatabella">
    <w:name w:val="Table Grid"/>
    <w:basedOn w:val="Tabellanormale"/>
    <w:uiPriority w:val="59"/>
    <w:rsid w:val="009A6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E3151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2B531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6A8"/>
    <w:rPr>
      <w:rFonts w:ascii="Tahoma" w:hAnsi="Tahoma" w:cs="Tahoma"/>
      <w:sz w:val="16"/>
      <w:szCs w:val="16"/>
    </w:rPr>
  </w:style>
  <w:style w:type="table" w:styleId="Grigliachiara">
    <w:name w:val="Light Grid"/>
    <w:basedOn w:val="Tabellanormale"/>
    <w:uiPriority w:val="62"/>
    <w:rsid w:val="007527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Elencochiaro">
    <w:name w:val="Light List"/>
    <w:basedOn w:val="Tabellanormale"/>
    <w:uiPriority w:val="61"/>
    <w:rsid w:val="006A0B1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gliatabella">
    <w:name w:val="Table Grid"/>
    <w:basedOn w:val="Tabellanormale"/>
    <w:uiPriority w:val="59"/>
    <w:rsid w:val="009A6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E3151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2B531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61B966A-C6F4-40C4-8AC3-D3614159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 Coretti</cp:lastModifiedBy>
  <cp:revision>2</cp:revision>
  <dcterms:created xsi:type="dcterms:W3CDTF">2016-04-29T11:39:00Z</dcterms:created>
  <dcterms:modified xsi:type="dcterms:W3CDTF">2016-04-29T11:39:00Z</dcterms:modified>
</cp:coreProperties>
</file>