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31" w:rsidRDefault="009D3231" w:rsidP="009D3231">
      <w:pPr>
        <w:suppressAutoHyphens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Supplementary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Table 1</w:t>
      </w:r>
      <w:r w:rsidRPr="00B23AD4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Parameters of one-way sensitivity analysis. </w:t>
      </w:r>
    </w:p>
    <w:tbl>
      <w:tblPr>
        <w:tblStyle w:val="Elencochiar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350"/>
        <w:gridCol w:w="2252"/>
        <w:gridCol w:w="1512"/>
      </w:tblGrid>
      <w:tr w:rsidR="009D3231" w:rsidRPr="002B0DCC" w:rsidTr="004F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noWrap/>
            <w:hideMark/>
          </w:tcPr>
          <w:p w:rsidR="009D3231" w:rsidRPr="002B0DCC" w:rsidRDefault="009D3231" w:rsidP="004F0DAD">
            <w:pPr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Input</w:t>
            </w:r>
          </w:p>
        </w:tc>
        <w:tc>
          <w:tcPr>
            <w:tcW w:w="1644" w:type="pct"/>
            <w:noWrap/>
            <w:hideMark/>
          </w:tcPr>
          <w:p w:rsidR="009D3231" w:rsidRPr="002B0DCC" w:rsidRDefault="009D3231" w:rsidP="004F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bCs w:val="0"/>
                <w:sz w:val="20"/>
                <w:szCs w:val="20"/>
                <w:lang w:val="en-GB" w:eastAsia="it-IT"/>
              </w:rPr>
              <w:t>MIN</w:t>
            </w:r>
          </w:p>
        </w:tc>
        <w:tc>
          <w:tcPr>
            <w:tcW w:w="1105" w:type="pct"/>
            <w:noWrap/>
            <w:hideMark/>
          </w:tcPr>
          <w:p w:rsidR="009D3231" w:rsidRPr="002B0DCC" w:rsidRDefault="009D3231" w:rsidP="004F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bCs w:val="0"/>
                <w:sz w:val="20"/>
                <w:szCs w:val="20"/>
                <w:lang w:val="en-GB" w:eastAsia="it-IT"/>
              </w:rPr>
              <w:t>MAX</w:t>
            </w:r>
          </w:p>
        </w:tc>
        <w:tc>
          <w:tcPr>
            <w:tcW w:w="743" w:type="pct"/>
          </w:tcPr>
          <w:p w:rsidR="009D3231" w:rsidRPr="006A0B1F" w:rsidRDefault="009D3231" w:rsidP="004F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GB" w:eastAsia="it-IT"/>
              </w:rPr>
            </w:pPr>
            <w:r w:rsidRPr="006A0B1F">
              <w:rPr>
                <w:rFonts w:ascii="Times New Roman" w:eastAsia="Times New Roman" w:hAnsi="Times New Roman"/>
                <w:bCs w:val="0"/>
                <w:sz w:val="20"/>
                <w:szCs w:val="20"/>
                <w:lang w:val="en-GB" w:eastAsia="it-IT"/>
              </w:rPr>
              <w:t>Source</w:t>
            </w:r>
          </w:p>
        </w:tc>
      </w:tr>
      <w:tr w:rsidR="009D3231" w:rsidRPr="002B0DCC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Waning rate</w:t>
            </w:r>
          </w:p>
        </w:tc>
        <w:tc>
          <w:tcPr>
            <w:tcW w:w="1644" w:type="pct"/>
            <w:tcBorders>
              <w:top w:val="none" w:sz="0" w:space="0" w:color="auto"/>
              <w:bottom w:val="none" w:sz="0" w:space="0" w:color="auto"/>
            </w:tcBorders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0%</w:t>
            </w:r>
          </w:p>
        </w:tc>
        <w:tc>
          <w:tcPr>
            <w:tcW w:w="1105" w:type="pct"/>
            <w:tcBorders>
              <w:top w:val="none" w:sz="0" w:space="0" w:color="auto"/>
              <w:bottom w:val="none" w:sz="0" w:space="0" w:color="auto"/>
            </w:tcBorders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10%</w:t>
            </w:r>
          </w:p>
        </w:tc>
        <w:tc>
          <w:tcPr>
            <w:tcW w:w="7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3231" w:rsidRPr="006A0B1F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Assumption</w:t>
            </w:r>
          </w:p>
        </w:tc>
      </w:tr>
      <w:tr w:rsidR="009D3231" w:rsidRPr="00C4330A" w:rsidTr="004F0D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Discount rates (costs)</w:t>
            </w:r>
          </w:p>
        </w:tc>
        <w:tc>
          <w:tcPr>
            <w:tcW w:w="1644" w:type="pct"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0%</w:t>
            </w:r>
          </w:p>
        </w:tc>
        <w:tc>
          <w:tcPr>
            <w:tcW w:w="1105" w:type="pct"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5%</w:t>
            </w:r>
          </w:p>
        </w:tc>
        <w:tc>
          <w:tcPr>
            <w:tcW w:w="743" w:type="pct"/>
          </w:tcPr>
          <w:p w:rsidR="009D3231" w:rsidRPr="006A0B1F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Assumption</w:t>
            </w:r>
          </w:p>
        </w:tc>
      </w:tr>
      <w:tr w:rsidR="009D3231" w:rsidRPr="00C4330A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Discount rates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utilities</w:t>
            </w: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644" w:type="pct"/>
            <w:tcBorders>
              <w:top w:val="none" w:sz="0" w:space="0" w:color="auto"/>
              <w:bottom w:val="none" w:sz="0" w:space="0" w:color="auto"/>
            </w:tcBorders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0%</w:t>
            </w:r>
          </w:p>
        </w:tc>
        <w:tc>
          <w:tcPr>
            <w:tcW w:w="1105" w:type="pct"/>
            <w:tcBorders>
              <w:top w:val="none" w:sz="0" w:space="0" w:color="auto"/>
              <w:bottom w:val="none" w:sz="0" w:space="0" w:color="auto"/>
            </w:tcBorders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5%</w:t>
            </w:r>
          </w:p>
        </w:tc>
        <w:tc>
          <w:tcPr>
            <w:tcW w:w="7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3231" w:rsidRPr="006A0B1F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Assumption</w:t>
            </w:r>
          </w:p>
        </w:tc>
      </w:tr>
      <w:tr w:rsidR="009D3231" w:rsidRPr="00C4330A" w:rsidTr="004F0D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Vaccine efficacy duration</w:t>
            </w:r>
          </w:p>
        </w:tc>
        <w:tc>
          <w:tcPr>
            <w:tcW w:w="1644" w:type="pct"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7,5 years (HZ), 5 years (PHN)</w:t>
            </w:r>
          </w:p>
        </w:tc>
        <w:tc>
          <w:tcPr>
            <w:tcW w:w="1105" w:type="pct"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20 years</w:t>
            </w:r>
          </w:p>
        </w:tc>
        <w:tc>
          <w:tcPr>
            <w:tcW w:w="743" w:type="pct"/>
          </w:tcPr>
          <w:p w:rsidR="009D3231" w:rsidRPr="006A0B1F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Assumption</w:t>
            </w:r>
          </w:p>
        </w:tc>
      </w:tr>
      <w:tr w:rsidR="009D3231" w:rsidRPr="00C4330A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D3231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Vaccine efficacy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HZ </w:t>
            </w:r>
          </w:p>
          <w:p w:rsidR="009D3231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(age cohort split)</w:t>
            </w:r>
          </w:p>
          <w:p w:rsidR="009D3231" w:rsidRPr="006A0B1F" w:rsidRDefault="009D3231" w:rsidP="004F0DAD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 w:eastAsia="it-IT"/>
              </w:rPr>
              <w:t>60-69</w:t>
            </w:r>
          </w:p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bCs w:val="0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 w:eastAsia="it-IT"/>
              </w:rPr>
              <w:t>70-79</w:t>
            </w:r>
          </w:p>
        </w:tc>
        <w:tc>
          <w:tcPr>
            <w:tcW w:w="1644" w:type="pct"/>
            <w:tcBorders>
              <w:top w:val="none" w:sz="0" w:space="0" w:color="auto"/>
              <w:bottom w:val="none" w:sz="0" w:space="0" w:color="auto"/>
            </w:tcBorders>
          </w:tcPr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Lower limit of 95%</w:t>
            </w: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56%</w:t>
            </w:r>
          </w:p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28%</w:t>
            </w:r>
          </w:p>
        </w:tc>
        <w:tc>
          <w:tcPr>
            <w:tcW w:w="1105" w:type="pct"/>
            <w:tcBorders>
              <w:top w:val="none" w:sz="0" w:space="0" w:color="auto"/>
              <w:bottom w:val="none" w:sz="0" w:space="0" w:color="auto"/>
            </w:tcBorders>
          </w:tcPr>
          <w:p w:rsidR="009D3231" w:rsidRDefault="009D3231" w:rsidP="004F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Upper</w:t>
            </w: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 limit of 95%</w:t>
            </w: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71%</w:t>
            </w:r>
          </w:p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52%</w:t>
            </w:r>
          </w:p>
        </w:tc>
        <w:tc>
          <w:tcPr>
            <w:tcW w:w="7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3231" w:rsidRPr="006A0B1F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[5]</w:t>
            </w:r>
          </w:p>
        </w:tc>
      </w:tr>
      <w:tr w:rsidR="009D3231" w:rsidRPr="00C4330A" w:rsidTr="004F0D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hideMark/>
          </w:tcPr>
          <w:p w:rsidR="009D3231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Vaccine efficacy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PHN</w:t>
            </w:r>
          </w:p>
          <w:p w:rsidR="009D3231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(age cohort split)</w:t>
            </w:r>
          </w:p>
          <w:p w:rsidR="009D3231" w:rsidRPr="006A0B1F" w:rsidRDefault="009D3231" w:rsidP="004F0DAD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 w:eastAsia="it-IT"/>
              </w:rPr>
              <w:t>60-69</w:t>
            </w:r>
          </w:p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bCs w:val="0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 w:eastAsia="it-IT"/>
              </w:rPr>
              <w:t>70-79</w:t>
            </w:r>
          </w:p>
        </w:tc>
        <w:tc>
          <w:tcPr>
            <w:tcW w:w="1644" w:type="pct"/>
          </w:tcPr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Lower limit of 95%</w:t>
            </w: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20.4%</w:t>
            </w:r>
          </w:p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43.3%</w:t>
            </w:r>
          </w:p>
        </w:tc>
        <w:tc>
          <w:tcPr>
            <w:tcW w:w="1105" w:type="pct"/>
          </w:tcPr>
          <w:p w:rsidR="009D3231" w:rsidRDefault="009D3231" w:rsidP="004F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Upper</w:t>
            </w: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 limit of 95%</w:t>
            </w:r>
          </w:p>
          <w:p w:rsidR="009D3231" w:rsidRDefault="009D3231" w:rsidP="004F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86.7%</w:t>
            </w:r>
          </w:p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81.3%</w:t>
            </w:r>
          </w:p>
        </w:tc>
        <w:tc>
          <w:tcPr>
            <w:tcW w:w="743" w:type="pct"/>
          </w:tcPr>
          <w:p w:rsidR="009D3231" w:rsidRPr="006A0B1F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6A0B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[5]</w:t>
            </w:r>
          </w:p>
        </w:tc>
      </w:tr>
      <w:tr w:rsidR="009D3231" w:rsidRPr="00C4330A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D3231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Utilities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 HZ (pain split)</w:t>
            </w:r>
          </w:p>
          <w:p w:rsidR="009D3231" w:rsidRPr="00473DA5" w:rsidRDefault="009D3231" w:rsidP="004F0DAD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  <w:t>No pain</w:t>
            </w:r>
          </w:p>
          <w:p w:rsidR="009D3231" w:rsidRPr="00473DA5" w:rsidRDefault="009D3231" w:rsidP="004F0DAD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  <w:t>Mild pain</w:t>
            </w:r>
          </w:p>
          <w:p w:rsidR="009D3231" w:rsidRPr="00473DA5" w:rsidRDefault="009D3231" w:rsidP="004F0DAD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  <w:t>Moderate pain</w:t>
            </w:r>
          </w:p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bCs w:val="0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  <w:t>Severe pain</w:t>
            </w:r>
          </w:p>
        </w:tc>
        <w:tc>
          <w:tcPr>
            <w:tcW w:w="1644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0.86</w:t>
            </w: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0.73</w:t>
            </w: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0.60</w:t>
            </w:r>
          </w:p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0.47</w:t>
            </w:r>
          </w:p>
        </w:tc>
        <w:tc>
          <w:tcPr>
            <w:tcW w:w="1105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0.86</w:t>
            </w: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0.77</w:t>
            </w:r>
          </w:p>
          <w:p w:rsidR="009D3231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0.68</w:t>
            </w:r>
          </w:p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0.55</w:t>
            </w:r>
          </w:p>
        </w:tc>
        <w:tc>
          <w:tcPr>
            <w:tcW w:w="7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3231" w:rsidRPr="00473DA5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Min [20]</w:t>
            </w:r>
          </w:p>
          <w:p w:rsidR="009D3231" w:rsidRPr="00E503B0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Max [23]</w:t>
            </w:r>
          </w:p>
        </w:tc>
      </w:tr>
      <w:tr w:rsidR="009D3231" w:rsidRPr="00C4330A" w:rsidTr="004F0D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hideMark/>
          </w:tcPr>
          <w:p w:rsidR="009D3231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Utilities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 xml:space="preserve"> PHN (pain split)</w:t>
            </w:r>
          </w:p>
          <w:p w:rsidR="009D3231" w:rsidRPr="00473DA5" w:rsidRDefault="009D3231" w:rsidP="004F0DAD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  <w:t>Mild pain</w:t>
            </w:r>
          </w:p>
          <w:p w:rsidR="009D3231" w:rsidRPr="00473DA5" w:rsidRDefault="009D3231" w:rsidP="004F0DAD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  <w:t>Moderate pain</w:t>
            </w:r>
          </w:p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val="en-US" w:eastAsia="it-IT"/>
              </w:rPr>
              <w:t>Severe pain</w:t>
            </w:r>
          </w:p>
        </w:tc>
        <w:tc>
          <w:tcPr>
            <w:tcW w:w="1644" w:type="pct"/>
            <w:noWrap/>
            <w:hideMark/>
          </w:tcPr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0.73</w:t>
            </w: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0.60</w:t>
            </w: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0.47</w:t>
            </w:r>
          </w:p>
        </w:tc>
        <w:tc>
          <w:tcPr>
            <w:tcW w:w="1105" w:type="pct"/>
            <w:noWrap/>
            <w:hideMark/>
          </w:tcPr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0.77</w:t>
            </w: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0.68</w:t>
            </w:r>
          </w:p>
          <w:p w:rsidR="009D3231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 xml:space="preserve">0.55 </w:t>
            </w:r>
          </w:p>
        </w:tc>
        <w:tc>
          <w:tcPr>
            <w:tcW w:w="743" w:type="pct"/>
          </w:tcPr>
          <w:p w:rsidR="009D3231" w:rsidRPr="00473DA5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Min [20]</w:t>
            </w:r>
          </w:p>
          <w:p w:rsidR="009D3231" w:rsidRPr="00E503B0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Max [23]</w:t>
            </w:r>
          </w:p>
        </w:tc>
      </w:tr>
      <w:tr w:rsidR="009D3231" w:rsidRPr="00C4330A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 xml:space="preserve">HZ Incidence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1644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0.0351%</w:t>
            </w:r>
          </w:p>
        </w:tc>
        <w:tc>
          <w:tcPr>
            <w:tcW w:w="1105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0.0720%</w:t>
            </w:r>
          </w:p>
        </w:tc>
        <w:tc>
          <w:tcPr>
            <w:tcW w:w="7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3231" w:rsidRPr="00473DA5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[4]</w:t>
            </w:r>
          </w:p>
        </w:tc>
      </w:tr>
      <w:tr w:rsidR="009D3231" w:rsidRPr="00C4330A" w:rsidTr="004F0D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 xml:space="preserve">PHN Incidence </w:t>
            </w:r>
          </w:p>
        </w:tc>
        <w:tc>
          <w:tcPr>
            <w:tcW w:w="1644" w:type="pct"/>
            <w:hideMark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14.30%</w:t>
            </w:r>
          </w:p>
        </w:tc>
        <w:tc>
          <w:tcPr>
            <w:tcW w:w="1105" w:type="pct"/>
            <w:hideMark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24.50%</w:t>
            </w:r>
          </w:p>
        </w:tc>
        <w:tc>
          <w:tcPr>
            <w:tcW w:w="743" w:type="pct"/>
          </w:tcPr>
          <w:p w:rsidR="009D3231" w:rsidRPr="00473DA5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[17]</w:t>
            </w:r>
          </w:p>
        </w:tc>
      </w:tr>
      <w:tr w:rsidR="009D3231" w:rsidRPr="00C4330A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Vaccine price</w:t>
            </w:r>
          </w:p>
        </w:tc>
        <w:tc>
          <w:tcPr>
            <w:tcW w:w="1644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€ 80</w:t>
            </w:r>
          </w:p>
        </w:tc>
        <w:tc>
          <w:tcPr>
            <w:tcW w:w="110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€ 120</w:t>
            </w:r>
          </w:p>
        </w:tc>
        <w:tc>
          <w:tcPr>
            <w:tcW w:w="7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3231" w:rsidRPr="00473DA5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Assumption</w:t>
            </w:r>
          </w:p>
        </w:tc>
      </w:tr>
      <w:tr w:rsidR="009D3231" w:rsidRPr="00C4330A" w:rsidTr="004F0D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Total costs</w:t>
            </w:r>
          </w:p>
        </w:tc>
        <w:tc>
          <w:tcPr>
            <w:tcW w:w="1644" w:type="pct"/>
            <w:hideMark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20% decrease</w:t>
            </w:r>
          </w:p>
        </w:tc>
        <w:tc>
          <w:tcPr>
            <w:tcW w:w="1105" w:type="pct"/>
            <w:hideMark/>
          </w:tcPr>
          <w:p w:rsidR="009D3231" w:rsidRPr="00C4330A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20% increase</w:t>
            </w:r>
          </w:p>
        </w:tc>
        <w:tc>
          <w:tcPr>
            <w:tcW w:w="743" w:type="pct"/>
          </w:tcPr>
          <w:p w:rsidR="009D3231" w:rsidRPr="00473DA5" w:rsidRDefault="009D3231" w:rsidP="004F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473D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Assumption</w:t>
            </w:r>
          </w:p>
        </w:tc>
      </w:tr>
      <w:tr w:rsidR="009D3231" w:rsidRPr="00C4330A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D3231" w:rsidRPr="00C4330A" w:rsidRDefault="009D3231" w:rsidP="004F0DAD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</w:pPr>
            <w:r w:rsidRPr="00C4330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it-IT"/>
              </w:rPr>
              <w:t>Method for utilities</w:t>
            </w:r>
          </w:p>
        </w:tc>
        <w:tc>
          <w:tcPr>
            <w:tcW w:w="1644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Additive</w:t>
            </w:r>
          </w:p>
        </w:tc>
        <w:tc>
          <w:tcPr>
            <w:tcW w:w="110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9D3231" w:rsidRPr="00C4330A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Multiplicative</w:t>
            </w:r>
          </w:p>
        </w:tc>
        <w:tc>
          <w:tcPr>
            <w:tcW w:w="7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3231" w:rsidRPr="00473DA5" w:rsidRDefault="009D3231" w:rsidP="004F0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[9</w:t>
            </w:r>
            <w:r w:rsidRPr="00473D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]</w:t>
            </w:r>
          </w:p>
        </w:tc>
      </w:tr>
    </w:tbl>
    <w:p w:rsidR="00023284" w:rsidRDefault="00023284"/>
    <w:sectPr w:rsidR="0002328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31"/>
    <w:rsid w:val="00023284"/>
    <w:rsid w:val="003F157F"/>
    <w:rsid w:val="00670260"/>
    <w:rsid w:val="009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23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9D3231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23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9D3231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Silvia Coretti</cp:lastModifiedBy>
  <cp:revision>1</cp:revision>
  <dcterms:created xsi:type="dcterms:W3CDTF">2016-04-29T11:32:00Z</dcterms:created>
  <dcterms:modified xsi:type="dcterms:W3CDTF">2016-04-29T11:32:00Z</dcterms:modified>
</cp:coreProperties>
</file>