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869" w:rsidRPr="002F7C21" w:rsidRDefault="00810DDC">
      <w:pPr>
        <w:spacing w:line="480" w:lineRule="auto"/>
        <w:rPr>
          <w:rFonts w:ascii="Arial" w:hAnsi="Arial" w:cs="Arial"/>
          <w:sz w:val="22"/>
          <w:szCs w:val="22"/>
        </w:rPr>
      </w:pPr>
      <w:r w:rsidRPr="002F7C21">
        <w:rPr>
          <w:rFonts w:ascii="Arial" w:hAnsi="Arial" w:cs="Arial"/>
          <w:sz w:val="22"/>
          <w:szCs w:val="22"/>
        </w:rPr>
        <w:t>Supplementary Table</w:t>
      </w:r>
      <w:r w:rsidR="00961DD4">
        <w:rPr>
          <w:rFonts w:ascii="Arial" w:hAnsi="Arial" w:cs="Arial"/>
          <w:sz w:val="22"/>
          <w:szCs w:val="22"/>
        </w:rPr>
        <w:t xml:space="preserve"> 1</w:t>
      </w:r>
      <w:r w:rsidR="001D2965">
        <w:rPr>
          <w:rFonts w:ascii="Arial" w:hAnsi="Arial" w:cs="Arial"/>
          <w:sz w:val="22"/>
          <w:szCs w:val="22"/>
        </w:rPr>
        <w:t>.</w:t>
      </w:r>
      <w:r w:rsidR="001D2965">
        <w:rPr>
          <w:rFonts w:ascii="Arial" w:hAnsi="Arial" w:cs="Arial"/>
          <w:sz w:val="22"/>
          <w:szCs w:val="22"/>
        </w:rPr>
        <w:tab/>
      </w:r>
      <w:r w:rsidR="00961DD4">
        <w:rPr>
          <w:rFonts w:ascii="Arial" w:hAnsi="Arial" w:cs="Arial"/>
          <w:sz w:val="22"/>
          <w:szCs w:val="22"/>
        </w:rPr>
        <w:t>Univariate sensitivity analyses performed</w:t>
      </w:r>
      <w:r w:rsidR="008E3EB5" w:rsidRPr="002F7C21">
        <w:rPr>
          <w:rFonts w:ascii="Arial" w:hAnsi="Arial" w:cs="Arial"/>
          <w:sz w:val="22"/>
          <w:szCs w:val="22"/>
        </w:rPr>
        <w:t xml:space="preserve"> </w:t>
      </w:r>
    </w:p>
    <w:tbl>
      <w:tblPr>
        <w:tblW w:w="12191" w:type="dxa"/>
        <w:tblBorders>
          <w:top w:val="single" w:sz="4" w:space="0" w:color="auto"/>
          <w:bottom w:val="single" w:sz="4" w:space="0" w:color="auto"/>
        </w:tblBorders>
        <w:tblLook w:val="04A0" w:firstRow="1" w:lastRow="0" w:firstColumn="1" w:lastColumn="0" w:noHBand="0" w:noVBand="1"/>
      </w:tblPr>
      <w:tblGrid>
        <w:gridCol w:w="4820"/>
        <w:gridCol w:w="7371"/>
      </w:tblGrid>
      <w:tr w:rsidR="00231665" w:rsidRPr="00231665" w:rsidTr="00231665">
        <w:trPr>
          <w:trHeight w:val="338"/>
        </w:trPr>
        <w:tc>
          <w:tcPr>
            <w:tcW w:w="4820" w:type="dxa"/>
            <w:tcBorders>
              <w:top w:val="single" w:sz="4" w:space="0" w:color="auto"/>
              <w:bottom w:val="single" w:sz="4" w:space="0" w:color="auto"/>
              <w:right w:val="nil"/>
            </w:tcBorders>
          </w:tcPr>
          <w:p w:rsidR="00B76EAD" w:rsidRPr="00231665" w:rsidRDefault="00B76EAD" w:rsidP="00B76EAD">
            <w:pPr>
              <w:spacing w:line="360" w:lineRule="auto"/>
              <w:rPr>
                <w:rFonts w:ascii="Arial" w:hAnsi="Arial" w:cs="Arial"/>
                <w:b/>
                <w:sz w:val="22"/>
                <w:szCs w:val="22"/>
                <w:lang w:val="en-AU"/>
              </w:rPr>
            </w:pPr>
            <w:r w:rsidRPr="00231665">
              <w:rPr>
                <w:rFonts w:ascii="Arial" w:hAnsi="Arial" w:cs="Arial"/>
                <w:b/>
                <w:sz w:val="22"/>
                <w:szCs w:val="22"/>
                <w:lang w:val="en-AU"/>
              </w:rPr>
              <w:t>Analyses conducted</w:t>
            </w:r>
          </w:p>
        </w:tc>
        <w:tc>
          <w:tcPr>
            <w:tcW w:w="7371" w:type="dxa"/>
            <w:tcBorders>
              <w:top w:val="single" w:sz="4" w:space="0" w:color="auto"/>
              <w:bottom w:val="single" w:sz="4" w:space="0" w:color="auto"/>
              <w:right w:val="nil"/>
            </w:tcBorders>
          </w:tcPr>
          <w:p w:rsidR="00B76EAD" w:rsidRPr="00231665" w:rsidRDefault="00B76EAD" w:rsidP="00B76EAD">
            <w:pPr>
              <w:spacing w:line="360" w:lineRule="auto"/>
              <w:rPr>
                <w:rFonts w:ascii="Arial" w:hAnsi="Arial" w:cs="Arial"/>
                <w:b/>
                <w:sz w:val="22"/>
                <w:szCs w:val="22"/>
                <w:lang w:val="en-AU"/>
              </w:rPr>
            </w:pPr>
            <w:r w:rsidRPr="00231665">
              <w:rPr>
                <w:rFonts w:ascii="Arial" w:hAnsi="Arial" w:cs="Arial"/>
                <w:b/>
                <w:sz w:val="22"/>
                <w:szCs w:val="22"/>
                <w:lang w:val="en-AU"/>
              </w:rPr>
              <w:t>Rationale for analysis</w:t>
            </w:r>
          </w:p>
        </w:tc>
      </w:tr>
      <w:tr w:rsidR="000C4A16" w:rsidRPr="00231665" w:rsidTr="00231665">
        <w:trPr>
          <w:trHeight w:val="379"/>
        </w:trPr>
        <w:tc>
          <w:tcPr>
            <w:tcW w:w="4820" w:type="dxa"/>
            <w:tcBorders>
              <w:top w:val="single" w:sz="4" w:space="0" w:color="auto"/>
              <w:bottom w:val="single" w:sz="4" w:space="0" w:color="auto"/>
              <w:right w:val="nil"/>
            </w:tcBorders>
          </w:tcPr>
          <w:p w:rsidR="000C4A16" w:rsidRPr="00231665" w:rsidRDefault="000C4A16" w:rsidP="000C4A16">
            <w:pPr>
              <w:spacing w:line="360" w:lineRule="auto"/>
              <w:rPr>
                <w:rFonts w:ascii="Arial" w:hAnsi="Arial" w:cs="Arial"/>
                <w:sz w:val="20"/>
                <w:szCs w:val="20"/>
              </w:rPr>
            </w:pPr>
            <w:r w:rsidRPr="00231665">
              <w:rPr>
                <w:rFonts w:ascii="Arial" w:hAnsi="Arial" w:cs="Arial"/>
                <w:sz w:val="20"/>
                <w:szCs w:val="20"/>
              </w:rPr>
              <w:t xml:space="preserve">A sensitivity analysis has been performed in which all patients start in the ‘no disease’ health state. </w:t>
            </w:r>
          </w:p>
          <w:p w:rsidR="000C4A16" w:rsidRPr="00231665" w:rsidRDefault="000C4A16" w:rsidP="000C4A16">
            <w:pPr>
              <w:spacing w:line="360" w:lineRule="auto"/>
              <w:rPr>
                <w:rFonts w:ascii="Arial" w:hAnsi="Arial" w:cs="Arial"/>
                <w:sz w:val="22"/>
                <w:szCs w:val="22"/>
                <w:lang w:val="en-AU"/>
              </w:rPr>
            </w:pPr>
          </w:p>
        </w:tc>
        <w:tc>
          <w:tcPr>
            <w:tcW w:w="7371" w:type="dxa"/>
            <w:tcBorders>
              <w:top w:val="single" w:sz="4" w:space="0" w:color="auto"/>
              <w:bottom w:val="single" w:sz="4" w:space="0" w:color="auto"/>
              <w:right w:val="nil"/>
            </w:tcBorders>
          </w:tcPr>
          <w:p w:rsidR="000C4A16" w:rsidRPr="00231665" w:rsidRDefault="000C4A16" w:rsidP="000C4A16">
            <w:pPr>
              <w:spacing w:line="360" w:lineRule="auto"/>
              <w:rPr>
                <w:rFonts w:ascii="Arial" w:hAnsi="Arial" w:cs="Arial"/>
                <w:sz w:val="20"/>
                <w:szCs w:val="20"/>
              </w:rPr>
            </w:pPr>
            <w:r w:rsidRPr="00231665">
              <w:rPr>
                <w:rFonts w:ascii="Arial" w:hAnsi="Arial" w:cs="Arial"/>
                <w:sz w:val="20"/>
                <w:szCs w:val="20"/>
              </w:rPr>
              <w:t xml:space="preserve">The starting distribution of the </w:t>
            </w:r>
            <w:r w:rsidR="006D4799">
              <w:rPr>
                <w:rFonts w:ascii="Arial" w:hAnsi="Arial" w:cs="Arial"/>
                <w:sz w:val="20"/>
                <w:szCs w:val="20"/>
              </w:rPr>
              <w:t>base</w:t>
            </w:r>
            <w:r w:rsidRPr="00231665">
              <w:rPr>
                <w:rFonts w:ascii="Arial" w:hAnsi="Arial" w:cs="Arial"/>
                <w:sz w:val="20"/>
                <w:szCs w:val="20"/>
              </w:rPr>
              <w:t>case modelled population among the Markov health states is based on AIHW data, and thus a substantial proportion of patients start the model in the ‘missing’ and ‘implant’ health states (Table 3 from Warren et al).  Given that these patients start the Markov process in advanced health states, the model structure does not allow them to undergo any new restorative events on that particular tooth, thus potentially underestimating the incidence of future dental interventions. In this sensitivity analysis, all patients start in the ‘no disease’ health state, allowing all patients to incur the risk of new restorative events.</w:t>
            </w:r>
          </w:p>
        </w:tc>
      </w:tr>
      <w:tr w:rsidR="000C4A16" w:rsidRPr="00231665" w:rsidTr="00231665">
        <w:trPr>
          <w:trHeight w:val="487"/>
        </w:trPr>
        <w:tc>
          <w:tcPr>
            <w:tcW w:w="4820" w:type="dxa"/>
            <w:tcBorders>
              <w:top w:val="single" w:sz="4" w:space="0" w:color="auto"/>
              <w:bottom w:val="single" w:sz="4" w:space="0" w:color="auto"/>
              <w:right w:val="nil"/>
            </w:tcBorders>
          </w:tcPr>
          <w:p w:rsidR="000C4A16" w:rsidRPr="00231665" w:rsidRDefault="000C4A16" w:rsidP="000C4A16">
            <w:pPr>
              <w:spacing w:line="360" w:lineRule="auto"/>
              <w:rPr>
                <w:rFonts w:ascii="Arial" w:hAnsi="Arial" w:cs="Arial"/>
                <w:sz w:val="20"/>
                <w:szCs w:val="20"/>
              </w:rPr>
            </w:pPr>
            <w:r w:rsidRPr="00231665">
              <w:rPr>
                <w:rFonts w:ascii="Arial" w:hAnsi="Arial" w:cs="Arial"/>
                <w:sz w:val="20"/>
                <w:szCs w:val="20"/>
              </w:rPr>
              <w:t>A sensitivity analysis has been conducted in which the risk of caries is increa</w:t>
            </w:r>
            <w:r>
              <w:rPr>
                <w:rFonts w:ascii="Arial" w:hAnsi="Arial" w:cs="Arial"/>
                <w:sz w:val="20"/>
                <w:szCs w:val="20"/>
              </w:rPr>
              <w:t>sed to represent one new caries</w:t>
            </w:r>
            <w:r w:rsidRPr="00231665">
              <w:rPr>
                <w:rFonts w:ascii="Arial" w:hAnsi="Arial" w:cs="Arial"/>
                <w:sz w:val="20"/>
                <w:szCs w:val="20"/>
              </w:rPr>
              <w:t xml:space="preserve"> lesion per year. </w:t>
            </w:r>
          </w:p>
          <w:p w:rsidR="000C4A16" w:rsidRPr="00231665" w:rsidRDefault="000C4A16" w:rsidP="000C4A16">
            <w:pPr>
              <w:spacing w:line="360" w:lineRule="auto"/>
              <w:rPr>
                <w:rFonts w:ascii="Arial" w:hAnsi="Arial" w:cs="Arial"/>
                <w:sz w:val="20"/>
                <w:szCs w:val="20"/>
              </w:rPr>
            </w:pPr>
          </w:p>
          <w:p w:rsidR="000C4A16" w:rsidRPr="00231665" w:rsidRDefault="000C4A16" w:rsidP="000C4A16">
            <w:pPr>
              <w:spacing w:line="360" w:lineRule="auto"/>
              <w:rPr>
                <w:rFonts w:ascii="Arial" w:hAnsi="Arial" w:cs="Arial"/>
                <w:sz w:val="22"/>
                <w:szCs w:val="22"/>
                <w:lang w:val="en-AU"/>
              </w:rPr>
            </w:pPr>
          </w:p>
        </w:tc>
        <w:tc>
          <w:tcPr>
            <w:tcW w:w="7371" w:type="dxa"/>
            <w:tcBorders>
              <w:top w:val="single" w:sz="4" w:space="0" w:color="auto"/>
              <w:bottom w:val="single" w:sz="4" w:space="0" w:color="auto"/>
              <w:right w:val="nil"/>
            </w:tcBorders>
          </w:tcPr>
          <w:p w:rsidR="000C4A16" w:rsidRPr="00231665" w:rsidRDefault="000C4A16" w:rsidP="000C4A16">
            <w:pPr>
              <w:spacing w:line="360" w:lineRule="auto"/>
              <w:rPr>
                <w:rFonts w:ascii="Arial" w:hAnsi="Arial" w:cs="Arial"/>
                <w:sz w:val="20"/>
                <w:szCs w:val="20"/>
              </w:rPr>
            </w:pPr>
            <w:r w:rsidRPr="00231665">
              <w:rPr>
                <w:rFonts w:ascii="Arial" w:hAnsi="Arial" w:cs="Arial"/>
                <w:sz w:val="20"/>
                <w:szCs w:val="20"/>
              </w:rPr>
              <w:t xml:space="preserve">The risk of dental caries observed in the standard care arm of the original three-year RCT might be lower than occurs in clinical practice. The results of the RCT (1) indicate that the underlying risk of dental caries in Australia is low (0.33 new lesions per year in the standard care arm), which is similar to that assumed in Bader et al. (11) for low-risk patients. The risk assessment proposed by Bader categorizes medium risk as development of at least one new </w:t>
            </w:r>
            <w:r>
              <w:rPr>
                <w:rFonts w:ascii="Arial" w:hAnsi="Arial" w:cs="Arial"/>
                <w:sz w:val="20"/>
                <w:szCs w:val="20"/>
              </w:rPr>
              <w:t>caries</w:t>
            </w:r>
            <w:r w:rsidRPr="00231665">
              <w:rPr>
                <w:rFonts w:ascii="Arial" w:hAnsi="Arial" w:cs="Arial"/>
                <w:sz w:val="20"/>
                <w:szCs w:val="20"/>
              </w:rPr>
              <w:t xml:space="preserve"> lesion per year while patients categorized as high risk would develop at least three new carious lesions per year.</w:t>
            </w:r>
          </w:p>
        </w:tc>
      </w:tr>
      <w:tr w:rsidR="000C4A16" w:rsidRPr="00231665" w:rsidTr="00231665">
        <w:trPr>
          <w:trHeight w:val="487"/>
        </w:trPr>
        <w:tc>
          <w:tcPr>
            <w:tcW w:w="4820" w:type="dxa"/>
            <w:tcBorders>
              <w:top w:val="single" w:sz="4" w:space="0" w:color="auto"/>
              <w:bottom w:val="single" w:sz="4" w:space="0" w:color="auto"/>
              <w:right w:val="nil"/>
            </w:tcBorders>
          </w:tcPr>
          <w:p w:rsidR="000C4A16" w:rsidRPr="00231665" w:rsidRDefault="000C4A16" w:rsidP="000C4A16">
            <w:pPr>
              <w:spacing w:line="360" w:lineRule="auto"/>
              <w:rPr>
                <w:rFonts w:ascii="Arial" w:hAnsi="Arial" w:cs="Arial"/>
                <w:sz w:val="20"/>
                <w:szCs w:val="20"/>
              </w:rPr>
            </w:pPr>
            <w:r w:rsidRPr="00747580">
              <w:rPr>
                <w:rFonts w:ascii="Arial" w:hAnsi="Arial" w:cs="Arial"/>
                <w:sz w:val="20"/>
                <w:szCs w:val="20"/>
              </w:rPr>
              <w:t>A sensitivity analysis has been conducted in which the rate of extractions is assumed to be the same between the two treatment groups.</w:t>
            </w:r>
          </w:p>
        </w:tc>
        <w:tc>
          <w:tcPr>
            <w:tcW w:w="7371" w:type="dxa"/>
            <w:tcBorders>
              <w:top w:val="single" w:sz="4" w:space="0" w:color="auto"/>
              <w:bottom w:val="single" w:sz="4" w:space="0" w:color="auto"/>
              <w:right w:val="nil"/>
            </w:tcBorders>
          </w:tcPr>
          <w:p w:rsidR="000C4A16" w:rsidRPr="00231665" w:rsidRDefault="000C4A16" w:rsidP="000C4A16">
            <w:pPr>
              <w:spacing w:line="360" w:lineRule="auto"/>
              <w:rPr>
                <w:rFonts w:ascii="Arial" w:hAnsi="Arial" w:cs="Arial"/>
                <w:sz w:val="20"/>
                <w:szCs w:val="20"/>
              </w:rPr>
            </w:pPr>
            <w:r>
              <w:rPr>
                <w:rFonts w:ascii="Arial" w:hAnsi="Arial" w:cs="Arial"/>
                <w:sz w:val="20"/>
                <w:szCs w:val="20"/>
              </w:rPr>
              <w:t>T</w:t>
            </w:r>
            <w:r w:rsidRPr="00704AD9">
              <w:rPr>
                <w:rFonts w:ascii="Arial" w:hAnsi="Arial" w:cs="Arial"/>
                <w:sz w:val="20"/>
                <w:szCs w:val="20"/>
              </w:rPr>
              <w:t>he model appears to accurately predict the number of extractions.</w:t>
            </w:r>
            <w:r>
              <w:rPr>
                <w:rFonts w:ascii="Arial" w:hAnsi="Arial" w:cs="Arial"/>
                <w:sz w:val="20"/>
                <w:szCs w:val="20"/>
              </w:rPr>
              <w:t xml:space="preserve"> </w:t>
            </w:r>
            <w:r w:rsidRPr="00704AD9">
              <w:rPr>
                <w:rFonts w:ascii="Arial" w:hAnsi="Arial" w:cs="Arial"/>
                <w:sz w:val="20"/>
                <w:szCs w:val="20"/>
              </w:rPr>
              <w:t xml:space="preserve">It is evident from the seven-year data in Table 1 that the number of extractions was not significantly reduced. In fact, at year seven, the number of extractions was significantly higher for the CMS arm. This anomaly is unlikely to be due to the CMS itself. It is most likely due to small sample sizes and/or occurred due to pre-existing conditions given that half of the CMS extractions occurred in the first three years.  To ensure consistency with the clinical data, the rate of extractions </w:t>
            </w:r>
            <w:r w:rsidRPr="00704AD9">
              <w:rPr>
                <w:rFonts w:ascii="Arial" w:hAnsi="Arial" w:cs="Arial"/>
                <w:sz w:val="20"/>
                <w:szCs w:val="20"/>
              </w:rPr>
              <w:lastRenderedPageBreak/>
              <w:t>was higher in the CMS arm than the rate in the standard care arm, even though this anomaly is unlikely to be observed in clinical practice.</w:t>
            </w:r>
            <w:r w:rsidR="006D4799">
              <w:rPr>
                <w:rFonts w:ascii="Arial" w:hAnsi="Arial" w:cs="Arial"/>
                <w:sz w:val="20"/>
                <w:szCs w:val="20"/>
              </w:rPr>
              <w:t xml:space="preserve"> However, a</w:t>
            </w:r>
            <w:r w:rsidR="006D4799" w:rsidRPr="00747580">
              <w:rPr>
                <w:rFonts w:ascii="Arial" w:hAnsi="Arial" w:cs="Arial"/>
                <w:sz w:val="20"/>
                <w:szCs w:val="20"/>
              </w:rPr>
              <w:t xml:space="preserve"> sensitivity analysis has been conducted in which the rate of extractions is assumed to be the same between the two treatment groups</w:t>
            </w:r>
            <w:r w:rsidR="006D4799">
              <w:rPr>
                <w:rFonts w:ascii="Arial" w:hAnsi="Arial" w:cs="Arial"/>
                <w:sz w:val="20"/>
                <w:szCs w:val="20"/>
              </w:rPr>
              <w:t xml:space="preserve"> to correct this </w:t>
            </w:r>
            <w:r w:rsidR="004F61C3">
              <w:rPr>
                <w:rFonts w:ascii="Arial" w:hAnsi="Arial" w:cs="Arial"/>
                <w:sz w:val="20"/>
                <w:szCs w:val="20"/>
              </w:rPr>
              <w:t>anomaly</w:t>
            </w:r>
            <w:bookmarkStart w:id="0" w:name="_GoBack"/>
            <w:bookmarkEnd w:id="0"/>
            <w:r w:rsidR="006D4799" w:rsidRPr="00747580">
              <w:rPr>
                <w:rFonts w:ascii="Arial" w:hAnsi="Arial" w:cs="Arial"/>
                <w:sz w:val="20"/>
                <w:szCs w:val="20"/>
              </w:rPr>
              <w:t>.</w:t>
            </w:r>
          </w:p>
        </w:tc>
      </w:tr>
      <w:tr w:rsidR="000C4A16" w:rsidRPr="00231665" w:rsidTr="00231665">
        <w:trPr>
          <w:trHeight w:val="1301"/>
        </w:trPr>
        <w:tc>
          <w:tcPr>
            <w:tcW w:w="4820" w:type="dxa"/>
            <w:tcBorders>
              <w:top w:val="single" w:sz="4" w:space="0" w:color="auto"/>
              <w:bottom w:val="single" w:sz="4" w:space="0" w:color="auto"/>
              <w:right w:val="nil"/>
            </w:tcBorders>
          </w:tcPr>
          <w:p w:rsidR="000C4A16" w:rsidRPr="00231665" w:rsidRDefault="00FF674A" w:rsidP="000C4A16">
            <w:pPr>
              <w:spacing w:line="360" w:lineRule="auto"/>
              <w:rPr>
                <w:rFonts w:ascii="Arial" w:hAnsi="Arial" w:cs="Arial"/>
                <w:sz w:val="20"/>
                <w:szCs w:val="20"/>
              </w:rPr>
            </w:pPr>
            <w:r w:rsidRPr="00747580">
              <w:rPr>
                <w:rFonts w:ascii="Arial" w:hAnsi="Arial" w:cs="Arial"/>
                <w:sz w:val="20"/>
                <w:szCs w:val="20"/>
              </w:rPr>
              <w:lastRenderedPageBreak/>
              <w:t xml:space="preserve">A sensitivity analysis has been conducted in which </w:t>
            </w:r>
            <w:r>
              <w:rPr>
                <w:rFonts w:ascii="Arial" w:hAnsi="Arial" w:cs="Arial"/>
                <w:sz w:val="20"/>
                <w:szCs w:val="20"/>
              </w:rPr>
              <w:t>t</w:t>
            </w:r>
            <w:r w:rsidR="000C4A16">
              <w:rPr>
                <w:rFonts w:ascii="Arial" w:hAnsi="Arial" w:cs="Arial"/>
                <w:sz w:val="20"/>
                <w:szCs w:val="20"/>
              </w:rPr>
              <w:t>he incremental benefit is maintained for 20 years</w:t>
            </w:r>
          </w:p>
        </w:tc>
        <w:tc>
          <w:tcPr>
            <w:tcW w:w="7371" w:type="dxa"/>
            <w:tcBorders>
              <w:top w:val="single" w:sz="4" w:space="0" w:color="auto"/>
              <w:bottom w:val="single" w:sz="4" w:space="0" w:color="auto"/>
              <w:right w:val="nil"/>
            </w:tcBorders>
          </w:tcPr>
          <w:p w:rsidR="000C4A16" w:rsidRPr="00231665" w:rsidRDefault="00E154C9" w:rsidP="00E154C9">
            <w:pPr>
              <w:spacing w:line="360" w:lineRule="auto"/>
              <w:rPr>
                <w:rFonts w:ascii="Arial" w:hAnsi="Arial" w:cs="Arial"/>
                <w:sz w:val="20"/>
                <w:szCs w:val="20"/>
              </w:rPr>
            </w:pPr>
            <w:r>
              <w:rPr>
                <w:rFonts w:ascii="Arial" w:hAnsi="Arial" w:cs="Arial"/>
                <w:sz w:val="20"/>
                <w:szCs w:val="20"/>
              </w:rPr>
              <w:t>In the basecase</w:t>
            </w:r>
            <w:r w:rsidRPr="00E154C9">
              <w:rPr>
                <w:rFonts w:ascii="Arial" w:hAnsi="Arial" w:cs="Arial"/>
                <w:sz w:val="20"/>
                <w:szCs w:val="20"/>
              </w:rPr>
              <w:t>, given the per-protocol analysis is restricted to those dentists that adhere to protocols, it is reasonable that the incremental benefit of the</w:t>
            </w:r>
            <w:r>
              <w:rPr>
                <w:rFonts w:ascii="Arial" w:hAnsi="Arial" w:cs="Arial"/>
                <w:sz w:val="20"/>
                <w:szCs w:val="20"/>
              </w:rPr>
              <w:t xml:space="preserve"> CMS is maintained indefinitely. However, i</w:t>
            </w:r>
            <w:r w:rsidRPr="00E154C9">
              <w:rPr>
                <w:rFonts w:ascii="Arial" w:hAnsi="Arial" w:cs="Arial"/>
                <w:sz w:val="20"/>
                <w:szCs w:val="20"/>
              </w:rPr>
              <w:t>n the earlier ITT model it was assumed that the incremental benefit of the CMS ceased at 20 years due to the level of less than perfect adherence over the duration of the RCT.</w:t>
            </w:r>
          </w:p>
        </w:tc>
      </w:tr>
      <w:tr w:rsidR="000C4A16" w:rsidRPr="00231665" w:rsidTr="00046652">
        <w:trPr>
          <w:trHeight w:val="983"/>
        </w:trPr>
        <w:tc>
          <w:tcPr>
            <w:tcW w:w="4820" w:type="dxa"/>
            <w:tcBorders>
              <w:top w:val="single" w:sz="4" w:space="0" w:color="auto"/>
              <w:bottom w:val="single" w:sz="4" w:space="0" w:color="auto"/>
              <w:right w:val="nil"/>
            </w:tcBorders>
          </w:tcPr>
          <w:p w:rsidR="000C4A16" w:rsidRDefault="00FF674A" w:rsidP="000C4A16">
            <w:pPr>
              <w:spacing w:line="360" w:lineRule="auto"/>
              <w:rPr>
                <w:rFonts w:ascii="Arial" w:hAnsi="Arial" w:cs="Arial"/>
                <w:sz w:val="20"/>
                <w:szCs w:val="20"/>
              </w:rPr>
            </w:pPr>
            <w:r w:rsidRPr="00747580">
              <w:rPr>
                <w:rFonts w:ascii="Arial" w:hAnsi="Arial" w:cs="Arial"/>
                <w:sz w:val="20"/>
                <w:szCs w:val="20"/>
              </w:rPr>
              <w:t xml:space="preserve">A sensitivity analysis has been conducted in which </w:t>
            </w:r>
            <w:r>
              <w:rPr>
                <w:rFonts w:ascii="Arial" w:hAnsi="Arial" w:cs="Arial"/>
                <w:sz w:val="20"/>
                <w:szCs w:val="20"/>
              </w:rPr>
              <w:t xml:space="preserve">the </w:t>
            </w:r>
            <w:r w:rsidR="000C4A16" w:rsidRPr="00590D8A">
              <w:rPr>
                <w:rFonts w:ascii="Arial" w:hAnsi="Arial" w:cs="Arial"/>
                <w:sz w:val="20"/>
              </w:rPr>
              <w:t>CMS assumed to ar</w:t>
            </w:r>
            <w:r w:rsidR="000C4A16">
              <w:rPr>
                <w:rFonts w:ascii="Arial" w:hAnsi="Arial" w:cs="Arial"/>
                <w:sz w:val="20"/>
              </w:rPr>
              <w:t>rest all new tooth decay and</w:t>
            </w:r>
            <w:r w:rsidR="000C4A16" w:rsidRPr="00590D8A">
              <w:rPr>
                <w:rFonts w:ascii="Arial" w:hAnsi="Arial" w:cs="Arial"/>
                <w:sz w:val="20"/>
              </w:rPr>
              <w:t xml:space="preserve"> </w:t>
            </w:r>
            <w:r w:rsidR="000C4A16">
              <w:rPr>
                <w:rFonts w:ascii="Arial" w:hAnsi="Arial" w:cs="Arial"/>
                <w:sz w:val="20"/>
              </w:rPr>
              <w:t xml:space="preserve">first-time </w:t>
            </w:r>
            <w:r w:rsidR="000C4A16" w:rsidRPr="00590D8A">
              <w:rPr>
                <w:rFonts w:ascii="Arial" w:hAnsi="Arial" w:cs="Arial"/>
                <w:sz w:val="20"/>
              </w:rPr>
              <w:t>fillings</w:t>
            </w:r>
          </w:p>
        </w:tc>
        <w:tc>
          <w:tcPr>
            <w:tcW w:w="7371" w:type="dxa"/>
            <w:tcBorders>
              <w:top w:val="single" w:sz="4" w:space="0" w:color="auto"/>
              <w:bottom w:val="single" w:sz="4" w:space="0" w:color="auto"/>
              <w:right w:val="nil"/>
            </w:tcBorders>
          </w:tcPr>
          <w:p w:rsidR="000C4A16" w:rsidRPr="00231665" w:rsidRDefault="00DA7240" w:rsidP="00DA7240">
            <w:pPr>
              <w:spacing w:line="360" w:lineRule="auto"/>
              <w:rPr>
                <w:rFonts w:ascii="Arial" w:hAnsi="Arial" w:cs="Arial"/>
                <w:sz w:val="20"/>
                <w:szCs w:val="20"/>
              </w:rPr>
            </w:pPr>
            <w:r w:rsidRPr="00704AD9">
              <w:rPr>
                <w:rFonts w:ascii="Arial" w:hAnsi="Arial" w:cs="Arial"/>
                <w:sz w:val="20"/>
                <w:szCs w:val="20"/>
              </w:rPr>
              <w:t>The treatment goal of the CMS is to stop the progression of existi</w:t>
            </w:r>
            <w:r>
              <w:rPr>
                <w:rFonts w:ascii="Arial" w:hAnsi="Arial" w:cs="Arial"/>
                <w:sz w:val="20"/>
                <w:szCs w:val="20"/>
              </w:rPr>
              <w:t>ng lesions, and prevent new lesions. Thus, it is possible that, if CMS protocols are followed stringently, all new tooth decay can be arrested.</w:t>
            </w:r>
          </w:p>
        </w:tc>
      </w:tr>
      <w:tr w:rsidR="000C4A16" w:rsidRPr="00231665" w:rsidTr="00046652">
        <w:trPr>
          <w:trHeight w:val="649"/>
        </w:trPr>
        <w:tc>
          <w:tcPr>
            <w:tcW w:w="4820" w:type="dxa"/>
            <w:tcBorders>
              <w:top w:val="single" w:sz="4" w:space="0" w:color="auto"/>
              <w:bottom w:val="single" w:sz="4" w:space="0" w:color="auto"/>
              <w:right w:val="nil"/>
            </w:tcBorders>
          </w:tcPr>
          <w:p w:rsidR="000C4A16" w:rsidRPr="00231665" w:rsidRDefault="000C4A16" w:rsidP="000C4A16">
            <w:pPr>
              <w:spacing w:line="360" w:lineRule="auto"/>
              <w:rPr>
                <w:rFonts w:ascii="Arial" w:hAnsi="Arial" w:cs="Arial"/>
                <w:sz w:val="20"/>
                <w:szCs w:val="20"/>
                <w:lang w:val="en-AU"/>
              </w:rPr>
            </w:pPr>
            <w:r w:rsidRPr="00231665">
              <w:rPr>
                <w:rFonts w:ascii="Arial" w:hAnsi="Arial" w:cs="Arial"/>
                <w:sz w:val="20"/>
                <w:szCs w:val="20"/>
              </w:rPr>
              <w:t xml:space="preserve">Estimation of the incremental cost per DMFT avoided. </w:t>
            </w:r>
          </w:p>
        </w:tc>
        <w:tc>
          <w:tcPr>
            <w:tcW w:w="7371" w:type="dxa"/>
            <w:tcBorders>
              <w:top w:val="single" w:sz="4" w:space="0" w:color="auto"/>
              <w:bottom w:val="single" w:sz="4" w:space="0" w:color="auto"/>
              <w:right w:val="nil"/>
            </w:tcBorders>
          </w:tcPr>
          <w:p w:rsidR="000C4A16" w:rsidRPr="00231665" w:rsidRDefault="008654E9" w:rsidP="0089530D">
            <w:pPr>
              <w:spacing w:line="360" w:lineRule="auto"/>
              <w:rPr>
                <w:rFonts w:ascii="Arial" w:hAnsi="Arial" w:cs="Arial"/>
                <w:sz w:val="20"/>
                <w:szCs w:val="20"/>
              </w:rPr>
            </w:pPr>
            <w:r w:rsidRPr="00E24B05">
              <w:rPr>
                <w:rFonts w:ascii="Arial" w:hAnsi="Arial" w:cs="Arial"/>
                <w:sz w:val="20"/>
                <w:szCs w:val="20"/>
              </w:rPr>
              <w:t xml:space="preserve">The computation of the patient’s </w:t>
            </w:r>
            <w:r w:rsidR="0089530D">
              <w:rPr>
                <w:rFonts w:ascii="Arial" w:hAnsi="Arial" w:cs="Arial"/>
                <w:sz w:val="20"/>
                <w:szCs w:val="20"/>
              </w:rPr>
              <w:t>outcome (restorative events incurred)</w:t>
            </w:r>
            <w:r w:rsidRPr="00E24B05">
              <w:rPr>
                <w:rFonts w:ascii="Arial" w:hAnsi="Arial" w:cs="Arial"/>
                <w:sz w:val="20"/>
                <w:szCs w:val="20"/>
              </w:rPr>
              <w:t xml:space="preserve"> differs slightly from the authors’ earlier model </w:t>
            </w:r>
            <w:r>
              <w:rPr>
                <w:rFonts w:ascii="Arial" w:hAnsi="Arial" w:cs="Arial"/>
                <w:sz w:val="20"/>
                <w:szCs w:val="20"/>
              </w:rPr>
              <w:t xml:space="preserve">(1) </w:t>
            </w:r>
            <w:r w:rsidRPr="00E24B05">
              <w:rPr>
                <w:rFonts w:ascii="Arial" w:hAnsi="Arial" w:cs="Arial"/>
                <w:sz w:val="20"/>
                <w:szCs w:val="20"/>
              </w:rPr>
              <w:t xml:space="preserve">in which a patient’s DMFT increment also increased when </w:t>
            </w:r>
            <w:r>
              <w:rPr>
                <w:rFonts w:ascii="Arial" w:hAnsi="Arial" w:cs="Arial"/>
                <w:sz w:val="20"/>
                <w:szCs w:val="20"/>
              </w:rPr>
              <w:t>patients</w:t>
            </w:r>
            <w:r w:rsidRPr="00E24B05">
              <w:rPr>
                <w:rFonts w:ascii="Arial" w:hAnsi="Arial" w:cs="Arial"/>
                <w:sz w:val="20"/>
                <w:szCs w:val="20"/>
              </w:rPr>
              <w:t xml:space="preserve"> entered a fourth health state, the enamel caries health state. </w:t>
            </w:r>
            <w:r w:rsidR="000C4A16" w:rsidRPr="00231665">
              <w:rPr>
                <w:rFonts w:ascii="Arial" w:hAnsi="Arial" w:cs="Arial"/>
                <w:sz w:val="20"/>
                <w:szCs w:val="20"/>
              </w:rPr>
              <w:t>Th</w:t>
            </w:r>
            <w:r w:rsidR="0089530D">
              <w:rPr>
                <w:rFonts w:ascii="Arial" w:hAnsi="Arial" w:cs="Arial"/>
                <w:sz w:val="20"/>
                <w:szCs w:val="20"/>
              </w:rPr>
              <w:t xml:space="preserve">is sensitivity analysis </w:t>
            </w:r>
            <w:r w:rsidR="000C4A16" w:rsidRPr="00231665">
              <w:rPr>
                <w:rFonts w:ascii="Arial" w:hAnsi="Arial" w:cs="Arial"/>
                <w:sz w:val="20"/>
                <w:szCs w:val="20"/>
              </w:rPr>
              <w:t>enables a comparison to be conducted with the results from the previous ITT analysis (1).</w:t>
            </w:r>
          </w:p>
        </w:tc>
      </w:tr>
      <w:tr w:rsidR="000C4A16" w:rsidRPr="00231665" w:rsidTr="00231665">
        <w:trPr>
          <w:trHeight w:val="1301"/>
        </w:trPr>
        <w:tc>
          <w:tcPr>
            <w:tcW w:w="4820" w:type="dxa"/>
            <w:tcBorders>
              <w:top w:val="single" w:sz="4" w:space="0" w:color="auto"/>
              <w:bottom w:val="single" w:sz="4" w:space="0" w:color="auto"/>
              <w:right w:val="nil"/>
            </w:tcBorders>
          </w:tcPr>
          <w:p w:rsidR="000C4A16" w:rsidRPr="00231665" w:rsidRDefault="000C4A16" w:rsidP="000C4A16">
            <w:pPr>
              <w:spacing w:line="360" w:lineRule="auto"/>
              <w:rPr>
                <w:rFonts w:ascii="Arial" w:hAnsi="Arial" w:cs="Arial"/>
                <w:sz w:val="22"/>
                <w:szCs w:val="22"/>
                <w:lang w:val="en-AU"/>
              </w:rPr>
            </w:pPr>
            <w:r w:rsidRPr="00231665">
              <w:rPr>
                <w:rFonts w:ascii="Arial" w:hAnsi="Arial" w:cs="Arial"/>
                <w:sz w:val="20"/>
                <w:szCs w:val="20"/>
              </w:rPr>
              <w:t xml:space="preserve">A sensitivity analysis has been conducted in which the frequency of monitoring caries activity in the CMS arm occurs half as regularly as per the base-case. </w:t>
            </w:r>
          </w:p>
        </w:tc>
        <w:tc>
          <w:tcPr>
            <w:tcW w:w="7371" w:type="dxa"/>
            <w:tcBorders>
              <w:top w:val="single" w:sz="4" w:space="0" w:color="auto"/>
              <w:bottom w:val="single" w:sz="4" w:space="0" w:color="auto"/>
              <w:right w:val="nil"/>
            </w:tcBorders>
          </w:tcPr>
          <w:p w:rsidR="000C4A16" w:rsidRPr="00231665" w:rsidRDefault="000C4A16" w:rsidP="000C4A16">
            <w:pPr>
              <w:spacing w:line="360" w:lineRule="auto"/>
              <w:rPr>
                <w:rFonts w:ascii="Arial" w:hAnsi="Arial" w:cs="Arial"/>
                <w:sz w:val="22"/>
                <w:szCs w:val="22"/>
                <w:lang w:val="en-AU"/>
              </w:rPr>
            </w:pPr>
            <w:r w:rsidRPr="00231665">
              <w:rPr>
                <w:rFonts w:ascii="Arial" w:hAnsi="Arial" w:cs="Arial"/>
                <w:sz w:val="20"/>
                <w:szCs w:val="20"/>
              </w:rPr>
              <w:t xml:space="preserve">The premise of the CMS is that regular monitoring of caries activity reduces the incidence of </w:t>
            </w:r>
            <w:r>
              <w:rPr>
                <w:rFonts w:ascii="Arial" w:hAnsi="Arial" w:cs="Arial"/>
                <w:sz w:val="20"/>
                <w:szCs w:val="20"/>
              </w:rPr>
              <w:t>caries</w:t>
            </w:r>
            <w:r w:rsidRPr="00231665">
              <w:rPr>
                <w:rFonts w:ascii="Arial" w:hAnsi="Arial" w:cs="Arial"/>
                <w:sz w:val="20"/>
                <w:szCs w:val="20"/>
              </w:rPr>
              <w:t xml:space="preserve"> lesions </w:t>
            </w:r>
            <w:r>
              <w:rPr>
                <w:rFonts w:ascii="Arial" w:hAnsi="Arial" w:cs="Arial"/>
                <w:sz w:val="20"/>
                <w:szCs w:val="20"/>
              </w:rPr>
              <w:t xml:space="preserve">(that is, new decay), </w:t>
            </w:r>
            <w:r w:rsidRPr="00231665">
              <w:rPr>
                <w:rFonts w:ascii="Arial" w:hAnsi="Arial" w:cs="Arial"/>
                <w:sz w:val="20"/>
                <w:szCs w:val="20"/>
              </w:rPr>
              <w:t xml:space="preserve">and results in fewer operative interventions. This is consistent with the results of post-trial follow-up in which visit frequencies during years 4-7 was lower in the CMS group (0.74) than the control group (0.83).  </w:t>
            </w:r>
          </w:p>
        </w:tc>
      </w:tr>
      <w:tr w:rsidR="000C4A16" w:rsidRPr="00231665" w:rsidTr="00046652">
        <w:trPr>
          <w:trHeight w:val="451"/>
        </w:trPr>
        <w:tc>
          <w:tcPr>
            <w:tcW w:w="4820" w:type="dxa"/>
            <w:tcBorders>
              <w:top w:val="single" w:sz="4" w:space="0" w:color="auto"/>
              <w:bottom w:val="single" w:sz="4" w:space="0" w:color="auto"/>
              <w:right w:val="nil"/>
            </w:tcBorders>
          </w:tcPr>
          <w:p w:rsidR="000C4A16" w:rsidRPr="00231665" w:rsidRDefault="000C4A16" w:rsidP="000C4A16">
            <w:pPr>
              <w:spacing w:line="360" w:lineRule="auto"/>
              <w:rPr>
                <w:rFonts w:ascii="Arial" w:hAnsi="Arial" w:cs="Arial"/>
                <w:sz w:val="20"/>
                <w:szCs w:val="20"/>
              </w:rPr>
            </w:pPr>
            <w:r>
              <w:rPr>
                <w:rFonts w:ascii="Arial" w:hAnsi="Arial" w:cs="Arial"/>
                <w:sz w:val="20"/>
                <w:szCs w:val="20"/>
              </w:rPr>
              <w:t>Undiscounted results</w:t>
            </w:r>
          </w:p>
        </w:tc>
        <w:tc>
          <w:tcPr>
            <w:tcW w:w="7371" w:type="dxa"/>
            <w:tcBorders>
              <w:top w:val="single" w:sz="4" w:space="0" w:color="auto"/>
              <w:bottom w:val="single" w:sz="4" w:space="0" w:color="auto"/>
              <w:right w:val="nil"/>
            </w:tcBorders>
          </w:tcPr>
          <w:p w:rsidR="000C4A16" w:rsidRPr="00231665" w:rsidRDefault="00963434" w:rsidP="00963434">
            <w:pPr>
              <w:spacing w:line="360" w:lineRule="auto"/>
              <w:rPr>
                <w:rFonts w:ascii="Arial" w:hAnsi="Arial" w:cs="Arial"/>
                <w:sz w:val="20"/>
                <w:szCs w:val="20"/>
              </w:rPr>
            </w:pPr>
            <w:r w:rsidRPr="00231665">
              <w:rPr>
                <w:rFonts w:ascii="Arial" w:hAnsi="Arial" w:cs="Arial"/>
                <w:sz w:val="20"/>
                <w:szCs w:val="20"/>
              </w:rPr>
              <w:t>The use of this cost-effectiveness ratio enables a comparison</w:t>
            </w:r>
            <w:r w:rsidR="00626778">
              <w:rPr>
                <w:rFonts w:ascii="Arial" w:hAnsi="Arial" w:cs="Arial"/>
                <w:sz w:val="20"/>
                <w:szCs w:val="20"/>
              </w:rPr>
              <w:t xml:space="preserve"> with health systems that use</w:t>
            </w:r>
            <w:r>
              <w:rPr>
                <w:rFonts w:ascii="Arial" w:hAnsi="Arial" w:cs="Arial"/>
                <w:sz w:val="20"/>
                <w:szCs w:val="20"/>
              </w:rPr>
              <w:t xml:space="preserve"> different discount rate</w:t>
            </w:r>
            <w:r w:rsidR="00626778">
              <w:rPr>
                <w:rFonts w:ascii="Arial" w:hAnsi="Arial" w:cs="Arial"/>
                <w:sz w:val="20"/>
                <w:szCs w:val="20"/>
              </w:rPr>
              <w:t>s</w:t>
            </w:r>
            <w:r>
              <w:rPr>
                <w:rFonts w:ascii="Arial" w:hAnsi="Arial" w:cs="Arial"/>
                <w:sz w:val="20"/>
                <w:szCs w:val="20"/>
              </w:rPr>
              <w:t>.</w:t>
            </w:r>
          </w:p>
        </w:tc>
      </w:tr>
    </w:tbl>
    <w:p w:rsidR="00AD68F2" w:rsidRDefault="00136367">
      <w:pPr>
        <w:spacing w:line="480" w:lineRule="auto"/>
        <w:rPr>
          <w:rFonts w:ascii="Arial" w:hAnsi="Arial" w:cs="Arial"/>
          <w:sz w:val="20"/>
          <w:lang w:val="en-AU"/>
        </w:rPr>
      </w:pPr>
      <w:r w:rsidRPr="00601C31">
        <w:rPr>
          <w:rFonts w:ascii="Arial" w:hAnsi="Arial" w:cs="Arial"/>
          <w:sz w:val="20"/>
          <w:szCs w:val="20"/>
          <w:lang w:val="en-AU"/>
        </w:rPr>
        <w:t>D = D</w:t>
      </w:r>
      <w:r w:rsidR="004A0E82" w:rsidRPr="00601C31">
        <w:rPr>
          <w:rFonts w:ascii="Arial" w:hAnsi="Arial" w:cs="Arial"/>
          <w:sz w:val="20"/>
          <w:szCs w:val="20"/>
          <w:lang w:val="en-AU"/>
        </w:rPr>
        <w:t>ecay</w:t>
      </w:r>
      <w:r w:rsidR="00A939CA">
        <w:rPr>
          <w:rFonts w:ascii="Arial" w:hAnsi="Arial" w:cs="Arial"/>
          <w:sz w:val="20"/>
          <w:szCs w:val="20"/>
          <w:lang w:val="en-AU"/>
        </w:rPr>
        <w:t>ed</w:t>
      </w:r>
      <w:r w:rsidR="004A0E82" w:rsidRPr="00601C31">
        <w:rPr>
          <w:rFonts w:ascii="Arial" w:hAnsi="Arial" w:cs="Arial"/>
          <w:sz w:val="20"/>
          <w:szCs w:val="20"/>
          <w:lang w:val="en-AU"/>
        </w:rPr>
        <w:t>; DMFT = Decay</w:t>
      </w:r>
      <w:r w:rsidR="00A939CA">
        <w:rPr>
          <w:rFonts w:ascii="Arial" w:hAnsi="Arial" w:cs="Arial"/>
          <w:sz w:val="20"/>
          <w:szCs w:val="20"/>
          <w:lang w:val="en-AU"/>
        </w:rPr>
        <w:t>ed</w:t>
      </w:r>
      <w:r w:rsidR="004A0E82" w:rsidRPr="00601C31">
        <w:rPr>
          <w:rFonts w:ascii="Arial" w:hAnsi="Arial" w:cs="Arial"/>
          <w:sz w:val="20"/>
          <w:szCs w:val="20"/>
          <w:lang w:val="en-AU"/>
        </w:rPr>
        <w:t xml:space="preserve">, Missing </w:t>
      </w:r>
      <w:r w:rsidR="00A939CA">
        <w:rPr>
          <w:rFonts w:ascii="Arial" w:hAnsi="Arial" w:cs="Arial"/>
          <w:sz w:val="20"/>
          <w:szCs w:val="20"/>
          <w:lang w:val="en-AU"/>
        </w:rPr>
        <w:t xml:space="preserve">and </w:t>
      </w:r>
      <w:r w:rsidR="004A0E82" w:rsidRPr="00601C31">
        <w:rPr>
          <w:rFonts w:ascii="Arial" w:hAnsi="Arial" w:cs="Arial"/>
          <w:sz w:val="20"/>
          <w:szCs w:val="20"/>
          <w:lang w:val="en-AU"/>
        </w:rPr>
        <w:t xml:space="preserve">Filled Teeth; </w:t>
      </w:r>
      <w:r w:rsidR="00671959" w:rsidRPr="00601C31">
        <w:rPr>
          <w:rFonts w:ascii="Arial" w:hAnsi="Arial" w:cs="Arial"/>
          <w:sz w:val="20"/>
          <w:szCs w:val="20"/>
          <w:lang w:val="en-AU"/>
        </w:rPr>
        <w:t>CMS = Caries Management System</w:t>
      </w:r>
    </w:p>
    <w:sectPr w:rsidR="00AD68F2" w:rsidSect="000106D2">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3B8" w:rsidRDefault="00CF23B8">
      <w:r>
        <w:separator/>
      </w:r>
    </w:p>
  </w:endnote>
  <w:endnote w:type="continuationSeparator" w:id="0">
    <w:p w:rsidR="00CF23B8" w:rsidRDefault="00CF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3B8" w:rsidRDefault="00CF23B8">
      <w:r>
        <w:separator/>
      </w:r>
    </w:p>
  </w:footnote>
  <w:footnote w:type="continuationSeparator" w:id="0">
    <w:p w:rsidR="00CF23B8" w:rsidRDefault="00CF23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56444"/>
    <w:multiLevelType w:val="hybridMultilevel"/>
    <w:tmpl w:val="1916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2A"/>
    <w:rsid w:val="000106D2"/>
    <w:rsid w:val="00016851"/>
    <w:rsid w:val="00046042"/>
    <w:rsid w:val="00046652"/>
    <w:rsid w:val="00065B7C"/>
    <w:rsid w:val="00097D11"/>
    <w:rsid w:val="000A59DB"/>
    <w:rsid w:val="000C38E0"/>
    <w:rsid w:val="000C4A16"/>
    <w:rsid w:val="000E25AB"/>
    <w:rsid w:val="000E772D"/>
    <w:rsid w:val="000F4587"/>
    <w:rsid w:val="000F4678"/>
    <w:rsid w:val="0010011F"/>
    <w:rsid w:val="00101BC6"/>
    <w:rsid w:val="00111DE8"/>
    <w:rsid w:val="0012083C"/>
    <w:rsid w:val="00125CA6"/>
    <w:rsid w:val="00136367"/>
    <w:rsid w:val="00146E4C"/>
    <w:rsid w:val="00154558"/>
    <w:rsid w:val="00161274"/>
    <w:rsid w:val="001632A3"/>
    <w:rsid w:val="0016393B"/>
    <w:rsid w:val="00165AE9"/>
    <w:rsid w:val="00170141"/>
    <w:rsid w:val="00174A90"/>
    <w:rsid w:val="001759BC"/>
    <w:rsid w:val="00180A42"/>
    <w:rsid w:val="001B4460"/>
    <w:rsid w:val="001D0FCB"/>
    <w:rsid w:val="001D125F"/>
    <w:rsid w:val="001D2965"/>
    <w:rsid w:val="001D5EDA"/>
    <w:rsid w:val="001D6338"/>
    <w:rsid w:val="001E2B18"/>
    <w:rsid w:val="001F5667"/>
    <w:rsid w:val="002170B2"/>
    <w:rsid w:val="00231665"/>
    <w:rsid w:val="00281C1E"/>
    <w:rsid w:val="00284F9E"/>
    <w:rsid w:val="002B20ED"/>
    <w:rsid w:val="002D4D40"/>
    <w:rsid w:val="002E6774"/>
    <w:rsid w:val="002F6A54"/>
    <w:rsid w:val="002F7C21"/>
    <w:rsid w:val="00322A8D"/>
    <w:rsid w:val="00331321"/>
    <w:rsid w:val="003357B1"/>
    <w:rsid w:val="00335ACD"/>
    <w:rsid w:val="003415C1"/>
    <w:rsid w:val="00343BC2"/>
    <w:rsid w:val="00361FDD"/>
    <w:rsid w:val="003857A1"/>
    <w:rsid w:val="00393796"/>
    <w:rsid w:val="00394FA8"/>
    <w:rsid w:val="003F0373"/>
    <w:rsid w:val="00407397"/>
    <w:rsid w:val="00422095"/>
    <w:rsid w:val="00423B11"/>
    <w:rsid w:val="004433F6"/>
    <w:rsid w:val="00451B1C"/>
    <w:rsid w:val="00480A7D"/>
    <w:rsid w:val="00481C38"/>
    <w:rsid w:val="00482C11"/>
    <w:rsid w:val="004A0E82"/>
    <w:rsid w:val="004A1869"/>
    <w:rsid w:val="004A30BE"/>
    <w:rsid w:val="004B53BF"/>
    <w:rsid w:val="004B6BA2"/>
    <w:rsid w:val="004C5A9B"/>
    <w:rsid w:val="004C6C6F"/>
    <w:rsid w:val="004E4D8A"/>
    <w:rsid w:val="004E71F3"/>
    <w:rsid w:val="004F61C3"/>
    <w:rsid w:val="005018C0"/>
    <w:rsid w:val="00502A47"/>
    <w:rsid w:val="005127E9"/>
    <w:rsid w:val="005228A2"/>
    <w:rsid w:val="00544400"/>
    <w:rsid w:val="00585FC0"/>
    <w:rsid w:val="005A6555"/>
    <w:rsid w:val="005B1C15"/>
    <w:rsid w:val="005C0195"/>
    <w:rsid w:val="005D4559"/>
    <w:rsid w:val="005D6CA9"/>
    <w:rsid w:val="005E3F2E"/>
    <w:rsid w:val="005F2909"/>
    <w:rsid w:val="006009D3"/>
    <w:rsid w:val="00601C31"/>
    <w:rsid w:val="00605648"/>
    <w:rsid w:val="006114B8"/>
    <w:rsid w:val="0062403A"/>
    <w:rsid w:val="0062631D"/>
    <w:rsid w:val="00626778"/>
    <w:rsid w:val="0063381B"/>
    <w:rsid w:val="00653A31"/>
    <w:rsid w:val="0066575B"/>
    <w:rsid w:val="00671959"/>
    <w:rsid w:val="00684B9B"/>
    <w:rsid w:val="006A0252"/>
    <w:rsid w:val="006A1520"/>
    <w:rsid w:val="006A264E"/>
    <w:rsid w:val="006B1CC4"/>
    <w:rsid w:val="006C1B9A"/>
    <w:rsid w:val="006C5763"/>
    <w:rsid w:val="006D43E9"/>
    <w:rsid w:val="006D4799"/>
    <w:rsid w:val="006D4DD7"/>
    <w:rsid w:val="006D71CA"/>
    <w:rsid w:val="006D7DA5"/>
    <w:rsid w:val="006E213E"/>
    <w:rsid w:val="006E5BB0"/>
    <w:rsid w:val="006F14F3"/>
    <w:rsid w:val="006F7667"/>
    <w:rsid w:val="00704CFE"/>
    <w:rsid w:val="00705496"/>
    <w:rsid w:val="007241D0"/>
    <w:rsid w:val="00734B28"/>
    <w:rsid w:val="00747580"/>
    <w:rsid w:val="00795032"/>
    <w:rsid w:val="0079671B"/>
    <w:rsid w:val="007C58BE"/>
    <w:rsid w:val="007F1002"/>
    <w:rsid w:val="007F15D5"/>
    <w:rsid w:val="007F2FB3"/>
    <w:rsid w:val="007F4913"/>
    <w:rsid w:val="007F58C3"/>
    <w:rsid w:val="00800624"/>
    <w:rsid w:val="00810DDC"/>
    <w:rsid w:val="008116C4"/>
    <w:rsid w:val="00813C1E"/>
    <w:rsid w:val="00817864"/>
    <w:rsid w:val="008654E9"/>
    <w:rsid w:val="008725B1"/>
    <w:rsid w:val="00873634"/>
    <w:rsid w:val="008938A3"/>
    <w:rsid w:val="0089530D"/>
    <w:rsid w:val="008C3FC9"/>
    <w:rsid w:val="008D1B53"/>
    <w:rsid w:val="008E3EB5"/>
    <w:rsid w:val="008F6490"/>
    <w:rsid w:val="008F6F86"/>
    <w:rsid w:val="00904EF0"/>
    <w:rsid w:val="00933317"/>
    <w:rsid w:val="00957650"/>
    <w:rsid w:val="00961DD4"/>
    <w:rsid w:val="00963434"/>
    <w:rsid w:val="0098321C"/>
    <w:rsid w:val="00983E4D"/>
    <w:rsid w:val="00992DE9"/>
    <w:rsid w:val="009B0679"/>
    <w:rsid w:val="009B72F9"/>
    <w:rsid w:val="009E6CFE"/>
    <w:rsid w:val="009E6E2B"/>
    <w:rsid w:val="009F5939"/>
    <w:rsid w:val="00A11403"/>
    <w:rsid w:val="00A12002"/>
    <w:rsid w:val="00A20D36"/>
    <w:rsid w:val="00A60075"/>
    <w:rsid w:val="00A6030B"/>
    <w:rsid w:val="00A66344"/>
    <w:rsid w:val="00A772A4"/>
    <w:rsid w:val="00A939CA"/>
    <w:rsid w:val="00AA64E6"/>
    <w:rsid w:val="00AB39E4"/>
    <w:rsid w:val="00AB4B2B"/>
    <w:rsid w:val="00AC7A0E"/>
    <w:rsid w:val="00AD68F2"/>
    <w:rsid w:val="00AD6EFE"/>
    <w:rsid w:val="00AE168D"/>
    <w:rsid w:val="00AE6D19"/>
    <w:rsid w:val="00B01A8F"/>
    <w:rsid w:val="00B209D0"/>
    <w:rsid w:val="00B23AC0"/>
    <w:rsid w:val="00B30FF0"/>
    <w:rsid w:val="00B33C07"/>
    <w:rsid w:val="00B55B19"/>
    <w:rsid w:val="00B63791"/>
    <w:rsid w:val="00B76EAD"/>
    <w:rsid w:val="00B872F9"/>
    <w:rsid w:val="00B92CA9"/>
    <w:rsid w:val="00BB280A"/>
    <w:rsid w:val="00BB5FDA"/>
    <w:rsid w:val="00BE0585"/>
    <w:rsid w:val="00BF46F8"/>
    <w:rsid w:val="00BF6067"/>
    <w:rsid w:val="00C05F82"/>
    <w:rsid w:val="00C434F5"/>
    <w:rsid w:val="00C4673F"/>
    <w:rsid w:val="00C82258"/>
    <w:rsid w:val="00C8425A"/>
    <w:rsid w:val="00C94088"/>
    <w:rsid w:val="00C94E98"/>
    <w:rsid w:val="00CC3B49"/>
    <w:rsid w:val="00CE284B"/>
    <w:rsid w:val="00CE39E1"/>
    <w:rsid w:val="00CE62C2"/>
    <w:rsid w:val="00CF17FE"/>
    <w:rsid w:val="00CF23B8"/>
    <w:rsid w:val="00CF45D9"/>
    <w:rsid w:val="00CF68EA"/>
    <w:rsid w:val="00CF6BD1"/>
    <w:rsid w:val="00D045E0"/>
    <w:rsid w:val="00D11E23"/>
    <w:rsid w:val="00D50FDB"/>
    <w:rsid w:val="00D5309A"/>
    <w:rsid w:val="00D61572"/>
    <w:rsid w:val="00D65F88"/>
    <w:rsid w:val="00D67518"/>
    <w:rsid w:val="00D71BE8"/>
    <w:rsid w:val="00D73F04"/>
    <w:rsid w:val="00D7675E"/>
    <w:rsid w:val="00D802D1"/>
    <w:rsid w:val="00DA7240"/>
    <w:rsid w:val="00DD58C5"/>
    <w:rsid w:val="00DF5F7B"/>
    <w:rsid w:val="00E07F2A"/>
    <w:rsid w:val="00E11E40"/>
    <w:rsid w:val="00E154C9"/>
    <w:rsid w:val="00E15E0A"/>
    <w:rsid w:val="00E27B41"/>
    <w:rsid w:val="00E3064A"/>
    <w:rsid w:val="00E31531"/>
    <w:rsid w:val="00E34622"/>
    <w:rsid w:val="00E37D29"/>
    <w:rsid w:val="00E400B3"/>
    <w:rsid w:val="00E45FA9"/>
    <w:rsid w:val="00E52B62"/>
    <w:rsid w:val="00E5386E"/>
    <w:rsid w:val="00E54023"/>
    <w:rsid w:val="00E556A5"/>
    <w:rsid w:val="00E55F1D"/>
    <w:rsid w:val="00E63A41"/>
    <w:rsid w:val="00E73383"/>
    <w:rsid w:val="00E74C5F"/>
    <w:rsid w:val="00EA20DC"/>
    <w:rsid w:val="00EB3A15"/>
    <w:rsid w:val="00EB5C93"/>
    <w:rsid w:val="00EB6543"/>
    <w:rsid w:val="00EE5B7E"/>
    <w:rsid w:val="00EE7017"/>
    <w:rsid w:val="00F077CA"/>
    <w:rsid w:val="00F301A7"/>
    <w:rsid w:val="00F55F72"/>
    <w:rsid w:val="00F671A2"/>
    <w:rsid w:val="00F70912"/>
    <w:rsid w:val="00F71691"/>
    <w:rsid w:val="00F76E52"/>
    <w:rsid w:val="00F80CBC"/>
    <w:rsid w:val="00F901D1"/>
    <w:rsid w:val="00F90A76"/>
    <w:rsid w:val="00FA529B"/>
    <w:rsid w:val="00FB56C6"/>
    <w:rsid w:val="00FF3350"/>
    <w:rsid w:val="00FF58B6"/>
    <w:rsid w:val="00FF67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F1EFD-EB92-4987-AA1E-832F7FE3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eastAsia="Times New Roman" w:hAnsi="Times New Roman"/>
      <w:sz w:val="24"/>
      <w:szCs w:val="24"/>
      <w:lang w:val="en-US" w:eastAsia="en-US"/>
    </w:rPr>
  </w:style>
  <w:style w:type="paragraph" w:styleId="Heading3">
    <w:name w:val="heading 3"/>
    <w:basedOn w:val="Normal"/>
    <w:next w:val="Normal"/>
    <w:qFormat/>
    <w:pPr>
      <w:keepNext/>
      <w:spacing w:before="240" w:after="60"/>
      <w:outlineLvl w:val="2"/>
    </w:pPr>
    <w:rPr>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character" w:customStyle="1" w:styleId="BodyTextChar">
    <w:name w:val="Body Text Char"/>
    <w:basedOn w:val="DefaultParagraphFont"/>
    <w:rPr>
      <w:rFonts w:ascii="Times New Roman" w:eastAsia="Times New Roman" w:hAnsi="Times New Roman" w:cs="Times New Roman"/>
      <w:sz w:val="24"/>
      <w:szCs w:val="24"/>
      <w:lang w:val="en-US"/>
    </w:rPr>
  </w:style>
  <w:style w:type="character" w:customStyle="1" w:styleId="name">
    <w:name w:val="name"/>
    <w:basedOn w:val="DefaultParagraphFont"/>
  </w:style>
  <w:style w:type="character" w:customStyle="1" w:styleId="surname">
    <w:name w:val="surname"/>
    <w:basedOn w:val="DefaultParagraphFont"/>
  </w:style>
  <w:style w:type="paragraph" w:styleId="HTMLPreformatted">
    <w:name w:val="HTML Preformatted"/>
    <w:basedOn w:val="Normal"/>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MS Mincho" w:hAnsi="Courier New" w:cs="Courier New"/>
      <w:sz w:val="20"/>
      <w:szCs w:val="20"/>
      <w:lang w:eastAsia="ja-JP"/>
    </w:rPr>
  </w:style>
  <w:style w:type="paragraph" w:styleId="CommentSubject">
    <w:name w:val="annotation subject"/>
    <w:basedOn w:val="CommentText"/>
    <w:next w:val="CommentText"/>
    <w:unhideWhenUsed/>
    <w:rPr>
      <w:b/>
      <w:bCs/>
      <w:lang w:val="en-AU"/>
    </w:rPr>
  </w:style>
  <w:style w:type="paragraph" w:styleId="CommentText">
    <w:name w:val="annotation text"/>
    <w:basedOn w:val="Normal"/>
    <w:semiHidden/>
    <w:rPr>
      <w:sz w:val="20"/>
      <w:szCs w:val="20"/>
    </w:rPr>
  </w:style>
  <w:style w:type="paragraph" w:styleId="Header">
    <w:name w:val="header"/>
    <w:basedOn w:val="Normal"/>
    <w:semiHidden/>
    <w:pPr>
      <w:tabs>
        <w:tab w:val="center" w:pos="4320"/>
        <w:tab w:val="right" w:pos="8640"/>
      </w:tabs>
      <w:autoSpaceDE/>
      <w:autoSpaceDN/>
    </w:pPr>
    <w:rPr>
      <w:rFonts w:ascii="Bookman Old Style" w:hAnsi="Bookman Old Style"/>
      <w:sz w:val="22"/>
      <w:szCs w:val="22"/>
    </w:rPr>
  </w:style>
  <w:style w:type="paragraph" w:customStyle="1" w:styleId="xl66">
    <w:name w:val="xl66"/>
    <w:basedOn w:val="Normal"/>
    <w:pPr>
      <w:autoSpaceDE/>
      <w:autoSpaceDN/>
      <w:spacing w:before="100" w:beforeAutospacing="1" w:after="100" w:afterAutospacing="1"/>
      <w:jc w:val="center"/>
      <w:textAlignment w:val="top"/>
    </w:pPr>
    <w:rPr>
      <w:rFonts w:ascii="Arial" w:eastAsia="Arial Unicode MS" w:hAnsi="Arial" w:cs="Arial"/>
      <w:lang w:val="en-AU"/>
    </w:rPr>
  </w:style>
  <w:style w:type="character" w:styleId="CommentReference">
    <w:name w:val="annotation reference"/>
    <w:basedOn w:val="DefaultParagraphFont"/>
    <w:uiPriority w:val="99"/>
    <w:semiHidden/>
    <w:unhideWhenUsed/>
    <w:rsid w:val="00605648"/>
    <w:rPr>
      <w:sz w:val="16"/>
      <w:szCs w:val="16"/>
    </w:rPr>
  </w:style>
  <w:style w:type="paragraph" w:styleId="BalloonText">
    <w:name w:val="Balloon Text"/>
    <w:basedOn w:val="Normal"/>
    <w:link w:val="BalloonTextChar"/>
    <w:uiPriority w:val="99"/>
    <w:semiHidden/>
    <w:unhideWhenUsed/>
    <w:rsid w:val="00605648"/>
    <w:rPr>
      <w:rFonts w:ascii="Tahoma" w:hAnsi="Tahoma" w:cs="Tahoma"/>
      <w:sz w:val="16"/>
      <w:szCs w:val="16"/>
    </w:rPr>
  </w:style>
  <w:style w:type="character" w:customStyle="1" w:styleId="BalloonTextChar">
    <w:name w:val="Balloon Text Char"/>
    <w:basedOn w:val="DefaultParagraphFont"/>
    <w:link w:val="BalloonText"/>
    <w:uiPriority w:val="99"/>
    <w:semiHidden/>
    <w:rsid w:val="00605648"/>
    <w:rPr>
      <w:rFonts w:ascii="Tahoma" w:eastAsia="Times New Roman" w:hAnsi="Tahoma" w:cs="Tahoma"/>
      <w:sz w:val="16"/>
      <w:szCs w:val="16"/>
    </w:rPr>
  </w:style>
  <w:style w:type="character" w:styleId="Emphasis">
    <w:name w:val="Emphasis"/>
    <w:basedOn w:val="DefaultParagraphFont"/>
    <w:uiPriority w:val="20"/>
    <w:qFormat/>
    <w:rsid w:val="00D73F04"/>
    <w:rPr>
      <w:i/>
      <w:iCs/>
    </w:rPr>
  </w:style>
  <w:style w:type="paragraph" w:styleId="Footer">
    <w:name w:val="footer"/>
    <w:basedOn w:val="Normal"/>
    <w:rsid w:val="002D4D40"/>
    <w:pPr>
      <w:tabs>
        <w:tab w:val="center" w:pos="4320"/>
        <w:tab w:val="right" w:pos="8640"/>
      </w:tabs>
    </w:pPr>
  </w:style>
  <w:style w:type="character" w:styleId="PageNumber">
    <w:name w:val="page number"/>
    <w:basedOn w:val="DefaultParagraphFont"/>
    <w:rsid w:val="002D4D40"/>
  </w:style>
  <w:style w:type="character" w:styleId="Hyperlink">
    <w:name w:val="Hyperlink"/>
    <w:basedOn w:val="DefaultParagraphFont"/>
    <w:uiPriority w:val="99"/>
    <w:unhideWhenUsed/>
    <w:rsid w:val="00AE16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25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Modeling the long-term cost-effectiveness of the Caries Management System in an Australian population</vt:lpstr>
    </vt:vector>
  </TitlesOfParts>
  <Company>Johnson &amp; Johnson</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the long-term cost-effectiveness of the Caries Management System in an Australian population</dc:title>
  <dc:subject/>
  <dc:creator>ewarren2</dc:creator>
  <cp:keywords/>
  <dc:description/>
  <cp:lastModifiedBy>Emma Warren</cp:lastModifiedBy>
  <cp:revision>19</cp:revision>
  <cp:lastPrinted>2015-05-28T01:33:00Z</cp:lastPrinted>
  <dcterms:created xsi:type="dcterms:W3CDTF">2015-11-19T05:06:00Z</dcterms:created>
  <dcterms:modified xsi:type="dcterms:W3CDTF">2015-12-03T05:52:00Z</dcterms:modified>
</cp:coreProperties>
</file>