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58D" w:rsidRPr="000F79D8" w:rsidRDefault="00662C6C">
      <w:pPr>
        <w:rPr>
          <w:rFonts w:ascii="Times New Roman" w:hAnsi="Times New Roman" w:cs="Times New Roman"/>
          <w:b/>
          <w:sz w:val="20"/>
        </w:rPr>
      </w:pPr>
      <w:r w:rsidRPr="000F79D8">
        <w:rPr>
          <w:rFonts w:ascii="Times New Roman" w:hAnsi="Times New Roman" w:cs="Times New Roman"/>
          <w:b/>
          <w:sz w:val="20"/>
        </w:rPr>
        <w:t xml:space="preserve">Supplementary </w:t>
      </w:r>
      <w:r w:rsidR="000F79D8" w:rsidRPr="000F79D8">
        <w:rPr>
          <w:rFonts w:ascii="Times New Roman" w:hAnsi="Times New Roman" w:cs="Times New Roman"/>
          <w:b/>
          <w:sz w:val="20"/>
        </w:rPr>
        <w:t>table</w:t>
      </w:r>
      <w:r w:rsidRPr="000F79D8">
        <w:rPr>
          <w:rFonts w:ascii="Times New Roman" w:hAnsi="Times New Roman" w:cs="Times New Roman"/>
          <w:b/>
          <w:sz w:val="20"/>
        </w:rPr>
        <w:t xml:space="preserve"> </w:t>
      </w:r>
      <w:r w:rsidR="000F79D8" w:rsidRPr="000F79D8">
        <w:rPr>
          <w:rFonts w:ascii="Times New Roman" w:hAnsi="Times New Roman" w:cs="Times New Roman"/>
          <w:b/>
          <w:sz w:val="20"/>
        </w:rPr>
        <w:t>2</w:t>
      </w:r>
      <w:r w:rsidRPr="000F79D8">
        <w:rPr>
          <w:rFonts w:ascii="Times New Roman" w:hAnsi="Times New Roman" w:cs="Times New Roman"/>
          <w:b/>
          <w:sz w:val="20"/>
        </w:rPr>
        <w:t xml:space="preserve"> Guiding principles for good practices in HB-HTA units by level of </w:t>
      </w:r>
      <w:r w:rsidR="000F79D8">
        <w:rPr>
          <w:rFonts w:ascii="Times New Roman" w:hAnsi="Times New Roman" w:cs="Times New Roman"/>
          <w:b/>
          <w:sz w:val="20"/>
        </w:rPr>
        <w:t>consensus and importance rating assigned by Delphi panel*</w:t>
      </w:r>
    </w:p>
    <w:tbl>
      <w:tblPr>
        <w:tblW w:w="4654" w:type="pct"/>
        <w:jc w:val="center"/>
        <w:tblInd w:w="5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3"/>
        <w:gridCol w:w="544"/>
        <w:gridCol w:w="3508"/>
        <w:gridCol w:w="3602"/>
      </w:tblGrid>
      <w:tr w:rsidR="00662C6C" w:rsidRPr="00662C6C" w:rsidTr="000F79D8">
        <w:trPr>
          <w:trHeight w:val="435"/>
          <w:tblHeader/>
          <w:jc w:val="center"/>
        </w:trPr>
        <w:tc>
          <w:tcPr>
            <w:tcW w:w="620" w:type="pct"/>
            <w:gridSpan w:val="2"/>
            <w:vMerge w:val="restart"/>
            <w:tcBorders>
              <w:right w:val="single" w:sz="2" w:space="0" w:color="auto"/>
            </w:tcBorders>
            <w:shd w:val="clear" w:color="auto" w:fill="auto"/>
          </w:tcPr>
          <w:p w:rsidR="00662C6C" w:rsidRPr="00662C6C" w:rsidRDefault="00662C6C" w:rsidP="00146E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38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  <w:vAlign w:val="center"/>
          </w:tcPr>
          <w:p w:rsidR="00662C6C" w:rsidRPr="000F79D8" w:rsidRDefault="00662C6C" w:rsidP="00146E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16"/>
              </w:rPr>
            </w:pPr>
            <w:r w:rsidRPr="000F79D8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16"/>
              </w:rPr>
              <w:t>Importance rating*</w:t>
            </w:r>
            <w:r w:rsidR="000F79D8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16"/>
              </w:rPr>
              <w:t>*</w:t>
            </w:r>
          </w:p>
        </w:tc>
      </w:tr>
      <w:tr w:rsidR="00662C6C" w:rsidRPr="00662C6C" w:rsidTr="000F79D8">
        <w:trPr>
          <w:trHeight w:val="349"/>
          <w:tblHeader/>
          <w:jc w:val="center"/>
        </w:trPr>
        <w:tc>
          <w:tcPr>
            <w:tcW w:w="620" w:type="pct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btLr"/>
          </w:tcPr>
          <w:p w:rsidR="00662C6C" w:rsidRPr="00662C6C" w:rsidRDefault="00662C6C" w:rsidP="00146E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62C6C" w:rsidRPr="00887813" w:rsidRDefault="00662C6C" w:rsidP="00146E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87813">
              <w:rPr>
                <w:rFonts w:ascii="Times New Roman" w:hAnsi="Times New Roman" w:cs="Times New Roman"/>
                <w:b/>
                <w:sz w:val="18"/>
                <w:szCs w:val="16"/>
              </w:rPr>
              <w:t>Most important</w:t>
            </w:r>
          </w:p>
        </w:tc>
        <w:tc>
          <w:tcPr>
            <w:tcW w:w="22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62C6C" w:rsidRPr="00887813" w:rsidRDefault="00662C6C" w:rsidP="00146E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87813">
              <w:rPr>
                <w:rFonts w:ascii="Times New Roman" w:hAnsi="Times New Roman" w:cs="Times New Roman"/>
                <w:b/>
                <w:sz w:val="18"/>
                <w:szCs w:val="16"/>
              </w:rPr>
              <w:t>Less important</w:t>
            </w:r>
          </w:p>
        </w:tc>
      </w:tr>
      <w:tr w:rsidR="00662C6C" w:rsidRPr="00662C6C" w:rsidTr="000F79D8">
        <w:trPr>
          <w:cantSplit/>
          <w:trHeight w:val="1933"/>
          <w:jc w:val="center"/>
        </w:trPr>
        <w:tc>
          <w:tcPr>
            <w:tcW w:w="28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:rsidR="00662C6C" w:rsidRPr="000F79D8" w:rsidRDefault="00662C6C" w:rsidP="00146E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16"/>
              </w:rPr>
            </w:pPr>
            <w:r w:rsidRPr="000F79D8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16"/>
              </w:rPr>
              <w:t>Level of consensus**</w:t>
            </w:r>
            <w:r w:rsidR="000F79D8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16"/>
              </w:rPr>
              <w:t>*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662C6C" w:rsidRPr="00887813" w:rsidRDefault="00662C6C" w:rsidP="00146E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87813">
              <w:rPr>
                <w:rFonts w:ascii="Times New Roman" w:hAnsi="Times New Roman" w:cs="Times New Roman"/>
                <w:b/>
                <w:sz w:val="18"/>
                <w:szCs w:val="16"/>
              </w:rPr>
              <w:t>High</w:t>
            </w:r>
          </w:p>
        </w:tc>
        <w:tc>
          <w:tcPr>
            <w:tcW w:w="21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62C6C" w:rsidRPr="00662C6C" w:rsidRDefault="00662C6C" w:rsidP="00146E77">
            <w:pPr>
              <w:spacing w:before="120" w:after="20"/>
              <w:rPr>
                <w:rFonts w:ascii="Times New Roman" w:hAnsi="Times New Roman" w:cs="Times New Roman"/>
                <w:sz w:val="16"/>
                <w:szCs w:val="16"/>
              </w:rPr>
            </w:pPr>
            <w:r w:rsidRPr="00662C6C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smartTag w:uri="urn:schemas-microsoft-com:office:smarttags" w:element="City">
              <w:smartTag w:uri="urn:schemas-microsoft-com:office:smarttags" w:element="place">
                <w:r w:rsidRPr="00662C6C">
                  <w:rPr>
                    <w:rFonts w:ascii="Times New Roman" w:hAnsi="Times New Roman" w:cs="Times New Roman"/>
                    <w:sz w:val="16"/>
                    <w:szCs w:val="16"/>
                  </w:rPr>
                  <w:t>Mission</w:t>
                </w:r>
              </w:smartTag>
            </w:smartTag>
            <w:r w:rsidRPr="00662C6C">
              <w:rPr>
                <w:rFonts w:ascii="Times New Roman" w:hAnsi="Times New Roman" w:cs="Times New Roman"/>
                <w:sz w:val="16"/>
                <w:szCs w:val="16"/>
              </w:rPr>
              <w:t>, vision &amp; values</w:t>
            </w:r>
          </w:p>
          <w:p w:rsidR="00662C6C" w:rsidRPr="00662C6C" w:rsidRDefault="00662C6C" w:rsidP="00146E77">
            <w:pPr>
              <w:spacing w:after="20"/>
              <w:rPr>
                <w:rFonts w:ascii="Times New Roman" w:hAnsi="Times New Roman" w:cs="Times New Roman"/>
                <w:sz w:val="16"/>
                <w:szCs w:val="16"/>
              </w:rPr>
            </w:pPr>
            <w:r w:rsidRPr="00662C6C">
              <w:rPr>
                <w:rFonts w:ascii="Times New Roman" w:hAnsi="Times New Roman" w:cs="Times New Roman"/>
                <w:sz w:val="16"/>
                <w:szCs w:val="16"/>
              </w:rPr>
              <w:t>2. Place in the hospital's organisation</w:t>
            </w:r>
          </w:p>
          <w:p w:rsidR="00662C6C" w:rsidRPr="00662C6C" w:rsidRDefault="00662C6C" w:rsidP="00146E77">
            <w:pPr>
              <w:spacing w:after="20"/>
              <w:rPr>
                <w:rFonts w:ascii="Times New Roman" w:hAnsi="Times New Roman" w:cs="Times New Roman"/>
                <w:sz w:val="16"/>
                <w:szCs w:val="16"/>
              </w:rPr>
            </w:pPr>
            <w:r w:rsidRPr="00662C6C">
              <w:rPr>
                <w:rFonts w:ascii="Times New Roman" w:hAnsi="Times New Roman" w:cs="Times New Roman"/>
                <w:sz w:val="16"/>
                <w:szCs w:val="16"/>
              </w:rPr>
              <w:t>5. Role of HB-HTA unit in the technology adoption process</w:t>
            </w:r>
          </w:p>
          <w:p w:rsidR="00662C6C" w:rsidRPr="00662C6C" w:rsidRDefault="00662C6C" w:rsidP="00146E77">
            <w:pPr>
              <w:spacing w:after="20"/>
              <w:rPr>
                <w:rFonts w:ascii="Times New Roman" w:hAnsi="Times New Roman" w:cs="Times New Roman"/>
                <w:sz w:val="16"/>
                <w:szCs w:val="16"/>
              </w:rPr>
            </w:pPr>
            <w:r w:rsidRPr="00662C6C">
              <w:rPr>
                <w:rFonts w:ascii="Times New Roman" w:hAnsi="Times New Roman" w:cs="Times New Roman"/>
                <w:sz w:val="16"/>
                <w:szCs w:val="16"/>
              </w:rPr>
              <w:t>6. System for prioritisation of health technologies</w:t>
            </w:r>
          </w:p>
          <w:p w:rsidR="00662C6C" w:rsidRPr="00662C6C" w:rsidRDefault="00662C6C" w:rsidP="00146E77">
            <w:pPr>
              <w:spacing w:after="20"/>
              <w:rPr>
                <w:rFonts w:ascii="Times New Roman" w:hAnsi="Times New Roman" w:cs="Times New Roman"/>
                <w:sz w:val="16"/>
                <w:szCs w:val="16"/>
              </w:rPr>
            </w:pPr>
            <w:r w:rsidRPr="00662C6C">
              <w:rPr>
                <w:rFonts w:ascii="Times New Roman" w:hAnsi="Times New Roman" w:cs="Times New Roman"/>
                <w:sz w:val="16"/>
                <w:szCs w:val="16"/>
              </w:rPr>
              <w:t>8. Capacity to learn from experience and adapt</w:t>
            </w:r>
          </w:p>
          <w:p w:rsidR="00662C6C" w:rsidRPr="00662C6C" w:rsidRDefault="00662C6C" w:rsidP="00146E77">
            <w:pPr>
              <w:spacing w:after="20"/>
              <w:rPr>
                <w:rFonts w:ascii="Times New Roman" w:hAnsi="Times New Roman" w:cs="Times New Roman"/>
                <w:sz w:val="16"/>
                <w:szCs w:val="16"/>
              </w:rPr>
            </w:pPr>
            <w:r w:rsidRPr="00662C6C">
              <w:rPr>
                <w:rFonts w:ascii="Times New Roman" w:hAnsi="Times New Roman" w:cs="Times New Roman"/>
                <w:sz w:val="16"/>
                <w:szCs w:val="16"/>
              </w:rPr>
              <w:t xml:space="preserve">10. HB-HTA unit's independence </w:t>
            </w:r>
          </w:p>
          <w:p w:rsidR="00662C6C" w:rsidRPr="00662C6C" w:rsidRDefault="00662C6C" w:rsidP="00146E77">
            <w:pPr>
              <w:spacing w:after="20"/>
              <w:rPr>
                <w:rFonts w:ascii="Times New Roman" w:hAnsi="Times New Roman" w:cs="Times New Roman"/>
                <w:sz w:val="16"/>
                <w:szCs w:val="16"/>
              </w:rPr>
            </w:pPr>
            <w:r w:rsidRPr="00662C6C">
              <w:rPr>
                <w:rFonts w:ascii="Times New Roman" w:hAnsi="Times New Roman" w:cs="Times New Roman"/>
                <w:sz w:val="16"/>
                <w:szCs w:val="16"/>
              </w:rPr>
              <w:t>14. Good working environment and culture</w:t>
            </w:r>
          </w:p>
          <w:p w:rsidR="00662C6C" w:rsidRPr="00662C6C" w:rsidRDefault="00662C6C" w:rsidP="00146E77">
            <w:pPr>
              <w:spacing w:after="20"/>
              <w:rPr>
                <w:rFonts w:ascii="Times New Roman" w:hAnsi="Times New Roman" w:cs="Times New Roman"/>
                <w:sz w:val="16"/>
                <w:szCs w:val="16"/>
              </w:rPr>
            </w:pPr>
            <w:r w:rsidRPr="00662C6C">
              <w:rPr>
                <w:rFonts w:ascii="Times New Roman" w:hAnsi="Times New Roman" w:cs="Times New Roman"/>
                <w:sz w:val="16"/>
                <w:szCs w:val="16"/>
              </w:rPr>
              <w:t>18. Link to key allies, network and partners</w:t>
            </w:r>
          </w:p>
          <w:p w:rsidR="00662C6C" w:rsidRPr="00662C6C" w:rsidRDefault="00662C6C" w:rsidP="00146E77">
            <w:pPr>
              <w:spacing w:after="20"/>
              <w:rPr>
                <w:rFonts w:ascii="Times New Roman" w:hAnsi="Times New Roman" w:cs="Times New Roman"/>
                <w:sz w:val="16"/>
                <w:szCs w:val="16"/>
              </w:rPr>
            </w:pPr>
            <w:r w:rsidRPr="00662C6C">
              <w:rPr>
                <w:rFonts w:ascii="Times New Roman" w:hAnsi="Times New Roman" w:cs="Times New Roman"/>
                <w:sz w:val="16"/>
                <w:szCs w:val="16"/>
              </w:rPr>
              <w:t>19. The assessment process of health technologies</w:t>
            </w:r>
          </w:p>
          <w:p w:rsidR="00662C6C" w:rsidRPr="00662C6C" w:rsidRDefault="00662C6C" w:rsidP="00146E77">
            <w:pPr>
              <w:spacing w:after="20"/>
              <w:rPr>
                <w:rFonts w:ascii="Times New Roman" w:hAnsi="Times New Roman" w:cs="Times New Roman"/>
                <w:sz w:val="16"/>
                <w:szCs w:val="16"/>
              </w:rPr>
            </w:pPr>
            <w:r w:rsidRPr="00662C6C">
              <w:rPr>
                <w:rFonts w:ascii="Times New Roman" w:hAnsi="Times New Roman" w:cs="Times New Roman"/>
                <w:sz w:val="16"/>
                <w:szCs w:val="16"/>
              </w:rPr>
              <w:t>21. Unbiased and transparent assessment process</w:t>
            </w:r>
          </w:p>
          <w:p w:rsidR="00662C6C" w:rsidRPr="00662C6C" w:rsidRDefault="00662C6C" w:rsidP="00146E77">
            <w:pPr>
              <w:spacing w:after="20"/>
              <w:rPr>
                <w:rFonts w:ascii="Times New Roman" w:hAnsi="Times New Roman" w:cs="Times New Roman"/>
                <w:sz w:val="16"/>
                <w:szCs w:val="16"/>
              </w:rPr>
            </w:pPr>
            <w:r w:rsidRPr="00662C6C">
              <w:rPr>
                <w:rFonts w:ascii="Times New Roman" w:hAnsi="Times New Roman" w:cs="Times New Roman"/>
                <w:sz w:val="16"/>
                <w:szCs w:val="16"/>
              </w:rPr>
              <w:t>22. Involvement of stakeholders</w:t>
            </w:r>
          </w:p>
          <w:p w:rsidR="00662C6C" w:rsidRPr="00662C6C" w:rsidRDefault="00662C6C" w:rsidP="00146E77">
            <w:pPr>
              <w:spacing w:after="20"/>
              <w:rPr>
                <w:rFonts w:ascii="Times New Roman" w:hAnsi="Times New Roman" w:cs="Times New Roman"/>
                <w:sz w:val="16"/>
                <w:szCs w:val="16"/>
              </w:rPr>
            </w:pPr>
            <w:r w:rsidRPr="00662C6C">
              <w:rPr>
                <w:rFonts w:ascii="Times New Roman" w:hAnsi="Times New Roman" w:cs="Times New Roman"/>
                <w:sz w:val="16"/>
                <w:szCs w:val="16"/>
              </w:rPr>
              <w:t>26. Follow-up process on implementation of results</w:t>
            </w:r>
          </w:p>
          <w:p w:rsidR="00662C6C" w:rsidRPr="00662C6C" w:rsidRDefault="00662C6C" w:rsidP="00146E77">
            <w:pPr>
              <w:spacing w:after="20"/>
              <w:rPr>
                <w:rFonts w:ascii="Times New Roman" w:hAnsi="Times New Roman" w:cs="Times New Roman"/>
                <w:sz w:val="16"/>
                <w:szCs w:val="16"/>
              </w:rPr>
            </w:pPr>
            <w:r w:rsidRPr="00662C6C">
              <w:rPr>
                <w:rFonts w:ascii="Times New Roman" w:hAnsi="Times New Roman" w:cs="Times New Roman"/>
                <w:sz w:val="16"/>
                <w:szCs w:val="16"/>
              </w:rPr>
              <w:t>35. Impact of HTA results on adoption and implementation process</w:t>
            </w:r>
          </w:p>
          <w:p w:rsidR="00662C6C" w:rsidRPr="00662C6C" w:rsidRDefault="00662C6C" w:rsidP="00146E77">
            <w:pPr>
              <w:spacing w:after="20"/>
              <w:ind w:left="258" w:hanging="258"/>
              <w:rPr>
                <w:rFonts w:ascii="Times New Roman" w:hAnsi="Times New Roman" w:cs="Times New Roman"/>
                <w:sz w:val="16"/>
                <w:szCs w:val="16"/>
              </w:rPr>
            </w:pPr>
            <w:r w:rsidRPr="00662C6C">
              <w:rPr>
                <w:rFonts w:ascii="Times New Roman" w:hAnsi="Times New Roman" w:cs="Times New Roman"/>
                <w:sz w:val="16"/>
                <w:szCs w:val="16"/>
              </w:rPr>
              <w:t>36. Schedule compliance (timely delivery of results)</w:t>
            </w:r>
          </w:p>
          <w:p w:rsidR="00662C6C" w:rsidRPr="00662C6C" w:rsidRDefault="00662C6C" w:rsidP="00146E77">
            <w:pPr>
              <w:spacing w:after="20"/>
              <w:rPr>
                <w:rFonts w:ascii="Times New Roman" w:hAnsi="Times New Roman" w:cs="Times New Roman"/>
                <w:sz w:val="16"/>
                <w:szCs w:val="16"/>
              </w:rPr>
            </w:pPr>
            <w:r w:rsidRPr="00662C6C">
              <w:rPr>
                <w:rFonts w:ascii="Times New Roman" w:hAnsi="Times New Roman" w:cs="Times New Roman"/>
                <w:sz w:val="16"/>
                <w:szCs w:val="16"/>
              </w:rPr>
              <w:t xml:space="preserve">42. HB-HTA unit's impact on society </w:t>
            </w:r>
          </w:p>
        </w:tc>
        <w:tc>
          <w:tcPr>
            <w:tcW w:w="22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62C6C" w:rsidRPr="00662C6C" w:rsidRDefault="00662C6C" w:rsidP="00146E77">
            <w:pPr>
              <w:spacing w:before="120" w:after="20"/>
              <w:rPr>
                <w:rFonts w:ascii="Times New Roman" w:hAnsi="Times New Roman" w:cs="Times New Roman"/>
                <w:sz w:val="16"/>
                <w:szCs w:val="16"/>
              </w:rPr>
            </w:pPr>
            <w:r w:rsidRPr="00662C6C">
              <w:rPr>
                <w:rFonts w:ascii="Times New Roman" w:hAnsi="Times New Roman" w:cs="Times New Roman"/>
                <w:sz w:val="16"/>
                <w:szCs w:val="16"/>
              </w:rPr>
              <w:t xml:space="preserve">9. </w:t>
            </w:r>
            <w:proofErr w:type="spellStart"/>
            <w:r w:rsidRPr="00662C6C">
              <w:rPr>
                <w:rFonts w:ascii="Times New Roman" w:hAnsi="Times New Roman" w:cs="Times New Roman"/>
                <w:sz w:val="16"/>
                <w:szCs w:val="16"/>
              </w:rPr>
              <w:t>Generalisability</w:t>
            </w:r>
            <w:proofErr w:type="spellEnd"/>
            <w:r w:rsidRPr="00662C6C">
              <w:rPr>
                <w:rFonts w:ascii="Times New Roman" w:hAnsi="Times New Roman" w:cs="Times New Roman"/>
                <w:sz w:val="16"/>
                <w:szCs w:val="16"/>
              </w:rPr>
              <w:t xml:space="preserve"> of the HB-HTA process</w:t>
            </w:r>
          </w:p>
          <w:p w:rsidR="00662C6C" w:rsidRPr="00662C6C" w:rsidRDefault="00662C6C" w:rsidP="00146E77">
            <w:pPr>
              <w:spacing w:after="20"/>
              <w:rPr>
                <w:rFonts w:ascii="Times New Roman" w:hAnsi="Times New Roman" w:cs="Times New Roman"/>
                <w:sz w:val="16"/>
                <w:szCs w:val="16"/>
              </w:rPr>
            </w:pPr>
            <w:r w:rsidRPr="00662C6C">
              <w:rPr>
                <w:rFonts w:ascii="Times New Roman" w:hAnsi="Times New Roman" w:cs="Times New Roman"/>
                <w:sz w:val="16"/>
                <w:szCs w:val="16"/>
              </w:rPr>
              <w:t>30. HB-HTA unit's staff satisfaction</w:t>
            </w:r>
          </w:p>
          <w:p w:rsidR="00662C6C" w:rsidRPr="00662C6C" w:rsidRDefault="00662C6C" w:rsidP="00146E77">
            <w:pPr>
              <w:spacing w:after="20"/>
              <w:rPr>
                <w:rFonts w:ascii="Times New Roman" w:hAnsi="Times New Roman" w:cs="Times New Roman"/>
                <w:sz w:val="16"/>
                <w:szCs w:val="16"/>
              </w:rPr>
            </w:pPr>
            <w:r w:rsidRPr="00662C6C">
              <w:rPr>
                <w:rFonts w:ascii="Times New Roman" w:hAnsi="Times New Roman" w:cs="Times New Roman"/>
                <w:sz w:val="16"/>
                <w:szCs w:val="16"/>
              </w:rPr>
              <w:t>38. External recognition (reputation &amp; market position)</w:t>
            </w:r>
          </w:p>
        </w:tc>
      </w:tr>
      <w:tr w:rsidR="00662C6C" w:rsidRPr="00662C6C" w:rsidTr="000F79D8">
        <w:trPr>
          <w:cantSplit/>
          <w:trHeight w:val="2415"/>
          <w:jc w:val="center"/>
        </w:trPr>
        <w:tc>
          <w:tcPr>
            <w:tcW w:w="28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</w:tcPr>
          <w:p w:rsidR="00662C6C" w:rsidRPr="00887813" w:rsidRDefault="00662C6C" w:rsidP="00146E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662C6C" w:rsidRPr="00887813" w:rsidRDefault="00662C6C" w:rsidP="00146E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87813">
              <w:rPr>
                <w:rFonts w:ascii="Times New Roman" w:hAnsi="Times New Roman" w:cs="Times New Roman"/>
                <w:b/>
                <w:sz w:val="18"/>
                <w:szCs w:val="16"/>
              </w:rPr>
              <w:t>Medium-high</w:t>
            </w:r>
          </w:p>
        </w:tc>
        <w:tc>
          <w:tcPr>
            <w:tcW w:w="21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62C6C" w:rsidRPr="00662C6C" w:rsidRDefault="00662C6C" w:rsidP="00146E77">
            <w:pPr>
              <w:spacing w:before="120" w:after="20"/>
              <w:rPr>
                <w:rFonts w:ascii="Times New Roman" w:hAnsi="Times New Roman" w:cs="Times New Roman"/>
                <w:sz w:val="16"/>
                <w:szCs w:val="16"/>
              </w:rPr>
            </w:pPr>
            <w:r w:rsidRPr="00662C6C">
              <w:rPr>
                <w:rFonts w:ascii="Times New Roman" w:hAnsi="Times New Roman" w:cs="Times New Roman"/>
                <w:sz w:val="16"/>
                <w:szCs w:val="16"/>
              </w:rPr>
              <w:t>3. Active leadership role</w:t>
            </w:r>
          </w:p>
          <w:p w:rsidR="00662C6C" w:rsidRPr="00662C6C" w:rsidRDefault="00662C6C" w:rsidP="00146E77">
            <w:pPr>
              <w:spacing w:after="20"/>
              <w:rPr>
                <w:rFonts w:ascii="Times New Roman" w:hAnsi="Times New Roman" w:cs="Times New Roman"/>
                <w:sz w:val="16"/>
                <w:szCs w:val="16"/>
              </w:rPr>
            </w:pPr>
            <w:r w:rsidRPr="00662C6C">
              <w:rPr>
                <w:rFonts w:ascii="Times New Roman" w:hAnsi="Times New Roman" w:cs="Times New Roman"/>
                <w:sz w:val="16"/>
                <w:szCs w:val="16"/>
              </w:rPr>
              <w:t>7. Communication strategy</w:t>
            </w:r>
          </w:p>
          <w:p w:rsidR="00662C6C" w:rsidRPr="00662C6C" w:rsidRDefault="00662C6C" w:rsidP="00146E77">
            <w:pPr>
              <w:spacing w:after="20"/>
              <w:rPr>
                <w:rFonts w:ascii="Times New Roman" w:hAnsi="Times New Roman" w:cs="Times New Roman"/>
                <w:sz w:val="16"/>
                <w:szCs w:val="16"/>
              </w:rPr>
            </w:pPr>
            <w:r w:rsidRPr="00662C6C">
              <w:rPr>
                <w:rFonts w:ascii="Times New Roman" w:hAnsi="Times New Roman" w:cs="Times New Roman"/>
                <w:sz w:val="16"/>
                <w:szCs w:val="16"/>
              </w:rPr>
              <w:t>12. Established human resources’ profiles</w:t>
            </w:r>
          </w:p>
          <w:p w:rsidR="00662C6C" w:rsidRPr="00662C6C" w:rsidRDefault="00662C6C" w:rsidP="00146E77">
            <w:pPr>
              <w:spacing w:after="20"/>
              <w:rPr>
                <w:rFonts w:ascii="Times New Roman" w:hAnsi="Times New Roman" w:cs="Times New Roman"/>
                <w:sz w:val="16"/>
                <w:szCs w:val="16"/>
              </w:rPr>
            </w:pPr>
            <w:r w:rsidRPr="00662C6C">
              <w:rPr>
                <w:rFonts w:ascii="Times New Roman" w:hAnsi="Times New Roman" w:cs="Times New Roman"/>
                <w:sz w:val="16"/>
                <w:szCs w:val="16"/>
              </w:rPr>
              <w:t>16. Specific budget covering operational costs</w:t>
            </w:r>
          </w:p>
          <w:p w:rsidR="00662C6C" w:rsidRPr="00662C6C" w:rsidRDefault="00662C6C" w:rsidP="00146E77">
            <w:pPr>
              <w:spacing w:after="20"/>
              <w:rPr>
                <w:rFonts w:ascii="Times New Roman" w:hAnsi="Times New Roman" w:cs="Times New Roman"/>
                <w:sz w:val="16"/>
                <w:szCs w:val="16"/>
              </w:rPr>
            </w:pPr>
            <w:r w:rsidRPr="00662C6C">
              <w:rPr>
                <w:rFonts w:ascii="Times New Roman" w:hAnsi="Times New Roman" w:cs="Times New Roman"/>
                <w:sz w:val="16"/>
                <w:szCs w:val="16"/>
              </w:rPr>
              <w:t>25. Process of disinvestment</w:t>
            </w:r>
          </w:p>
          <w:p w:rsidR="00662C6C" w:rsidRPr="00662C6C" w:rsidRDefault="00662C6C" w:rsidP="00146E77">
            <w:pPr>
              <w:spacing w:after="20"/>
              <w:rPr>
                <w:rFonts w:ascii="Times New Roman" w:hAnsi="Times New Roman" w:cs="Times New Roman"/>
                <w:sz w:val="16"/>
                <w:szCs w:val="16"/>
              </w:rPr>
            </w:pPr>
            <w:r w:rsidRPr="00662C6C">
              <w:rPr>
                <w:rFonts w:ascii="Times New Roman" w:hAnsi="Times New Roman" w:cs="Times New Roman"/>
                <w:sz w:val="16"/>
                <w:szCs w:val="16"/>
              </w:rPr>
              <w:t>27. Customer's perception on the HB-HTA value</w:t>
            </w:r>
          </w:p>
          <w:p w:rsidR="00662C6C" w:rsidRPr="00662C6C" w:rsidRDefault="00662C6C" w:rsidP="00146E77">
            <w:pPr>
              <w:spacing w:after="20"/>
              <w:rPr>
                <w:rFonts w:ascii="Times New Roman" w:hAnsi="Times New Roman" w:cs="Times New Roman"/>
                <w:sz w:val="16"/>
                <w:szCs w:val="16"/>
              </w:rPr>
            </w:pPr>
            <w:r w:rsidRPr="00662C6C">
              <w:rPr>
                <w:rFonts w:ascii="Times New Roman" w:hAnsi="Times New Roman" w:cs="Times New Roman"/>
                <w:sz w:val="16"/>
                <w:szCs w:val="16"/>
              </w:rPr>
              <w:t>32. Awareness of the relevance of HB-HTA unit</w:t>
            </w:r>
          </w:p>
          <w:p w:rsidR="00662C6C" w:rsidRPr="00662C6C" w:rsidRDefault="00662C6C" w:rsidP="00146E77">
            <w:pPr>
              <w:spacing w:after="20"/>
              <w:rPr>
                <w:rFonts w:ascii="Times New Roman" w:hAnsi="Times New Roman" w:cs="Times New Roman"/>
                <w:sz w:val="16"/>
                <w:szCs w:val="16"/>
              </w:rPr>
            </w:pPr>
            <w:r w:rsidRPr="00662C6C">
              <w:rPr>
                <w:rFonts w:ascii="Times New Roman" w:hAnsi="Times New Roman" w:cs="Times New Roman"/>
                <w:sz w:val="16"/>
                <w:szCs w:val="16"/>
              </w:rPr>
              <w:t xml:space="preserve">33. Communication to stakeholders </w:t>
            </w:r>
          </w:p>
        </w:tc>
        <w:tc>
          <w:tcPr>
            <w:tcW w:w="22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62C6C" w:rsidRPr="00662C6C" w:rsidRDefault="00662C6C" w:rsidP="00146E77">
            <w:pPr>
              <w:spacing w:before="120" w:after="20"/>
              <w:rPr>
                <w:rFonts w:ascii="Times New Roman" w:hAnsi="Times New Roman" w:cs="Times New Roman"/>
                <w:sz w:val="16"/>
                <w:szCs w:val="16"/>
              </w:rPr>
            </w:pPr>
            <w:r w:rsidRPr="00662C6C">
              <w:rPr>
                <w:rFonts w:ascii="Times New Roman" w:hAnsi="Times New Roman" w:cs="Times New Roman"/>
                <w:sz w:val="16"/>
                <w:szCs w:val="16"/>
              </w:rPr>
              <w:t>4. Strategy of HB-HTA unit aligned with hospital's strategy</w:t>
            </w:r>
          </w:p>
          <w:p w:rsidR="00662C6C" w:rsidRPr="00662C6C" w:rsidRDefault="00662C6C" w:rsidP="00146E77">
            <w:pPr>
              <w:spacing w:after="20"/>
              <w:rPr>
                <w:rFonts w:ascii="Times New Roman" w:hAnsi="Times New Roman" w:cs="Times New Roman"/>
                <w:sz w:val="16"/>
                <w:szCs w:val="16"/>
              </w:rPr>
            </w:pPr>
            <w:r w:rsidRPr="00662C6C">
              <w:rPr>
                <w:rFonts w:ascii="Times New Roman" w:hAnsi="Times New Roman" w:cs="Times New Roman"/>
                <w:sz w:val="16"/>
                <w:szCs w:val="16"/>
              </w:rPr>
              <w:t>13. Career development plan</w:t>
            </w:r>
          </w:p>
          <w:p w:rsidR="00662C6C" w:rsidRPr="00662C6C" w:rsidRDefault="00662C6C" w:rsidP="00146E77">
            <w:pPr>
              <w:spacing w:after="20"/>
              <w:rPr>
                <w:rFonts w:ascii="Times New Roman" w:hAnsi="Times New Roman" w:cs="Times New Roman"/>
                <w:sz w:val="16"/>
                <w:szCs w:val="16"/>
              </w:rPr>
            </w:pPr>
            <w:r w:rsidRPr="00662C6C">
              <w:rPr>
                <w:rFonts w:ascii="Times New Roman" w:hAnsi="Times New Roman" w:cs="Times New Roman"/>
                <w:sz w:val="16"/>
                <w:szCs w:val="16"/>
              </w:rPr>
              <w:t>15. Adequate facilities</w:t>
            </w:r>
          </w:p>
          <w:p w:rsidR="00662C6C" w:rsidRPr="00662C6C" w:rsidRDefault="00662C6C" w:rsidP="00146E77">
            <w:pPr>
              <w:spacing w:after="20"/>
              <w:rPr>
                <w:rFonts w:ascii="Times New Roman" w:hAnsi="Times New Roman" w:cs="Times New Roman"/>
                <w:sz w:val="16"/>
                <w:szCs w:val="16"/>
              </w:rPr>
            </w:pPr>
            <w:r w:rsidRPr="00662C6C">
              <w:rPr>
                <w:rFonts w:ascii="Times New Roman" w:hAnsi="Times New Roman" w:cs="Times New Roman"/>
                <w:sz w:val="16"/>
                <w:szCs w:val="16"/>
              </w:rPr>
              <w:t>17. Funding strategy</w:t>
            </w:r>
          </w:p>
          <w:p w:rsidR="00662C6C" w:rsidRPr="00662C6C" w:rsidRDefault="00662C6C" w:rsidP="00146E77">
            <w:pPr>
              <w:spacing w:after="20"/>
              <w:rPr>
                <w:rFonts w:ascii="Times New Roman" w:hAnsi="Times New Roman" w:cs="Times New Roman"/>
                <w:sz w:val="16"/>
                <w:szCs w:val="16"/>
              </w:rPr>
            </w:pPr>
            <w:r w:rsidRPr="00662C6C">
              <w:rPr>
                <w:rFonts w:ascii="Times New Roman" w:hAnsi="Times New Roman" w:cs="Times New Roman"/>
                <w:sz w:val="16"/>
                <w:szCs w:val="16"/>
              </w:rPr>
              <w:t xml:space="preserve">28. Meeting customers’ expectations by HB-HTA unit's </w:t>
            </w:r>
          </w:p>
          <w:p w:rsidR="00662C6C" w:rsidRPr="00662C6C" w:rsidRDefault="00662C6C" w:rsidP="00146E77">
            <w:pPr>
              <w:spacing w:after="20"/>
              <w:rPr>
                <w:rFonts w:ascii="Times New Roman" w:hAnsi="Times New Roman" w:cs="Times New Roman"/>
                <w:sz w:val="16"/>
                <w:szCs w:val="16"/>
              </w:rPr>
            </w:pPr>
            <w:r w:rsidRPr="00662C6C">
              <w:rPr>
                <w:rFonts w:ascii="Times New Roman" w:hAnsi="Times New Roman" w:cs="Times New Roman"/>
                <w:sz w:val="16"/>
                <w:szCs w:val="16"/>
              </w:rPr>
              <w:t>29. Positive reviews on HB-HTA unit's work</w:t>
            </w:r>
          </w:p>
          <w:p w:rsidR="00662C6C" w:rsidRPr="00662C6C" w:rsidRDefault="00662C6C" w:rsidP="00146E77">
            <w:pPr>
              <w:spacing w:after="20"/>
              <w:rPr>
                <w:rFonts w:ascii="Times New Roman" w:hAnsi="Times New Roman" w:cs="Times New Roman"/>
                <w:sz w:val="16"/>
                <w:szCs w:val="16"/>
              </w:rPr>
            </w:pPr>
            <w:r w:rsidRPr="00662C6C">
              <w:rPr>
                <w:rFonts w:ascii="Times New Roman" w:hAnsi="Times New Roman" w:cs="Times New Roman"/>
                <w:sz w:val="16"/>
                <w:szCs w:val="16"/>
              </w:rPr>
              <w:t>31. Perceived career opportunities at the HB-HTA unit</w:t>
            </w:r>
          </w:p>
          <w:p w:rsidR="00662C6C" w:rsidRPr="00662C6C" w:rsidRDefault="00662C6C" w:rsidP="00146E77">
            <w:pPr>
              <w:spacing w:after="20"/>
              <w:rPr>
                <w:rFonts w:ascii="Times New Roman" w:hAnsi="Times New Roman" w:cs="Times New Roman"/>
                <w:sz w:val="16"/>
                <w:szCs w:val="16"/>
              </w:rPr>
            </w:pPr>
            <w:r w:rsidRPr="00662C6C">
              <w:rPr>
                <w:rFonts w:ascii="Times New Roman" w:hAnsi="Times New Roman" w:cs="Times New Roman"/>
                <w:sz w:val="16"/>
                <w:szCs w:val="16"/>
              </w:rPr>
              <w:t>34. Wide dissemination of generated knowledge</w:t>
            </w:r>
          </w:p>
          <w:p w:rsidR="00662C6C" w:rsidRPr="00662C6C" w:rsidRDefault="00662C6C" w:rsidP="00146E77">
            <w:pPr>
              <w:spacing w:after="20"/>
              <w:rPr>
                <w:rFonts w:ascii="Times New Roman" w:hAnsi="Times New Roman" w:cs="Times New Roman"/>
                <w:sz w:val="16"/>
                <w:szCs w:val="16"/>
              </w:rPr>
            </w:pPr>
            <w:r w:rsidRPr="00662C6C">
              <w:rPr>
                <w:rFonts w:ascii="Times New Roman" w:hAnsi="Times New Roman" w:cs="Times New Roman"/>
                <w:sz w:val="16"/>
                <w:szCs w:val="16"/>
              </w:rPr>
              <w:t>39. Budget compliance</w:t>
            </w:r>
          </w:p>
          <w:p w:rsidR="00662C6C" w:rsidRPr="00662C6C" w:rsidRDefault="00662C6C" w:rsidP="00146E77">
            <w:pPr>
              <w:spacing w:after="20"/>
              <w:rPr>
                <w:rFonts w:ascii="Times New Roman" w:hAnsi="Times New Roman" w:cs="Times New Roman"/>
                <w:sz w:val="16"/>
                <w:szCs w:val="16"/>
              </w:rPr>
            </w:pPr>
            <w:r w:rsidRPr="00662C6C">
              <w:rPr>
                <w:rFonts w:ascii="Times New Roman" w:hAnsi="Times New Roman" w:cs="Times New Roman"/>
                <w:sz w:val="16"/>
                <w:szCs w:val="16"/>
              </w:rPr>
              <w:t>40. Derived return on investment (ROI)</w:t>
            </w:r>
          </w:p>
          <w:p w:rsidR="00662C6C" w:rsidRPr="00662C6C" w:rsidRDefault="00662C6C" w:rsidP="00146E77">
            <w:pPr>
              <w:spacing w:after="20"/>
              <w:rPr>
                <w:rFonts w:ascii="Times New Roman" w:hAnsi="Times New Roman" w:cs="Times New Roman"/>
                <w:sz w:val="16"/>
                <w:szCs w:val="16"/>
              </w:rPr>
            </w:pPr>
            <w:r w:rsidRPr="00662C6C">
              <w:rPr>
                <w:rFonts w:ascii="Times New Roman" w:hAnsi="Times New Roman" w:cs="Times New Roman"/>
                <w:sz w:val="16"/>
                <w:szCs w:val="16"/>
              </w:rPr>
              <w:t>41. Availability of productivity indicators</w:t>
            </w:r>
          </w:p>
        </w:tc>
      </w:tr>
      <w:tr w:rsidR="00662C6C" w:rsidRPr="00662C6C" w:rsidTr="000F79D8">
        <w:trPr>
          <w:cantSplit/>
          <w:trHeight w:val="1136"/>
          <w:jc w:val="center"/>
        </w:trPr>
        <w:tc>
          <w:tcPr>
            <w:tcW w:w="28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</w:tcPr>
          <w:p w:rsidR="00662C6C" w:rsidRPr="00887813" w:rsidRDefault="00662C6C" w:rsidP="00146E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662C6C" w:rsidRPr="00887813" w:rsidRDefault="00662C6C" w:rsidP="00146E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87813">
              <w:rPr>
                <w:rFonts w:ascii="Times New Roman" w:hAnsi="Times New Roman" w:cs="Times New Roman"/>
                <w:b/>
                <w:sz w:val="18"/>
                <w:szCs w:val="16"/>
              </w:rPr>
              <w:t>Medium</w:t>
            </w:r>
          </w:p>
        </w:tc>
        <w:tc>
          <w:tcPr>
            <w:tcW w:w="21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62C6C" w:rsidRPr="00FF3232" w:rsidRDefault="00FF3232" w:rsidP="00FF3232">
            <w:pPr>
              <w:spacing w:before="60" w:after="20"/>
              <w:rPr>
                <w:rFonts w:ascii="Times New Roman" w:hAnsi="Times New Roman" w:cs="Times New Roman"/>
                <w:i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6"/>
              </w:rPr>
              <w:t>None</w:t>
            </w:r>
          </w:p>
        </w:tc>
        <w:tc>
          <w:tcPr>
            <w:tcW w:w="22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62C6C" w:rsidRPr="00662C6C" w:rsidRDefault="00662C6C" w:rsidP="00146E77">
            <w:pPr>
              <w:spacing w:before="120" w:after="20"/>
              <w:rPr>
                <w:rFonts w:ascii="Times New Roman" w:hAnsi="Times New Roman" w:cs="Times New Roman"/>
                <w:sz w:val="16"/>
                <w:szCs w:val="16"/>
              </w:rPr>
            </w:pPr>
            <w:r w:rsidRPr="00662C6C">
              <w:rPr>
                <w:rFonts w:ascii="Times New Roman" w:hAnsi="Times New Roman" w:cs="Times New Roman"/>
                <w:sz w:val="16"/>
                <w:szCs w:val="16"/>
              </w:rPr>
              <w:t>11. Link between HB-HTA unit and HTA strategies at different healthcare levels</w:t>
            </w:r>
          </w:p>
          <w:p w:rsidR="00662C6C" w:rsidRPr="00662C6C" w:rsidRDefault="00662C6C" w:rsidP="00146E77">
            <w:pPr>
              <w:spacing w:after="20"/>
              <w:rPr>
                <w:rFonts w:ascii="Times New Roman" w:hAnsi="Times New Roman" w:cs="Times New Roman"/>
                <w:sz w:val="16"/>
                <w:szCs w:val="16"/>
              </w:rPr>
            </w:pPr>
            <w:r w:rsidRPr="00662C6C">
              <w:rPr>
                <w:rFonts w:ascii="Times New Roman" w:hAnsi="Times New Roman" w:cs="Times New Roman"/>
                <w:sz w:val="16"/>
                <w:szCs w:val="16"/>
              </w:rPr>
              <w:t>20. Assessment customised for specific hospital setting</w:t>
            </w:r>
          </w:p>
          <w:p w:rsidR="00662C6C" w:rsidRPr="00662C6C" w:rsidRDefault="00662C6C" w:rsidP="00146E77">
            <w:pPr>
              <w:spacing w:after="20"/>
              <w:rPr>
                <w:rFonts w:ascii="Times New Roman" w:hAnsi="Times New Roman" w:cs="Times New Roman"/>
                <w:sz w:val="16"/>
                <w:szCs w:val="16"/>
              </w:rPr>
            </w:pPr>
            <w:r w:rsidRPr="00662C6C">
              <w:rPr>
                <w:rFonts w:ascii="Times New Roman" w:hAnsi="Times New Roman" w:cs="Times New Roman"/>
                <w:sz w:val="16"/>
                <w:szCs w:val="16"/>
              </w:rPr>
              <w:t>23. Patients’ involvement</w:t>
            </w:r>
          </w:p>
          <w:p w:rsidR="00662C6C" w:rsidRPr="00662C6C" w:rsidRDefault="00662C6C" w:rsidP="00146E77">
            <w:pPr>
              <w:spacing w:after="20"/>
              <w:rPr>
                <w:rFonts w:ascii="Times New Roman" w:hAnsi="Times New Roman" w:cs="Times New Roman"/>
                <w:sz w:val="16"/>
                <w:szCs w:val="16"/>
              </w:rPr>
            </w:pPr>
            <w:r w:rsidRPr="00662C6C">
              <w:rPr>
                <w:rFonts w:ascii="Times New Roman" w:hAnsi="Times New Roman" w:cs="Times New Roman"/>
                <w:sz w:val="16"/>
                <w:szCs w:val="16"/>
              </w:rPr>
              <w:t>24. Communication of results to patients</w:t>
            </w:r>
          </w:p>
          <w:p w:rsidR="00662C6C" w:rsidRPr="00662C6C" w:rsidRDefault="00662C6C" w:rsidP="00146E77">
            <w:pPr>
              <w:spacing w:after="20"/>
              <w:rPr>
                <w:rFonts w:ascii="Times New Roman" w:hAnsi="Times New Roman" w:cs="Times New Roman"/>
                <w:sz w:val="16"/>
                <w:szCs w:val="16"/>
              </w:rPr>
            </w:pPr>
            <w:r w:rsidRPr="00662C6C">
              <w:rPr>
                <w:rFonts w:ascii="Times New Roman" w:hAnsi="Times New Roman" w:cs="Times New Roman"/>
                <w:sz w:val="16"/>
                <w:szCs w:val="16"/>
              </w:rPr>
              <w:t>37. Demand satisfaction</w:t>
            </w:r>
          </w:p>
        </w:tc>
      </w:tr>
      <w:tr w:rsidR="00887813" w:rsidRPr="00887813" w:rsidTr="000F79D8">
        <w:trPr>
          <w:cantSplit/>
          <w:trHeight w:val="1620"/>
          <w:jc w:val="center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79D8" w:rsidRDefault="000F79D8" w:rsidP="00146E77">
            <w:pPr>
              <w:spacing w:before="60"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(</w:t>
            </w:r>
            <w:r>
              <w:rPr>
                <w:rFonts w:ascii="Times New Roman" w:hAnsi="Times New Roman" w:cs="Times New Roman"/>
                <w:sz w:val="16"/>
              </w:rPr>
              <w:t>*</w:t>
            </w:r>
            <w:r w:rsidRPr="00887813">
              <w:rPr>
                <w:rFonts w:ascii="Times New Roman" w:hAnsi="Times New Roman" w:cs="Times New Roman"/>
                <w:sz w:val="16"/>
              </w:rPr>
              <w:t>)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0F79D8">
              <w:rPr>
                <w:rFonts w:ascii="Times New Roman" w:hAnsi="Times New Roman" w:cs="Times New Roman"/>
                <w:sz w:val="16"/>
              </w:rPr>
              <w:t>hospital managers and heads of clinical departments as well as of professionals with expertise in HTA and patient representatives</w:t>
            </w:r>
            <w:r>
              <w:rPr>
                <w:rFonts w:ascii="Times New Roman" w:hAnsi="Times New Roman" w:cs="Times New Roman"/>
                <w:sz w:val="16"/>
              </w:rPr>
              <w:t>.</w:t>
            </w:r>
            <w:bookmarkStart w:id="0" w:name="_GoBack"/>
            <w:bookmarkEnd w:id="0"/>
          </w:p>
          <w:p w:rsidR="00662C6C" w:rsidRPr="00887813" w:rsidRDefault="00662C6C" w:rsidP="00146E77">
            <w:pPr>
              <w:spacing w:before="60"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887813">
              <w:rPr>
                <w:rFonts w:ascii="Times New Roman" w:hAnsi="Times New Roman" w:cs="Times New Roman"/>
                <w:sz w:val="16"/>
              </w:rPr>
              <w:t>(*</w:t>
            </w:r>
            <w:r w:rsidR="000F79D8">
              <w:rPr>
                <w:rFonts w:ascii="Times New Roman" w:hAnsi="Times New Roman" w:cs="Times New Roman"/>
                <w:sz w:val="16"/>
              </w:rPr>
              <w:t>*</w:t>
            </w:r>
            <w:r w:rsidRPr="00887813">
              <w:rPr>
                <w:rFonts w:ascii="Times New Roman" w:hAnsi="Times New Roman" w:cs="Times New Roman"/>
                <w:sz w:val="16"/>
              </w:rPr>
              <w:t>) importance of guiding principle was assessed from 1 (less important) to 6 (very important) with the average rating of 4.86 (most important means higher than 4.86).</w:t>
            </w:r>
          </w:p>
          <w:p w:rsidR="00662C6C" w:rsidRPr="00887813" w:rsidRDefault="00662C6C" w:rsidP="00146E77">
            <w:pPr>
              <w:spacing w:before="6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7813">
              <w:rPr>
                <w:rFonts w:ascii="Times New Roman" w:hAnsi="Times New Roman" w:cs="Times New Roman"/>
                <w:sz w:val="16"/>
              </w:rPr>
              <w:t>(**</w:t>
            </w:r>
            <w:r w:rsidR="000F79D8">
              <w:rPr>
                <w:rFonts w:ascii="Times New Roman" w:hAnsi="Times New Roman" w:cs="Times New Roman"/>
                <w:sz w:val="16"/>
              </w:rPr>
              <w:t>*</w:t>
            </w:r>
            <w:r w:rsidRPr="00887813">
              <w:rPr>
                <w:rFonts w:ascii="Times New Roman" w:hAnsi="Times New Roman" w:cs="Times New Roman"/>
                <w:sz w:val="16"/>
              </w:rPr>
              <w:t xml:space="preserve">) The top 2 measures rated on the 6-point </w:t>
            </w:r>
            <w:proofErr w:type="spellStart"/>
            <w:r w:rsidRPr="00887813">
              <w:rPr>
                <w:rFonts w:ascii="Times New Roman" w:hAnsi="Times New Roman" w:cs="Times New Roman"/>
                <w:sz w:val="16"/>
              </w:rPr>
              <w:t>Likert</w:t>
            </w:r>
            <w:proofErr w:type="spellEnd"/>
            <w:r w:rsidRPr="00887813">
              <w:rPr>
                <w:rFonts w:ascii="Times New Roman" w:hAnsi="Times New Roman" w:cs="Times New Roman"/>
                <w:sz w:val="16"/>
              </w:rPr>
              <w:t xml:space="preserve"> scale were identified and the percentage of answers summed: more than 80% in the top 2 measures was considered as high consensus; between 70% and 80% in the top 2 measures was considered as medium-high consensus; between 60% and 70% in the top 2 measures was considered as medium consensus.</w:t>
            </w:r>
          </w:p>
        </w:tc>
      </w:tr>
    </w:tbl>
    <w:p w:rsidR="00662C6C" w:rsidRPr="00662C6C" w:rsidRDefault="00662C6C" w:rsidP="00662C6C">
      <w:pPr>
        <w:ind w:left="142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Source: </w:t>
      </w:r>
      <w:proofErr w:type="spellStart"/>
      <w:r>
        <w:rPr>
          <w:rFonts w:ascii="Times New Roman" w:hAnsi="Times New Roman" w:cs="Times New Roman"/>
          <w:sz w:val="18"/>
        </w:rPr>
        <w:t>Danglas</w:t>
      </w:r>
      <w:proofErr w:type="spellEnd"/>
      <w:r>
        <w:rPr>
          <w:rFonts w:ascii="Times New Roman" w:hAnsi="Times New Roman" w:cs="Times New Roman"/>
          <w:sz w:val="18"/>
        </w:rPr>
        <w:t xml:space="preserve"> L, Ribeiro M, </w:t>
      </w:r>
      <w:proofErr w:type="spellStart"/>
      <w:r>
        <w:rPr>
          <w:rFonts w:ascii="Times New Roman" w:hAnsi="Times New Roman" w:cs="Times New Roman"/>
          <w:sz w:val="18"/>
        </w:rPr>
        <w:t>Rosenmöller</w:t>
      </w:r>
      <w:proofErr w:type="spellEnd"/>
      <w:r>
        <w:rPr>
          <w:rFonts w:ascii="Times New Roman" w:hAnsi="Times New Roman" w:cs="Times New Roman"/>
          <w:sz w:val="18"/>
        </w:rPr>
        <w:t xml:space="preserve"> M, </w:t>
      </w:r>
      <w:proofErr w:type="spellStart"/>
      <w:r>
        <w:rPr>
          <w:rFonts w:ascii="Times New Roman" w:hAnsi="Times New Roman" w:cs="Times New Roman"/>
          <w:sz w:val="18"/>
        </w:rPr>
        <w:t>Sampietro</w:t>
      </w:r>
      <w:proofErr w:type="spellEnd"/>
      <w:r>
        <w:rPr>
          <w:rFonts w:ascii="Times New Roman" w:hAnsi="Times New Roman" w:cs="Times New Roman"/>
          <w:sz w:val="18"/>
        </w:rPr>
        <w:t xml:space="preserve">-Colom L, Soto M, </w:t>
      </w:r>
      <w:proofErr w:type="spellStart"/>
      <w:r>
        <w:rPr>
          <w:rFonts w:ascii="Times New Roman" w:hAnsi="Times New Roman" w:cs="Times New Roman"/>
          <w:sz w:val="18"/>
        </w:rPr>
        <w:t>Lach</w:t>
      </w:r>
      <w:proofErr w:type="spellEnd"/>
      <w:r>
        <w:rPr>
          <w:rFonts w:ascii="Times New Roman" w:hAnsi="Times New Roman" w:cs="Times New Roman"/>
          <w:sz w:val="18"/>
        </w:rPr>
        <w:t xml:space="preserve"> K. et al. </w:t>
      </w:r>
      <w:r w:rsidRPr="00662C6C">
        <w:rPr>
          <w:rFonts w:ascii="Times New Roman" w:hAnsi="Times New Roman" w:cs="Times New Roman"/>
          <w:sz w:val="18"/>
        </w:rPr>
        <w:t xml:space="preserve">D4.2 </w:t>
      </w:r>
      <w:proofErr w:type="gramStart"/>
      <w:r w:rsidRPr="00662C6C">
        <w:rPr>
          <w:rFonts w:ascii="Times New Roman" w:hAnsi="Times New Roman" w:cs="Times New Roman"/>
          <w:sz w:val="18"/>
        </w:rPr>
        <w:t>Guiding</w:t>
      </w:r>
      <w:proofErr w:type="gramEnd"/>
      <w:r w:rsidRPr="00662C6C">
        <w:rPr>
          <w:rFonts w:ascii="Times New Roman" w:hAnsi="Times New Roman" w:cs="Times New Roman"/>
          <w:sz w:val="18"/>
        </w:rPr>
        <w:t xml:space="preserve"> principles for best practices in hospital-based HTA. 2014.</w:t>
      </w:r>
      <w:r>
        <w:rPr>
          <w:rFonts w:ascii="Times New Roman" w:hAnsi="Times New Roman" w:cs="Times New Roman"/>
          <w:sz w:val="18"/>
        </w:rPr>
        <w:t xml:space="preserve"> </w:t>
      </w:r>
      <w:r w:rsidRPr="00662C6C">
        <w:rPr>
          <w:rFonts w:ascii="Times New Roman" w:hAnsi="Times New Roman" w:cs="Times New Roman"/>
          <w:sz w:val="18"/>
        </w:rPr>
        <w:t>Confident</w:t>
      </w:r>
      <w:r>
        <w:rPr>
          <w:rFonts w:ascii="Times New Roman" w:hAnsi="Times New Roman" w:cs="Times New Roman"/>
          <w:sz w:val="18"/>
        </w:rPr>
        <w:t xml:space="preserve">ial </w:t>
      </w:r>
      <w:r w:rsidRPr="00662C6C">
        <w:rPr>
          <w:rFonts w:ascii="Times New Roman" w:hAnsi="Times New Roman" w:cs="Times New Roman"/>
          <w:sz w:val="18"/>
        </w:rPr>
        <w:t>Deliverable; The AdHopHTA Project (FP7/2007-13 grant agreement nr 305018).</w:t>
      </w:r>
    </w:p>
    <w:sectPr w:rsidR="00662C6C" w:rsidRPr="00662C6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82D" w:rsidRDefault="00B7382D" w:rsidP="00B7382D">
      <w:pPr>
        <w:spacing w:after="0" w:line="240" w:lineRule="auto"/>
      </w:pPr>
      <w:r>
        <w:separator/>
      </w:r>
    </w:p>
  </w:endnote>
  <w:endnote w:type="continuationSeparator" w:id="0">
    <w:p w:rsidR="00B7382D" w:rsidRDefault="00B7382D" w:rsidP="00B73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82D" w:rsidRDefault="00B7382D" w:rsidP="00B7382D">
      <w:pPr>
        <w:spacing w:after="0" w:line="240" w:lineRule="auto"/>
      </w:pPr>
      <w:r>
        <w:separator/>
      </w:r>
    </w:p>
  </w:footnote>
  <w:footnote w:type="continuationSeparator" w:id="0">
    <w:p w:rsidR="00B7382D" w:rsidRDefault="00B7382D" w:rsidP="00B73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82D" w:rsidRPr="00B7382D" w:rsidRDefault="00B7382D">
    <w:pPr>
      <w:pStyle w:val="Encabezado"/>
      <w:rPr>
        <w:rFonts w:ascii="Times New Roman" w:hAnsi="Times New Roman" w:cs="Times New Roman"/>
        <w:sz w:val="18"/>
      </w:rPr>
    </w:pPr>
    <w:proofErr w:type="spellStart"/>
    <w:r>
      <w:rPr>
        <w:rFonts w:ascii="Times New Roman" w:hAnsi="Times New Roman" w:cs="Times New Roman"/>
        <w:sz w:val="18"/>
        <w:lang w:val="es-ES"/>
      </w:rPr>
      <w:t>Manuscript</w:t>
    </w:r>
    <w:proofErr w:type="spellEnd"/>
    <w:r>
      <w:rPr>
        <w:rFonts w:ascii="Times New Roman" w:hAnsi="Times New Roman" w:cs="Times New Roman"/>
        <w:sz w:val="18"/>
        <w:lang w:val="es-ES"/>
      </w:rPr>
      <w:t xml:space="preserve">: </w:t>
    </w:r>
    <w:proofErr w:type="spellStart"/>
    <w:r w:rsidRPr="00114605">
      <w:rPr>
        <w:rFonts w:ascii="Times New Roman" w:hAnsi="Times New Roman" w:cs="Times New Roman"/>
        <w:sz w:val="18"/>
        <w:lang w:val="es-ES"/>
      </w:rPr>
      <w:t>Sampietro</w:t>
    </w:r>
    <w:proofErr w:type="spellEnd"/>
    <w:r w:rsidRPr="00114605">
      <w:rPr>
        <w:rFonts w:ascii="Times New Roman" w:hAnsi="Times New Roman" w:cs="Times New Roman"/>
        <w:sz w:val="18"/>
        <w:lang w:val="es-ES"/>
      </w:rPr>
      <w:t xml:space="preserve">-Colom L, et al. </w:t>
    </w:r>
    <w:r w:rsidRPr="00114605">
      <w:rPr>
        <w:rFonts w:ascii="Times New Roman" w:hAnsi="Times New Roman" w:cs="Times New Roman"/>
        <w:sz w:val="18"/>
      </w:rPr>
      <w:t>Guiding principles for good practices in hospital-based HTA units</w:t>
    </w:r>
    <w:r>
      <w:rPr>
        <w:rFonts w:ascii="Times New Roman" w:hAnsi="Times New Roman" w:cs="Times New Roman"/>
        <w:sz w:val="18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A7A"/>
    <w:rsid w:val="000F79D8"/>
    <w:rsid w:val="00662C6C"/>
    <w:rsid w:val="00697A7A"/>
    <w:rsid w:val="00887813"/>
    <w:rsid w:val="00A6558D"/>
    <w:rsid w:val="00B7382D"/>
    <w:rsid w:val="00FF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38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382D"/>
  </w:style>
  <w:style w:type="paragraph" w:styleId="Piedepgina">
    <w:name w:val="footer"/>
    <w:basedOn w:val="Normal"/>
    <w:link w:val="PiedepginaCar"/>
    <w:uiPriority w:val="99"/>
    <w:unhideWhenUsed/>
    <w:rsid w:val="00B738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38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38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382D"/>
  </w:style>
  <w:style w:type="paragraph" w:styleId="Piedepgina">
    <w:name w:val="footer"/>
    <w:basedOn w:val="Normal"/>
    <w:link w:val="PiedepginaCar"/>
    <w:uiPriority w:val="99"/>
    <w:unhideWhenUsed/>
    <w:rsid w:val="00B738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3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436</Words>
  <Characters>2488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LACH, KRZYSZTOF (FCRB)</dc:creator>
  <cp:keywords/>
  <dc:description/>
  <cp:lastModifiedBy>LACH, KRZYSZTOF (FCRB)</cp:lastModifiedBy>
  <cp:revision>6</cp:revision>
  <dcterms:created xsi:type="dcterms:W3CDTF">2015-10-15T08:35:00Z</dcterms:created>
  <dcterms:modified xsi:type="dcterms:W3CDTF">2015-11-18T12:49:00Z</dcterms:modified>
</cp:coreProperties>
</file>