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3D" w:rsidRPr="00093AEC" w:rsidRDefault="00DA42C4">
      <w:pPr>
        <w:rPr>
          <w:rFonts w:ascii="Arial" w:hAnsi="Arial" w:cs="Arial"/>
          <w:lang w:val="en-US"/>
        </w:rPr>
      </w:pPr>
      <w:bookmarkStart w:id="0" w:name="_GoBack"/>
      <w:r w:rsidRPr="00093AEC">
        <w:rPr>
          <w:rFonts w:ascii="Arial" w:hAnsi="Arial" w:cs="Arial"/>
          <w:lang w:val="en-US"/>
        </w:rPr>
        <w:t xml:space="preserve">Supplementary Table 3: Examples of reports with considerations relevant to equity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7874"/>
      </w:tblGrid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b/>
              </w:rPr>
            </w:pPr>
            <w:r w:rsidRPr="00093AEC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b/>
              </w:rPr>
            </w:pPr>
            <w:r w:rsidRPr="00093AEC">
              <w:rPr>
                <w:rFonts w:ascii="Arial" w:hAnsi="Arial" w:cs="Arial"/>
                <w:b/>
              </w:rPr>
              <w:t>Report title</w:t>
            </w:r>
          </w:p>
        </w:tc>
      </w:tr>
      <w:tr w:rsidR="00DA42C4" w:rsidRPr="00093AEC" w:rsidTr="00FF32FC">
        <w:tc>
          <w:tcPr>
            <w:tcW w:w="9288" w:type="dxa"/>
            <w:gridSpan w:val="2"/>
            <w:shd w:val="clear" w:color="auto" w:fill="D9D9D9" w:themeFill="background1" w:themeFillShade="D9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 xml:space="preserve">General </w:t>
            </w:r>
            <w:proofErr w:type="spellStart"/>
            <w:r w:rsidRPr="00093AEC">
              <w:rPr>
                <w:rFonts w:ascii="Arial" w:hAnsi="Arial" w:cs="Arial"/>
              </w:rPr>
              <w:t>focus</w:t>
            </w:r>
            <w:proofErr w:type="spellEnd"/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CRD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Population tobacco control interventions and their effects on social inequalities in smoking</w:t>
            </w:r>
          </w:p>
        </w:tc>
      </w:tr>
      <w:tr w:rsidR="00DA42C4" w:rsidRPr="00093AEC" w:rsidTr="00FF32FC">
        <w:tc>
          <w:tcPr>
            <w:tcW w:w="9288" w:type="dxa"/>
            <w:gridSpan w:val="2"/>
            <w:shd w:val="clear" w:color="auto" w:fill="D9D9D9" w:themeFill="background1" w:themeFillShade="D9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Objectives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CADTH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Pharmacologic-based Strategies for Smoking Cessation: Clinical and Cost-Effectiveness Analyses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CRD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Population tobacco control interventions and their effects on social inequalities in smoking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CRD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proofErr w:type="spellStart"/>
            <w:r w:rsidRPr="00093AEC">
              <w:rPr>
                <w:rFonts w:ascii="Arial" w:hAnsi="Arial" w:cs="Arial"/>
              </w:rPr>
              <w:t>Promoting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breastfeeding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DACEHTA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Reduction in the risk of cervical cancer by vaccination against human papillomavirus (HPV)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HAS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proofErr w:type="spellStart"/>
            <w:r w:rsidRPr="00093AEC">
              <w:rPr>
                <w:rFonts w:ascii="Arial" w:hAnsi="Arial" w:cs="Arial"/>
              </w:rPr>
              <w:t>Dépistage</w:t>
            </w:r>
            <w:proofErr w:type="spellEnd"/>
            <w:r w:rsidRPr="00093AEC">
              <w:rPr>
                <w:rFonts w:ascii="Arial" w:hAnsi="Arial" w:cs="Arial"/>
              </w:rPr>
              <w:t xml:space="preserve"> de la </w:t>
            </w:r>
            <w:proofErr w:type="spellStart"/>
            <w:r w:rsidRPr="00093AEC">
              <w:rPr>
                <w:rFonts w:ascii="Arial" w:hAnsi="Arial" w:cs="Arial"/>
              </w:rPr>
              <w:t>rétinopathie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diabétique</w:t>
            </w:r>
            <w:proofErr w:type="spellEnd"/>
            <w:r w:rsidRPr="00093AEC">
              <w:rPr>
                <w:rFonts w:ascii="Arial" w:hAnsi="Arial" w:cs="Arial"/>
              </w:rPr>
              <w:t xml:space="preserve"> par </w:t>
            </w:r>
            <w:proofErr w:type="spellStart"/>
            <w:r w:rsidRPr="00093AEC">
              <w:rPr>
                <w:rFonts w:ascii="Arial" w:hAnsi="Arial" w:cs="Arial"/>
              </w:rPr>
              <w:t>lecture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différée</w:t>
            </w:r>
            <w:proofErr w:type="spellEnd"/>
            <w:r w:rsidRPr="00093AEC">
              <w:rPr>
                <w:rFonts w:ascii="Arial" w:hAnsi="Arial" w:cs="Arial"/>
              </w:rPr>
              <w:t xml:space="preserve"> de </w:t>
            </w:r>
            <w:proofErr w:type="spellStart"/>
            <w:r w:rsidRPr="00093AEC">
              <w:rPr>
                <w:rFonts w:ascii="Arial" w:hAnsi="Arial" w:cs="Arial"/>
              </w:rPr>
              <w:t>photographies</w:t>
            </w:r>
            <w:proofErr w:type="spellEnd"/>
            <w:r w:rsidRPr="00093AEC">
              <w:rPr>
                <w:rFonts w:ascii="Arial" w:hAnsi="Arial" w:cs="Arial"/>
              </w:rPr>
              <w:t xml:space="preserve"> du </w:t>
            </w:r>
            <w:proofErr w:type="spellStart"/>
            <w:r w:rsidRPr="00093AEC">
              <w:rPr>
                <w:rFonts w:ascii="Arial" w:hAnsi="Arial" w:cs="Arial"/>
              </w:rPr>
              <w:t>fond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d’œil</w:t>
            </w:r>
            <w:proofErr w:type="spellEnd"/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KCE (2009)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Use of point-of care devices in patients with oral anticoagulation: a Health Technology Assessment</w:t>
            </w:r>
          </w:p>
        </w:tc>
      </w:tr>
      <w:tr w:rsidR="00DA42C4" w:rsidRPr="00093AEC" w:rsidTr="00FF32FC">
        <w:tc>
          <w:tcPr>
            <w:tcW w:w="9288" w:type="dxa"/>
            <w:gridSpan w:val="2"/>
            <w:shd w:val="clear" w:color="auto" w:fill="D9D9D9" w:themeFill="background1" w:themeFillShade="D9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Research Questions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CADTH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 xml:space="preserve">Computed Tomographic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Colonography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 for Colorectal Cancer Screening in an Average Risk Screening Population: Systematic Review and Economic Evaluation (18.12.2008)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CADTH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Pharmacologic-based Strategies for Smoking Cessation: Clinical and Cost-Effectiveness Analyses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CRD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Population tobacco control interventions and their effects on social inequalities in smoking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CRD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proofErr w:type="spellStart"/>
            <w:r w:rsidRPr="00093AEC">
              <w:rPr>
                <w:rFonts w:ascii="Arial" w:hAnsi="Arial" w:cs="Arial"/>
              </w:rPr>
              <w:t>Promoting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breastfeeding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DIMDI (2009)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Prävention von Adipositas bei Kindern und Jugendlichen (Verhalten- und Verhältnisprävention)</w:t>
            </w:r>
          </w:p>
        </w:tc>
      </w:tr>
      <w:tr w:rsidR="00DA42C4" w:rsidRPr="00093AEC" w:rsidTr="00FF32FC">
        <w:tc>
          <w:tcPr>
            <w:tcW w:w="9288" w:type="dxa"/>
            <w:gridSpan w:val="2"/>
            <w:shd w:val="clear" w:color="auto" w:fill="D9D9D9" w:themeFill="background1" w:themeFillShade="D9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Interpretation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AHRQ (2009)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Comparative Effectiveness of Angiotensin Converting Enzyme Inhibitors or Angiotensin II Receptor Blockers Added to Standard Medical Therapy for Treating Stable Ischemic Heart Disease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AHRQ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 xml:space="preserve">Comparative Effectiveness of Recombinant Factor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VIIa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 for Off-Label Indications vs. Usual Care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CADTH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Pharmacologic-based Strategies for Smoking Cessation: Clinical and Cost-Effectiveness Analyses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CADTH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proofErr w:type="spellStart"/>
            <w:r w:rsidRPr="00093AEC">
              <w:rPr>
                <w:rFonts w:ascii="Arial" w:hAnsi="Arial" w:cs="Arial"/>
                <w:lang w:val="en-US"/>
              </w:rPr>
              <w:t>Clopidogrel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 versus Other Antiplatelet Agents for Secondary Prevention of Vascular Events in Adults with Acute Coronary Syndrome or Peripheral Vascular Disease: Clinical and Cost-Effectiveness Analyses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CADTH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Bariatric Surgery for Severe Obesity: Systematic Review and Economic Evaluation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CRD (2007)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 xml:space="preserve">The treatment and management of chronic fatigue syndrome (CFS) /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myalgic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 encephalomyelitis (ME) in adults and children: update of CRD Report 22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CRD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Population tobacco control interventions and their effects on social inequalities in smoking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CRD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proofErr w:type="spellStart"/>
            <w:r w:rsidRPr="00093AEC">
              <w:rPr>
                <w:rFonts w:ascii="Arial" w:hAnsi="Arial" w:cs="Arial"/>
              </w:rPr>
              <w:t>Promoting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breastfeeding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CRD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proofErr w:type="spellStart"/>
            <w:r w:rsidRPr="00093AEC">
              <w:rPr>
                <w:rFonts w:ascii="Arial" w:hAnsi="Arial" w:cs="Arial"/>
              </w:rPr>
              <w:t>Photodynamic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therapy</w:t>
            </w:r>
            <w:proofErr w:type="spellEnd"/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DIMDI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 xml:space="preserve">Infektionsschutz in der </w:t>
            </w:r>
            <w:proofErr w:type="spellStart"/>
            <w:r w:rsidRPr="00093AEC">
              <w:rPr>
                <w:rFonts w:ascii="Arial" w:hAnsi="Arial" w:cs="Arial"/>
              </w:rPr>
              <w:t>Knieendoprothetik</w:t>
            </w:r>
            <w:proofErr w:type="spellEnd"/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DIMDI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Medikamentöse Behandlung der ADHS (Aufmerksamkeitsdefizit-/Hyperaktivitätsstörung) im Erwachsenenalter in Deutschland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proofErr w:type="spellStart"/>
            <w:r w:rsidRPr="00093AEC">
              <w:rPr>
                <w:rFonts w:ascii="Arial" w:hAnsi="Arial" w:cs="Arial"/>
              </w:rPr>
              <w:t>IQWiG</w:t>
            </w:r>
            <w:proofErr w:type="spellEnd"/>
            <w:r w:rsidRPr="00093AEC">
              <w:rPr>
                <w:rFonts w:ascii="Arial" w:hAnsi="Arial" w:cs="Arial"/>
              </w:rPr>
              <w:t xml:space="preserve">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proofErr w:type="spellStart"/>
            <w:r w:rsidRPr="00093AEC">
              <w:rPr>
                <w:rFonts w:ascii="Arial" w:hAnsi="Arial" w:cs="Arial"/>
              </w:rPr>
              <w:t>Allogene</w:t>
            </w:r>
            <w:proofErr w:type="spellEnd"/>
            <w:r w:rsidRPr="00093AEC">
              <w:rPr>
                <w:rFonts w:ascii="Arial" w:hAnsi="Arial" w:cs="Arial"/>
              </w:rPr>
              <w:t xml:space="preserve"> Stammzelltransplantation mit nicht verwandtem Spender bei der Indikation Hodgkin-Lymphom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KCE (2009)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Is neonatal screening for cystic fibrosis recommended in Belgium?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lastRenderedPageBreak/>
              <w:t>LBI (2009)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 xml:space="preserve">Medikamentöse </w:t>
            </w:r>
            <w:proofErr w:type="spellStart"/>
            <w:r w:rsidRPr="00093AEC">
              <w:rPr>
                <w:rFonts w:ascii="Arial" w:hAnsi="Arial" w:cs="Arial"/>
              </w:rPr>
              <w:t>Wehenhemmung</w:t>
            </w:r>
            <w:proofErr w:type="spellEnd"/>
            <w:r w:rsidRPr="00093AEC">
              <w:rPr>
                <w:rFonts w:ascii="Arial" w:hAnsi="Arial" w:cs="Arial"/>
              </w:rPr>
              <w:t xml:space="preserve"> bei drohender Frühgeburt - Systematischer Review zu Leitlinien, Wirksamkeit und Gesundheitsökonomischen Evaluationen der </w:t>
            </w:r>
            <w:proofErr w:type="spellStart"/>
            <w:r w:rsidRPr="00093AEC">
              <w:rPr>
                <w:rFonts w:ascii="Arial" w:hAnsi="Arial" w:cs="Arial"/>
              </w:rPr>
              <w:t>Tokolyse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LBI (2009)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 xml:space="preserve">Gamma </w:t>
            </w:r>
            <w:proofErr w:type="spellStart"/>
            <w:r w:rsidRPr="00093AEC">
              <w:rPr>
                <w:rFonts w:ascii="Arial" w:hAnsi="Arial" w:cs="Arial"/>
              </w:rPr>
              <w:t>Knife</w:t>
            </w:r>
            <w:proofErr w:type="spellEnd"/>
            <w:r w:rsidRPr="00093AEC">
              <w:rPr>
                <w:rFonts w:ascii="Arial" w:hAnsi="Arial" w:cs="Arial"/>
              </w:rPr>
              <w:t xml:space="preserve"> und radiochirurgisch eingesetzte („stereotaktische“) Linearbeschleuniger: Zwei Applikationsformen von Radiochirurgie im Vergleich 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NICE (2009)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  <w:lang w:val="en-US"/>
              </w:rPr>
              <w:t>Hearing impairment - cochlear implants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NICE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 xml:space="preserve">Gastrointestinal stromal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tumours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unresectable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/metastatic) -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imatinib</w:t>
            </w:r>
            <w:proofErr w:type="spellEnd"/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TLV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A review of medicines for lowering blood pressure</w:t>
            </w:r>
          </w:p>
        </w:tc>
      </w:tr>
      <w:tr w:rsidR="00DA42C4" w:rsidRPr="00093AEC" w:rsidTr="00FF32FC">
        <w:tc>
          <w:tcPr>
            <w:tcW w:w="9288" w:type="dxa"/>
            <w:gridSpan w:val="2"/>
            <w:shd w:val="clear" w:color="auto" w:fill="D9D9D9" w:themeFill="background1" w:themeFillShade="D9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Recommendations related to access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CADTH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Bariatric Surgery for Severe Obesity: Systematic Review and Economic Evaluation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CRD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proofErr w:type="spellStart"/>
            <w:r w:rsidRPr="00093AEC">
              <w:rPr>
                <w:rFonts w:ascii="Arial" w:hAnsi="Arial" w:cs="Arial"/>
              </w:rPr>
              <w:t>Photodynamic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therapy</w:t>
            </w:r>
            <w:proofErr w:type="spellEnd"/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DIMDI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 xml:space="preserve">Infektionsschutz in der </w:t>
            </w:r>
            <w:proofErr w:type="spellStart"/>
            <w:r w:rsidRPr="00093AEC">
              <w:rPr>
                <w:rFonts w:ascii="Arial" w:hAnsi="Arial" w:cs="Arial"/>
              </w:rPr>
              <w:t>Knieendoprothetik</w:t>
            </w:r>
            <w:proofErr w:type="spellEnd"/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HAS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proofErr w:type="spellStart"/>
            <w:r w:rsidRPr="00093AEC">
              <w:rPr>
                <w:rFonts w:ascii="Arial" w:hAnsi="Arial" w:cs="Arial"/>
              </w:rPr>
              <w:t>Dépistage</w:t>
            </w:r>
            <w:proofErr w:type="spellEnd"/>
            <w:r w:rsidRPr="00093AEC">
              <w:rPr>
                <w:rFonts w:ascii="Arial" w:hAnsi="Arial" w:cs="Arial"/>
              </w:rPr>
              <w:t xml:space="preserve"> de la </w:t>
            </w:r>
            <w:proofErr w:type="spellStart"/>
            <w:r w:rsidRPr="00093AEC">
              <w:rPr>
                <w:rFonts w:ascii="Arial" w:hAnsi="Arial" w:cs="Arial"/>
              </w:rPr>
              <w:t>rétinopathie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diabétique</w:t>
            </w:r>
            <w:proofErr w:type="spellEnd"/>
            <w:r w:rsidRPr="00093AEC">
              <w:rPr>
                <w:rFonts w:ascii="Arial" w:hAnsi="Arial" w:cs="Arial"/>
              </w:rPr>
              <w:t xml:space="preserve"> par </w:t>
            </w:r>
            <w:proofErr w:type="spellStart"/>
            <w:r w:rsidRPr="00093AEC">
              <w:rPr>
                <w:rFonts w:ascii="Arial" w:hAnsi="Arial" w:cs="Arial"/>
              </w:rPr>
              <w:t>lecture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différée</w:t>
            </w:r>
            <w:proofErr w:type="spellEnd"/>
            <w:r w:rsidRPr="00093AEC">
              <w:rPr>
                <w:rFonts w:ascii="Arial" w:hAnsi="Arial" w:cs="Arial"/>
              </w:rPr>
              <w:t xml:space="preserve"> de </w:t>
            </w:r>
            <w:proofErr w:type="spellStart"/>
            <w:r w:rsidRPr="00093AEC">
              <w:rPr>
                <w:rFonts w:ascii="Arial" w:hAnsi="Arial" w:cs="Arial"/>
              </w:rPr>
              <w:t>photographies</w:t>
            </w:r>
            <w:proofErr w:type="spellEnd"/>
            <w:r w:rsidRPr="00093AEC">
              <w:rPr>
                <w:rFonts w:ascii="Arial" w:hAnsi="Arial" w:cs="Arial"/>
              </w:rPr>
              <w:t xml:space="preserve"> du </w:t>
            </w:r>
            <w:proofErr w:type="spellStart"/>
            <w:r w:rsidRPr="00093AEC">
              <w:rPr>
                <w:rFonts w:ascii="Arial" w:hAnsi="Arial" w:cs="Arial"/>
              </w:rPr>
              <w:t>fond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d’œil</w:t>
            </w:r>
            <w:proofErr w:type="spellEnd"/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  <w:lang w:val="en-US"/>
              </w:rPr>
              <w:t>HAS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 xml:space="preserve">Evaluation des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dispositifs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 de compression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médicale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 à usage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individuel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Utilisation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en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 pathologies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vasculaires</w:t>
            </w:r>
            <w:proofErr w:type="spellEnd"/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MSAC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Middle Ear Implant for Sensorineural, Conductive and Mixed Hearing Losses</w:t>
            </w:r>
          </w:p>
        </w:tc>
      </w:tr>
      <w:tr w:rsidR="00DA42C4" w:rsidRPr="00093AEC" w:rsidTr="00FF32FC">
        <w:tc>
          <w:tcPr>
            <w:tcW w:w="9288" w:type="dxa"/>
            <w:gridSpan w:val="2"/>
            <w:shd w:val="clear" w:color="auto" w:fill="D9D9D9" w:themeFill="background1" w:themeFillShade="D9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Recommendations for targeted interventions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CRD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proofErr w:type="spellStart"/>
            <w:r w:rsidRPr="00093AEC">
              <w:rPr>
                <w:rFonts w:ascii="Arial" w:hAnsi="Arial" w:cs="Arial"/>
              </w:rPr>
              <w:t>Promoting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breastfeeding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DIMDI (2009)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Prävention von Adipositas bei Kindern und Jugendlichen (Verhalten- und Verhältnisprävention)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GÖG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Effektivität und Effizienz eines Diabetes-Typ-2-Screenings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HAS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proofErr w:type="spellStart"/>
            <w:r w:rsidRPr="00093AEC">
              <w:rPr>
                <w:rFonts w:ascii="Arial" w:hAnsi="Arial" w:cs="Arial"/>
              </w:rPr>
              <w:t>Dépistage</w:t>
            </w:r>
            <w:proofErr w:type="spellEnd"/>
            <w:r w:rsidRPr="00093AEC">
              <w:rPr>
                <w:rFonts w:ascii="Arial" w:hAnsi="Arial" w:cs="Arial"/>
              </w:rPr>
              <w:t xml:space="preserve"> et </w:t>
            </w:r>
            <w:proofErr w:type="spellStart"/>
            <w:r w:rsidRPr="00093AEC">
              <w:rPr>
                <w:rFonts w:ascii="Arial" w:hAnsi="Arial" w:cs="Arial"/>
              </w:rPr>
              <w:t>prise</w:t>
            </w:r>
            <w:proofErr w:type="spellEnd"/>
            <w:r w:rsidRPr="00093AEC">
              <w:rPr>
                <w:rFonts w:ascii="Arial" w:hAnsi="Arial" w:cs="Arial"/>
              </w:rPr>
              <w:t xml:space="preserve"> en </w:t>
            </w:r>
            <w:proofErr w:type="spellStart"/>
            <w:r w:rsidRPr="00093AEC">
              <w:rPr>
                <w:rFonts w:ascii="Arial" w:hAnsi="Arial" w:cs="Arial"/>
              </w:rPr>
              <w:t>charge</w:t>
            </w:r>
            <w:proofErr w:type="spellEnd"/>
            <w:r w:rsidRPr="00093AEC">
              <w:rPr>
                <w:rFonts w:ascii="Arial" w:hAnsi="Arial" w:cs="Arial"/>
              </w:rPr>
              <w:t xml:space="preserve"> de </w:t>
            </w:r>
            <w:proofErr w:type="spellStart"/>
            <w:r w:rsidRPr="00093AEC">
              <w:rPr>
                <w:rFonts w:ascii="Arial" w:hAnsi="Arial" w:cs="Arial"/>
              </w:rPr>
              <w:t>l’infection</w:t>
            </w:r>
            <w:proofErr w:type="spellEnd"/>
            <w:r w:rsidRPr="00093AEC">
              <w:rPr>
                <w:rFonts w:ascii="Arial" w:hAnsi="Arial" w:cs="Arial"/>
              </w:rPr>
              <w:t xml:space="preserve"> à </w:t>
            </w:r>
            <w:proofErr w:type="spellStart"/>
            <w:r w:rsidRPr="00093AEC">
              <w:rPr>
                <w:rFonts w:ascii="Arial" w:hAnsi="Arial" w:cs="Arial"/>
              </w:rPr>
              <w:t>Neisseria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  <w:proofErr w:type="spellStart"/>
            <w:r w:rsidRPr="00093AEC">
              <w:rPr>
                <w:rFonts w:ascii="Arial" w:hAnsi="Arial" w:cs="Arial"/>
              </w:rPr>
              <w:t>gonorrhoeae</w:t>
            </w:r>
            <w:proofErr w:type="spellEnd"/>
            <w:r w:rsidRPr="00093AEC">
              <w:rPr>
                <w:rFonts w:ascii="Arial" w:hAnsi="Arial" w:cs="Arial"/>
              </w:rPr>
              <w:t xml:space="preserve"> : </w:t>
            </w:r>
            <w:proofErr w:type="spellStart"/>
            <w:r w:rsidRPr="00093AEC">
              <w:rPr>
                <w:rFonts w:ascii="Arial" w:hAnsi="Arial" w:cs="Arial"/>
              </w:rPr>
              <w:t>état</w:t>
            </w:r>
            <w:proofErr w:type="spellEnd"/>
            <w:r w:rsidRPr="00093AEC">
              <w:rPr>
                <w:rFonts w:ascii="Arial" w:hAnsi="Arial" w:cs="Arial"/>
              </w:rPr>
              <w:t xml:space="preserve"> des </w:t>
            </w:r>
            <w:proofErr w:type="spellStart"/>
            <w:r w:rsidRPr="00093AEC">
              <w:rPr>
                <w:rFonts w:ascii="Arial" w:hAnsi="Arial" w:cs="Arial"/>
              </w:rPr>
              <w:t>lieux</w:t>
            </w:r>
            <w:proofErr w:type="spellEnd"/>
            <w:r w:rsidRPr="00093AEC">
              <w:rPr>
                <w:rFonts w:ascii="Arial" w:hAnsi="Arial" w:cs="Arial"/>
              </w:rPr>
              <w:t xml:space="preserve"> et </w:t>
            </w:r>
            <w:proofErr w:type="spellStart"/>
            <w:r w:rsidRPr="00093AEC">
              <w:rPr>
                <w:rFonts w:ascii="Arial" w:hAnsi="Arial" w:cs="Arial"/>
              </w:rPr>
              <w:t>propositions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KCE (2007)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 xml:space="preserve">Home Monitoring of Infants in Prevention of Sudden Infant Death Syndrome 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LBI (2009)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 xml:space="preserve">Risiko und Nutzen von Folsäure-Anreicherung im Mehl in Österreich </w:t>
            </w:r>
          </w:p>
        </w:tc>
      </w:tr>
      <w:tr w:rsidR="00DA42C4" w:rsidRPr="00093AEC" w:rsidTr="00FF32FC">
        <w:tc>
          <w:tcPr>
            <w:tcW w:w="9288" w:type="dxa"/>
            <w:gridSpan w:val="2"/>
            <w:shd w:val="clear" w:color="auto" w:fill="D9D9D9" w:themeFill="background1" w:themeFillShade="D9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Support of societal perspective /universal access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CRD (2008)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>Population tobacco control interventions and their effects on social inequalities in smoking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</w:rPr>
              <w:t>DIMDI (2009)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Prävention von Adipositas bei Kindern und Jugendlichen (Verhalten- und Verhältnisprävention)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LBI (2009)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 xml:space="preserve">Medikamentöse </w:t>
            </w:r>
            <w:proofErr w:type="spellStart"/>
            <w:r w:rsidRPr="00093AEC">
              <w:rPr>
                <w:rFonts w:ascii="Arial" w:hAnsi="Arial" w:cs="Arial"/>
              </w:rPr>
              <w:t>Wehenhemmung</w:t>
            </w:r>
            <w:proofErr w:type="spellEnd"/>
            <w:r w:rsidRPr="00093AEC">
              <w:rPr>
                <w:rFonts w:ascii="Arial" w:hAnsi="Arial" w:cs="Arial"/>
              </w:rPr>
              <w:t xml:space="preserve"> bei drohender Frühgeburt - Systematischer Review zu Leitlinien, Wirksamkeit und Gesundheitsökonomischen Evaluationen der </w:t>
            </w:r>
            <w:proofErr w:type="spellStart"/>
            <w:r w:rsidRPr="00093AEC">
              <w:rPr>
                <w:rFonts w:ascii="Arial" w:hAnsi="Arial" w:cs="Arial"/>
              </w:rPr>
              <w:t>Tokolyse</w:t>
            </w:r>
            <w:proofErr w:type="spellEnd"/>
            <w:r w:rsidRPr="00093AEC">
              <w:rPr>
                <w:rFonts w:ascii="Arial" w:hAnsi="Arial" w:cs="Arial"/>
              </w:rPr>
              <w:t xml:space="preserve"> </w:t>
            </w:r>
          </w:p>
        </w:tc>
      </w:tr>
      <w:tr w:rsidR="00DA42C4" w:rsidRPr="00093AEC" w:rsidTr="00FF32FC">
        <w:tc>
          <w:tcPr>
            <w:tcW w:w="1414" w:type="dxa"/>
          </w:tcPr>
          <w:p w:rsidR="00DA42C4" w:rsidRPr="00093AEC" w:rsidRDefault="00DA42C4" w:rsidP="00FF32FC">
            <w:pPr>
              <w:rPr>
                <w:rFonts w:ascii="Arial" w:hAnsi="Arial" w:cs="Arial"/>
              </w:rPr>
            </w:pPr>
            <w:r w:rsidRPr="00093AEC">
              <w:rPr>
                <w:rFonts w:ascii="Arial" w:hAnsi="Arial" w:cs="Arial"/>
              </w:rPr>
              <w:t>NICE (2010)</w:t>
            </w:r>
          </w:p>
        </w:tc>
        <w:tc>
          <w:tcPr>
            <w:tcW w:w="7874" w:type="dxa"/>
          </w:tcPr>
          <w:p w:rsidR="00DA42C4" w:rsidRPr="00093AEC" w:rsidRDefault="00DA42C4" w:rsidP="00FF32FC">
            <w:pPr>
              <w:rPr>
                <w:rFonts w:ascii="Arial" w:hAnsi="Arial" w:cs="Arial"/>
                <w:lang w:val="en-US"/>
              </w:rPr>
            </w:pPr>
            <w:r w:rsidRPr="00093AEC">
              <w:rPr>
                <w:rFonts w:ascii="Arial" w:hAnsi="Arial" w:cs="Arial"/>
                <w:lang w:val="en-US"/>
              </w:rPr>
              <w:t xml:space="preserve">Gastrointestinal stromal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tumours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unresectable</w:t>
            </w:r>
            <w:proofErr w:type="spellEnd"/>
            <w:r w:rsidRPr="00093AEC">
              <w:rPr>
                <w:rFonts w:ascii="Arial" w:hAnsi="Arial" w:cs="Arial"/>
                <w:lang w:val="en-US"/>
              </w:rPr>
              <w:t xml:space="preserve">/metastatic) - </w:t>
            </w:r>
            <w:proofErr w:type="spellStart"/>
            <w:r w:rsidRPr="00093AEC">
              <w:rPr>
                <w:rFonts w:ascii="Arial" w:hAnsi="Arial" w:cs="Arial"/>
                <w:lang w:val="en-US"/>
              </w:rPr>
              <w:t>imatinib</w:t>
            </w:r>
            <w:proofErr w:type="spellEnd"/>
          </w:p>
        </w:tc>
      </w:tr>
      <w:bookmarkEnd w:id="0"/>
    </w:tbl>
    <w:p w:rsidR="00DA42C4" w:rsidRPr="00093AEC" w:rsidRDefault="00DA42C4">
      <w:pPr>
        <w:rPr>
          <w:rFonts w:ascii="Arial" w:hAnsi="Arial" w:cs="Arial"/>
          <w:lang w:val="en-US"/>
        </w:rPr>
      </w:pPr>
    </w:p>
    <w:sectPr w:rsidR="00DA42C4" w:rsidRPr="00093AE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E9" w:rsidRDefault="001216E9" w:rsidP="001216E9">
      <w:pPr>
        <w:spacing w:after="0" w:line="240" w:lineRule="auto"/>
      </w:pPr>
      <w:r>
        <w:separator/>
      </w:r>
    </w:p>
  </w:endnote>
  <w:endnote w:type="continuationSeparator" w:id="0">
    <w:p w:rsidR="001216E9" w:rsidRDefault="001216E9" w:rsidP="0012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E9" w:rsidRDefault="001216E9" w:rsidP="001216E9">
      <w:pPr>
        <w:spacing w:after="0" w:line="240" w:lineRule="auto"/>
      </w:pPr>
      <w:r>
        <w:separator/>
      </w:r>
    </w:p>
  </w:footnote>
  <w:footnote w:type="continuationSeparator" w:id="0">
    <w:p w:rsidR="001216E9" w:rsidRDefault="001216E9" w:rsidP="0012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E9" w:rsidRDefault="001216E9">
    <w:pPr>
      <w:pStyle w:val="Kopfzeile"/>
    </w:pPr>
  </w:p>
  <w:p w:rsidR="001216E9" w:rsidRDefault="001216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71"/>
    <w:rsid w:val="00093AEC"/>
    <w:rsid w:val="000D181A"/>
    <w:rsid w:val="001216E9"/>
    <w:rsid w:val="003F353C"/>
    <w:rsid w:val="00625EFB"/>
    <w:rsid w:val="006D2AE3"/>
    <w:rsid w:val="0099194A"/>
    <w:rsid w:val="00A96771"/>
    <w:rsid w:val="00B80566"/>
    <w:rsid w:val="00C4639A"/>
    <w:rsid w:val="00C80585"/>
    <w:rsid w:val="00DA42C4"/>
    <w:rsid w:val="00DC1D0A"/>
    <w:rsid w:val="00F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D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6E9"/>
  </w:style>
  <w:style w:type="paragraph" w:styleId="Fuzeile">
    <w:name w:val="footer"/>
    <w:basedOn w:val="Standard"/>
    <w:link w:val="FuzeileZchn"/>
    <w:uiPriority w:val="99"/>
    <w:unhideWhenUsed/>
    <w:rsid w:val="0012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D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6E9"/>
  </w:style>
  <w:style w:type="paragraph" w:styleId="Fuzeile">
    <w:name w:val="footer"/>
    <w:basedOn w:val="Standard"/>
    <w:link w:val="FuzeileZchn"/>
    <w:uiPriority w:val="99"/>
    <w:unhideWhenUsed/>
    <w:rsid w:val="0012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Panteli</dc:creator>
  <cp:keywords/>
  <dc:description/>
  <cp:lastModifiedBy>dimiHome</cp:lastModifiedBy>
  <cp:revision>8</cp:revision>
  <cp:lastPrinted>2015-04-02T14:17:00Z</cp:lastPrinted>
  <dcterms:created xsi:type="dcterms:W3CDTF">2015-04-02T13:36:00Z</dcterms:created>
  <dcterms:modified xsi:type="dcterms:W3CDTF">2015-04-03T09:32:00Z</dcterms:modified>
</cp:coreProperties>
</file>