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F1" w:rsidRDefault="00360FF1" w:rsidP="00360FF1">
      <w:r>
        <w:t>Supplementary Material 1-</w:t>
      </w:r>
      <w:r w:rsidRPr="008C5293">
        <w:t xml:space="preserve"> </w:t>
      </w:r>
      <w:r>
        <w:t>S</w:t>
      </w:r>
      <w:r w:rsidRPr="000C242F">
        <w:t xml:space="preserve">earch </w:t>
      </w:r>
      <w:r>
        <w:t>S</w:t>
      </w:r>
      <w:r w:rsidRPr="000C242F">
        <w:t>trategy</w:t>
      </w:r>
    </w:p>
    <w:p w:rsidR="00360FF1" w:rsidRDefault="00360FF1" w:rsidP="00360FF1"/>
    <w:p w:rsidR="00360FF1" w:rsidRPr="003802E9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02E9">
        <w:rPr>
          <w:rFonts w:ascii="Times New Roman" w:eastAsia="Times New Roman" w:hAnsi="Times New Roman" w:cs="Times New Roman"/>
          <w:b/>
        </w:rPr>
        <w:t>DATABASES</w:t>
      </w: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Ovid:</w:t>
      </w: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802E9">
        <w:rPr>
          <w:rFonts w:ascii="Times New Roman" w:eastAsia="Times New Roman" w:hAnsi="Times New Roman" w:cs="Times New Roman"/>
          <w:sz w:val="20"/>
          <w:szCs w:val="20"/>
        </w:rPr>
        <w:t>Embase</w:t>
      </w:r>
      <w:proofErr w:type="spellEnd"/>
      <w:r w:rsidRPr="003802E9">
        <w:rPr>
          <w:rFonts w:ascii="Times New Roman" w:eastAsia="Times New Roman" w:hAnsi="Times New Roman" w:cs="Times New Roman"/>
          <w:sz w:val="20"/>
          <w:szCs w:val="20"/>
        </w:rPr>
        <w:t xml:space="preserve"> &lt;1980 to 2013 Week 22&gt; ; Ovid MEDLINE(R) In-Process &amp; Other Non-Indexed Citations and Ovid MEDLINE(R) &lt;1946 to Present&gt; ; </w:t>
      </w:r>
      <w:proofErr w:type="spellStart"/>
      <w:r w:rsidRPr="003802E9">
        <w:rPr>
          <w:rFonts w:ascii="Times New Roman" w:eastAsia="Times New Roman" w:hAnsi="Times New Roman" w:cs="Times New Roman"/>
          <w:sz w:val="20"/>
          <w:szCs w:val="20"/>
        </w:rPr>
        <w:t>PsycINFO</w:t>
      </w:r>
      <w:proofErr w:type="spellEnd"/>
      <w:r w:rsidRPr="003802E9">
        <w:rPr>
          <w:rFonts w:ascii="Times New Roman" w:eastAsia="Times New Roman" w:hAnsi="Times New Roman" w:cs="Times New Roman"/>
          <w:sz w:val="20"/>
          <w:szCs w:val="20"/>
        </w:rPr>
        <w:t xml:space="preserve"> &lt;1806 to </w:t>
      </w:r>
      <w:r>
        <w:rPr>
          <w:rFonts w:ascii="Times New Roman" w:eastAsia="Times New Roman" w:hAnsi="Times New Roman" w:cs="Times New Roman"/>
          <w:sz w:val="20"/>
          <w:szCs w:val="20"/>
        </w:rPr>
        <w:t>April</w:t>
      </w:r>
      <w:r w:rsidRPr="003802E9">
        <w:rPr>
          <w:rFonts w:ascii="Times New Roman" w:eastAsia="Times New Roman" w:hAnsi="Times New Roman" w:cs="Times New Roman"/>
          <w:sz w:val="20"/>
          <w:szCs w:val="20"/>
        </w:rPr>
        <w:t xml:space="preserve"> Week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802E9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802E9">
        <w:rPr>
          <w:rFonts w:ascii="Times New Roman" w:eastAsia="Times New Roman" w:hAnsi="Times New Roman" w:cs="Times New Roman"/>
          <w:sz w:val="20"/>
          <w:szCs w:val="20"/>
        </w:rPr>
        <w:t>&gt;; Wiley’s Cochrane Library  &lt;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F7C7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quarter 2014</w:t>
      </w:r>
      <w:r w:rsidRPr="003802E9">
        <w:rPr>
          <w:rFonts w:ascii="Times New Roman" w:eastAsia="Times New Roman" w:hAnsi="Times New Roman" w:cs="Times New Roman"/>
          <w:sz w:val="20"/>
          <w:szCs w:val="20"/>
        </w:rPr>
        <w:t>&gt;; and the Centre for Reviews and Dissemination’s (CRD) HTA database &lt;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F7C7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quarter 2014</w:t>
      </w:r>
      <w:r w:rsidRPr="003802E9">
        <w:rPr>
          <w:rFonts w:ascii="Times New Roman" w:eastAsia="Times New Roman" w:hAnsi="Times New Roman" w:cs="Times New Roman"/>
          <w:sz w:val="20"/>
          <w:szCs w:val="20"/>
        </w:rPr>
        <w:t>&gt;</w:t>
      </w: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PubMed:</w:t>
      </w: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2E9">
        <w:rPr>
          <w:rFonts w:ascii="Times New Roman" w:eastAsia="Times New Roman" w:hAnsi="Times New Roman" w:cs="Times New Roman"/>
          <w:sz w:val="20"/>
          <w:szCs w:val="20"/>
        </w:rPr>
        <w:t xml:space="preserve">PubMed &lt;up to </w:t>
      </w:r>
      <w:r>
        <w:rPr>
          <w:rFonts w:ascii="Times New Roman" w:eastAsia="Times New Roman" w:hAnsi="Times New Roman" w:cs="Times New Roman"/>
          <w:sz w:val="20"/>
          <w:szCs w:val="20"/>
        </w:rPr>
        <w:t>April 15</w:t>
      </w:r>
      <w:r w:rsidRPr="00A0474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2014</w:t>
      </w:r>
      <w:r w:rsidRPr="003802E9">
        <w:rPr>
          <w:rFonts w:ascii="Times New Roman" w:eastAsia="Times New Roman" w:hAnsi="Times New Roman" w:cs="Times New Roman"/>
          <w:sz w:val="20"/>
          <w:szCs w:val="20"/>
        </w:rPr>
        <w:t>&gt;</w:t>
      </w:r>
    </w:p>
    <w:p w:rsidR="00360FF1" w:rsidRPr="003802E9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FF1" w:rsidRPr="008F7C75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7C75">
        <w:rPr>
          <w:rFonts w:ascii="Times New Roman" w:eastAsia="Times New Roman" w:hAnsi="Times New Roman" w:cs="Times New Roman"/>
          <w:sz w:val="20"/>
          <w:szCs w:val="20"/>
        </w:rPr>
        <w:t>Ethicsweb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60FF1" w:rsidRPr="008F7C75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7C75">
        <w:rPr>
          <w:rFonts w:ascii="Times New Roman" w:eastAsia="Times New Roman" w:hAnsi="Times New Roman" w:cs="Times New Roman"/>
          <w:sz w:val="20"/>
          <w:szCs w:val="20"/>
        </w:rPr>
        <w:t>Bioethics Literature Database (BELIT</w:t>
      </w:r>
      <w:proofErr w:type="gramStart"/>
      <w:r w:rsidRPr="008F7C75">
        <w:rPr>
          <w:rFonts w:ascii="Times New Roman" w:eastAsia="Times New Roman" w:hAnsi="Times New Roman" w:cs="Times New Roman"/>
          <w:sz w:val="20"/>
          <w:szCs w:val="20"/>
        </w:rPr>
        <w:t>)&lt;</w:t>
      </w:r>
      <w:proofErr w:type="gramEnd"/>
      <w:r w:rsidRPr="008F7C75">
        <w:rPr>
          <w:rFonts w:ascii="Times New Roman" w:eastAsia="Times New Roman" w:hAnsi="Times New Roman" w:cs="Times New Roman"/>
          <w:sz w:val="20"/>
          <w:szCs w:val="20"/>
        </w:rPr>
        <w:t>up to April 2014&gt;</w:t>
      </w: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7C75">
        <w:rPr>
          <w:rFonts w:ascii="Times New Roman" w:eastAsia="Times New Roman" w:hAnsi="Times New Roman" w:cs="Times New Roman"/>
          <w:sz w:val="20"/>
          <w:szCs w:val="20"/>
        </w:rPr>
        <w:t>European Database on Literature of Ethics in Biotechnology (ENDEBIT) &lt;up to April 2014&gt;</w:t>
      </w: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FF1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FF1" w:rsidRPr="008F7C75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FF1" w:rsidRPr="008C5293" w:rsidRDefault="00360FF1" w:rsidP="00360FF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STRATEGY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ascii="Trebuchet MS" w:eastAsia="Times New Roman" w:hAnsi="Trebuchet MS" w:cs="Times New Roman"/>
          <w:color w:val="0A0905"/>
          <w:sz w:val="18"/>
          <w:szCs w:val="18"/>
        </w:rPr>
        <w:t>(</w:t>
      </w:r>
      <w:proofErr w:type="gramStart"/>
      <w:r w:rsidRPr="000C242F">
        <w:rPr>
          <w:rFonts w:eastAsia="Times New Roman" w:cs="Times New Roman"/>
          <w:color w:val="0A0905"/>
          <w:sz w:val="20"/>
          <w:szCs w:val="20"/>
        </w:rPr>
        <w:t>ethics</w:t>
      </w:r>
      <w:proofErr w:type="gramEnd"/>
      <w:r w:rsidRPr="000C242F">
        <w:rPr>
          <w:rFonts w:eastAsia="Times New Roman" w:cs="Times New Roman"/>
          <w:color w:val="0A0905"/>
          <w:sz w:val="20"/>
          <w:szCs w:val="20"/>
        </w:rPr>
        <w:t xml:space="preserve"> or ethical* or moral* or 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bioethic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>*).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mp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>.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C242F">
        <w:rPr>
          <w:sz w:val="20"/>
          <w:szCs w:val="20"/>
        </w:rPr>
        <w:t xml:space="preserve">(humanism or dignity or integrity or human right* or principlism or </w:t>
      </w:r>
      <w:proofErr w:type="spellStart"/>
      <w:r w:rsidRPr="000C242F">
        <w:rPr>
          <w:sz w:val="20"/>
          <w:szCs w:val="20"/>
        </w:rPr>
        <w:t>normativ</w:t>
      </w:r>
      <w:proofErr w:type="spellEnd"/>
      <w:r w:rsidRPr="000C242F">
        <w:rPr>
          <w:sz w:val="20"/>
          <w:szCs w:val="20"/>
        </w:rPr>
        <w:t xml:space="preserve">* or principle-base* or beneficence or autonomy or non-maleficence or </w:t>
      </w:r>
      <w:proofErr w:type="spellStart"/>
      <w:r w:rsidRPr="000C242F">
        <w:rPr>
          <w:sz w:val="20"/>
          <w:szCs w:val="20"/>
        </w:rPr>
        <w:t>philosoph</w:t>
      </w:r>
      <w:proofErr w:type="spellEnd"/>
      <w:r w:rsidRPr="000C242F">
        <w:rPr>
          <w:sz w:val="20"/>
          <w:szCs w:val="20"/>
        </w:rPr>
        <w:t xml:space="preserve">* or </w:t>
      </w:r>
      <w:proofErr w:type="spellStart"/>
      <w:r w:rsidRPr="000C242F">
        <w:rPr>
          <w:sz w:val="20"/>
          <w:szCs w:val="20"/>
        </w:rPr>
        <w:t>aristoteles</w:t>
      </w:r>
      <w:proofErr w:type="spellEnd"/>
      <w:r w:rsidRPr="000C242F">
        <w:rPr>
          <w:sz w:val="20"/>
          <w:szCs w:val="20"/>
        </w:rPr>
        <w:t xml:space="preserve"> or </w:t>
      </w:r>
      <w:proofErr w:type="spellStart"/>
      <w:r w:rsidRPr="000C242F">
        <w:rPr>
          <w:sz w:val="20"/>
          <w:szCs w:val="20"/>
        </w:rPr>
        <w:t>socrates</w:t>
      </w:r>
      <w:proofErr w:type="spellEnd"/>
      <w:r w:rsidRPr="000C242F">
        <w:rPr>
          <w:sz w:val="20"/>
          <w:szCs w:val="20"/>
        </w:rPr>
        <w:t xml:space="preserve"> or justice or fairness or hope or accessible or accessibility or Beauchamp or </w:t>
      </w:r>
      <w:proofErr w:type="spellStart"/>
      <w:r w:rsidRPr="000C242F">
        <w:rPr>
          <w:sz w:val="20"/>
          <w:szCs w:val="20"/>
        </w:rPr>
        <w:t>childress</w:t>
      </w:r>
      <w:proofErr w:type="spellEnd"/>
      <w:r w:rsidRPr="000C242F">
        <w:rPr>
          <w:sz w:val="20"/>
          <w:szCs w:val="20"/>
        </w:rPr>
        <w:t xml:space="preserve"> or equilibrium* or wide reflective* or </w:t>
      </w:r>
      <w:proofErr w:type="spellStart"/>
      <w:r w:rsidRPr="000C242F">
        <w:rPr>
          <w:sz w:val="20"/>
          <w:szCs w:val="20"/>
        </w:rPr>
        <w:t>socratic</w:t>
      </w:r>
      <w:proofErr w:type="spellEnd"/>
      <w:r w:rsidRPr="000C242F">
        <w:rPr>
          <w:sz w:val="20"/>
          <w:szCs w:val="20"/>
        </w:rPr>
        <w:t xml:space="preserve"> or social shaping or casuistry or coherence </w:t>
      </w:r>
      <w:proofErr w:type="spellStart"/>
      <w:r w:rsidRPr="000C242F">
        <w:rPr>
          <w:sz w:val="20"/>
          <w:szCs w:val="20"/>
        </w:rPr>
        <w:t>analy</w:t>
      </w:r>
      <w:proofErr w:type="spellEnd"/>
      <w:r w:rsidRPr="000C242F">
        <w:rPr>
          <w:sz w:val="20"/>
          <w:szCs w:val="20"/>
        </w:rPr>
        <w:t xml:space="preserve">* or eclectic* or right to die or right to life or social value* or ethnic value* or personal value* or harm or benefit-harm or harm-benefit or </w:t>
      </w:r>
      <w:proofErr w:type="spellStart"/>
      <w:r w:rsidRPr="000C242F">
        <w:rPr>
          <w:sz w:val="20"/>
          <w:szCs w:val="20"/>
        </w:rPr>
        <w:t>elsi</w:t>
      </w:r>
      <w:proofErr w:type="spellEnd"/>
      <w:r w:rsidRPr="000C242F">
        <w:rPr>
          <w:sz w:val="20"/>
          <w:szCs w:val="20"/>
        </w:rPr>
        <w:t xml:space="preserve"> or </w:t>
      </w:r>
      <w:proofErr w:type="spellStart"/>
      <w:r w:rsidRPr="000C242F">
        <w:rPr>
          <w:sz w:val="20"/>
          <w:szCs w:val="20"/>
        </w:rPr>
        <w:t>elsa</w:t>
      </w:r>
      <w:proofErr w:type="spellEnd"/>
      <w:r w:rsidRPr="000C242F">
        <w:rPr>
          <w:sz w:val="20"/>
          <w:szCs w:val="20"/>
        </w:rPr>
        <w:t>).</w:t>
      </w:r>
      <w:proofErr w:type="spellStart"/>
      <w:r w:rsidRPr="000C242F">
        <w:rPr>
          <w:sz w:val="20"/>
          <w:szCs w:val="20"/>
        </w:rPr>
        <w:t>ti,ab,</w:t>
      </w:r>
      <w:r>
        <w:rPr>
          <w:sz w:val="20"/>
          <w:szCs w:val="20"/>
        </w:rPr>
        <w:t>kw</w:t>
      </w:r>
      <w:proofErr w:type="spellEnd"/>
      <w:r w:rsidRPr="000C242F">
        <w:rPr>
          <w:sz w:val="20"/>
          <w:szCs w:val="20"/>
        </w:rPr>
        <w:t>.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sz w:val="20"/>
          <w:szCs w:val="20"/>
        </w:rPr>
        <w:t xml:space="preserve">1 or 2  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exp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 xml:space="preserve"> *Technology Assessment, Biomedical/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>*Biomedical Technology Assessment/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>(</w:t>
      </w:r>
      <w:proofErr w:type="gramStart"/>
      <w:r w:rsidRPr="000C242F">
        <w:rPr>
          <w:rFonts w:eastAsia="Times New Roman" w:cs="Times New Roman"/>
          <w:color w:val="0A0905"/>
          <w:sz w:val="20"/>
          <w:szCs w:val="20"/>
        </w:rPr>
        <w:t>health</w:t>
      </w:r>
      <w:proofErr w:type="gramEnd"/>
      <w:r w:rsidRPr="000C242F">
        <w:rPr>
          <w:rFonts w:eastAsia="Times New Roman" w:cs="Times New Roman"/>
          <w:color w:val="0A0905"/>
          <w:sz w:val="20"/>
          <w:szCs w:val="20"/>
        </w:rPr>
        <w:t xml:space="preserve"> technology assessment? or HTA? or ((new or 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emerg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 xml:space="preserve">*) adj3 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technolog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>*)).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ti,ab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>.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>4 or 5 or 6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 xml:space="preserve">(barrier? or challenge? or enable* or 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facilitat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 xml:space="preserve">* or obstacle? or inhibit* or 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promot</w:t>
      </w:r>
      <w:proofErr w:type="spellEnd"/>
      <w:r w:rsidRPr="000C242F">
        <w:rPr>
          <w:rFonts w:eastAsia="Times New Roman" w:cs="Times New Roman"/>
          <w:color w:val="0A0905"/>
          <w:sz w:val="20"/>
          <w:szCs w:val="20"/>
        </w:rPr>
        <w:t>*).</w:t>
      </w:r>
      <w:proofErr w:type="spellStart"/>
      <w:r w:rsidRPr="000C242F">
        <w:rPr>
          <w:rFonts w:eastAsia="Times New Roman" w:cs="Times New Roman"/>
          <w:color w:val="0A0905"/>
          <w:sz w:val="20"/>
          <w:szCs w:val="20"/>
        </w:rPr>
        <w:t>mp</w:t>
      </w:r>
      <w:proofErr w:type="spellEnd"/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>3 and 7 and 8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>remove duplicates from 9</w:t>
      </w:r>
    </w:p>
    <w:p w:rsidR="00360FF1" w:rsidRPr="000C242F" w:rsidRDefault="00360FF1" w:rsidP="00360FF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0C242F">
        <w:rPr>
          <w:rFonts w:eastAsia="Times New Roman" w:cs="Times New Roman"/>
          <w:color w:val="0A0905"/>
          <w:sz w:val="20"/>
          <w:szCs w:val="20"/>
        </w:rPr>
        <w:t>limit 10 to English language</w:t>
      </w:r>
    </w:p>
    <w:p w:rsidR="00360FF1" w:rsidRDefault="00360FF1" w:rsidP="00360FF1"/>
    <w:p w:rsidR="00360FF1" w:rsidRPr="003802E9" w:rsidRDefault="00360FF1" w:rsidP="00360FF1">
      <w:pPr>
        <w:spacing w:after="0" w:line="240" w:lineRule="auto"/>
        <w:rPr>
          <w:rFonts w:ascii="Times New Roman" w:eastAsia="SimSun" w:hAnsi="Times New Roman" w:cs="Times New Roman"/>
        </w:rPr>
      </w:pPr>
      <w:r w:rsidRPr="003802E9">
        <w:rPr>
          <w:rFonts w:ascii="Times New Roman" w:eastAsia="SimSun" w:hAnsi="Times New Roman" w:cs="Times New Roman"/>
          <w:b/>
        </w:rPr>
        <w:t>Syntax guide</w:t>
      </w:r>
      <w:r w:rsidRPr="003802E9">
        <w:rPr>
          <w:rFonts w:ascii="Times New Roman" w:eastAsia="SimSun" w:hAnsi="Times New Roman" w:cs="Times New Roman"/>
        </w:rPr>
        <w:t>:</w:t>
      </w:r>
    </w:p>
    <w:p w:rsidR="00360FF1" w:rsidRPr="003802E9" w:rsidRDefault="00360FF1" w:rsidP="00360FF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 xml:space="preserve">*= </w:t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ab/>
        <w:t>a truncation symbol (wildcard) to retrieve plurals or varying endings</w:t>
      </w:r>
    </w:p>
    <w:p w:rsidR="00360FF1" w:rsidRPr="003802E9" w:rsidRDefault="00360FF1" w:rsidP="00360FF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 xml:space="preserve">?= </w:t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ab/>
        <w:t>a truncation symbol for one or no characters only</w:t>
      </w:r>
    </w:p>
    <w:p w:rsidR="00360FF1" w:rsidRPr="003802E9" w:rsidRDefault="00360FF1" w:rsidP="00360FF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 xml:space="preserve">.ab= </w:t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ab/>
        <w:t>abstract</w:t>
      </w:r>
    </w:p>
    <w:p w:rsidR="00360FF1" w:rsidRPr="003802E9" w:rsidRDefault="00360FF1" w:rsidP="00360FF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proofErr w:type="spellStart"/>
      <w:proofErr w:type="gramStart"/>
      <w:r w:rsidRPr="003802E9">
        <w:rPr>
          <w:rFonts w:ascii="Times New Roman" w:eastAsia="SimSun" w:hAnsi="Times New Roman" w:cs="Times New Roman"/>
          <w:sz w:val="20"/>
          <w:szCs w:val="20"/>
        </w:rPr>
        <w:t>adj</w:t>
      </w:r>
      <w:proofErr w:type="spellEnd"/>
      <w:proofErr w:type="gramEnd"/>
      <w:r w:rsidRPr="003802E9">
        <w:rPr>
          <w:rFonts w:ascii="Times New Roman" w:eastAsia="SimSun" w:hAnsi="Times New Roman" w:cs="Times New Roman"/>
          <w:sz w:val="20"/>
          <w:szCs w:val="20"/>
        </w:rPr>
        <w:t xml:space="preserve">#= </w:t>
      </w:r>
      <w:r w:rsidRPr="003802E9">
        <w:rPr>
          <w:rFonts w:ascii="Times New Roman" w:eastAsia="SimSun" w:hAnsi="Times New Roman" w:cs="Times New Roman"/>
          <w:sz w:val="20"/>
          <w:szCs w:val="20"/>
        </w:rPr>
        <w:tab/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 xml:space="preserve">Adjacency within # number of words (in any order) </w:t>
      </w:r>
    </w:p>
    <w:p w:rsidR="00360FF1" w:rsidRPr="003802E9" w:rsidRDefault="00360FF1" w:rsidP="00360FF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.kw=</w:t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ab/>
        <w:t>Medline=Keyword Heading; contains the Keyword Headings assigned by indexers at the National Library of Medicine to describe the content of an article</w:t>
      </w:r>
    </w:p>
    <w:p w:rsidR="00360FF1" w:rsidRPr="003802E9" w:rsidRDefault="00360FF1" w:rsidP="00360FF1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val="en-CA"/>
        </w:rPr>
      </w:pPr>
      <w:proofErr w:type="spellStart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Embase</w:t>
      </w:r>
      <w:proofErr w:type="spellEnd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=Key Word; contains keywords defined by the author of the article</w:t>
      </w:r>
    </w:p>
    <w:p w:rsidR="00360FF1" w:rsidRPr="003802E9" w:rsidRDefault="00360FF1" w:rsidP="00360FF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.</w:t>
      </w:r>
      <w:proofErr w:type="spellStart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mp</w:t>
      </w:r>
      <w:proofErr w:type="spellEnd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=</w:t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ab/>
        <w:t>Medline: title, abstract, original title, name of substance word, subject heading word, protocol supplementary concept, unique identifier</w:t>
      </w:r>
    </w:p>
    <w:p w:rsidR="00360FF1" w:rsidRPr="003802E9" w:rsidRDefault="00360FF1" w:rsidP="00360FF1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val="en-CA"/>
        </w:rPr>
      </w:pPr>
      <w:proofErr w:type="spellStart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Embase</w:t>
      </w:r>
      <w:proofErr w:type="spellEnd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 xml:space="preserve">: title, abstract, subject headings, heading word, original title, keyword   </w:t>
      </w:r>
    </w:p>
    <w:p w:rsidR="00360FF1" w:rsidRPr="003802E9" w:rsidRDefault="00360FF1" w:rsidP="00360FF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.</w:t>
      </w:r>
      <w:proofErr w:type="spellStart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ti</w:t>
      </w:r>
      <w:proofErr w:type="spellEnd"/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 xml:space="preserve">= </w:t>
      </w: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ab/>
        <w:t>title</w:t>
      </w:r>
    </w:p>
    <w:p w:rsidR="00360FF1" w:rsidRPr="003802E9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</w:p>
    <w:p w:rsidR="00360FF1" w:rsidRPr="003802E9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  <w:r w:rsidRPr="003802E9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br w:type="page"/>
      </w:r>
      <w:r w:rsidRPr="003802E9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lastRenderedPageBreak/>
        <w:t xml:space="preserve">GREY LITERATURE: </w:t>
      </w:r>
    </w:p>
    <w:p w:rsidR="00360FF1" w:rsidRDefault="00360FF1" w:rsidP="00360FF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</w:p>
    <w:p w:rsidR="00360FF1" w:rsidRPr="003802E9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02E9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 xml:space="preserve">Websites of </w:t>
      </w:r>
      <w:r w:rsidRPr="003802E9">
        <w:rPr>
          <w:rFonts w:ascii="Times New Roman" w:eastAsia="Times New Roman" w:hAnsi="Times New Roman" w:cs="Times New Roman"/>
          <w:b/>
        </w:rPr>
        <w:t>Health Technology Assessment Agencies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en-CA"/>
              </w:rPr>
              <w:t>Country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en-CA"/>
              </w:rPr>
              <w:t>Agencies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Inter/Multi National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International Network for Agencies for Health Technology Assessment (INAHTA); Health Technology Assessment International (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HTAi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); International Society For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Pharmacoeconomics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and Outcomes Research (ISPOR); WHO Health Evidence Network; European Information Network on New and Changing Health Technologies (EUROSCAN). University of Birmingham. National Horizon Scanning Centre; European network for health technology assessment (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EUnetHTA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Australia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Australian Safety and Efficacy Register of New Interventional Procedures – Surgical (ASERNIP-S); Centre for Clinical Effectiveness,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Monash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University; Medicare Services Advisory Committee, Department of Health and Aging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Austria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Institute of Technology Assessment (ITA); Ludwig Boltzmann Institute for Health Technology Assessment (LBI-HTA)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Belgium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Federal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Kenniscentrum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voor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Gezendheidszorg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(KCE)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Canada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Canadian Agency for Drugs and Technologies in Health (CADTH);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Agence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d’Evaluation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des Technologies et des Modes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d’Intervention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en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Santé (AETMIS). Québec; Centre for Health Services and Policy Research, University of British Columbia; Institute for Clinical Evaluative Sciences (ICES). Ontario; Institute of Health Economics (IHE).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Alberta;The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Technology Assessment Unit of the McGill University Health Centre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China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National Health Development Research Center (NHDRC); Key Lab of Health Technology Assessment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Croatia: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Agency for Quality and Accreditation in Health Care</w:t>
            </w:r>
          </w:p>
        </w:tc>
      </w:tr>
      <w:tr w:rsidR="00360FF1" w:rsidRPr="003802E9" w:rsidTr="00EC7698">
        <w:trPr>
          <w:trHeight w:val="251"/>
        </w:trPr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Denmark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Danish Centre for Evaluation and Health Technology Assessment (DCEHTA); Danish Institute for Health Services Research and Development (DSI)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Finland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Finnish Office for Health Care Technology and Assessment (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FinOHTA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). 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France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L’Agence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Nationale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d’Accréditation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et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d’Evaluation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en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Santé (ANAES).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Ministere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de la Santé, de la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Famille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, et des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Personnes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handicappés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;  Committee for Evaluation and Diffusion of Innovative Technologies (CEDIT); French National Authority for Health (HAS) Department of Economics and Public Health Assessment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Germany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German Institute for Medical Documentation and Information (DIMDI)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India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Indian Institute of Health Management Research (IIHMR)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Israel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Israel Center for Technology Assessment in Health Care (ICTAHC)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Japan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National Institute of Public Health/ Department of Technology Assessment and Biostatistics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Malaysia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Ministry of Health/ Health Technology Assessment Unit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Netherlands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College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voor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Zorgverzekeringen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/Health Care Insurance Board (CVZ); Health Council of the Netherlands 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New Zealand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New Zealand Health Technology Assessment Clearing House for Health Outcomes and Health Technology Assessment (NZHTA) 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Norway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Norwegian Centre for Health Technology Assessment (SMM)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Poland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Agency for Health Technology Assessment (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AHTAPol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)</w:t>
            </w:r>
          </w:p>
        </w:tc>
      </w:tr>
      <w:tr w:rsidR="00360FF1" w:rsidRPr="003802E9" w:rsidTr="00EC7698">
        <w:trPr>
          <w:trHeight w:val="341"/>
        </w:trPr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South Korea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National Evidence-based Healthcare Collaborating Agency (NECA); Ministry of Health/ Health Insurance Review &amp; Assessment Agency (HIRA);</w:t>
            </w:r>
          </w:p>
        </w:tc>
      </w:tr>
      <w:tr w:rsidR="00360FF1" w:rsidRPr="003802E9" w:rsidTr="00EC7698">
        <w:trPr>
          <w:trHeight w:val="656"/>
        </w:trPr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Spain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Agencia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Evaluación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Tecnologias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Sanitarias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(AETS),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Instituto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Salud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 “Carlos III”/ Health Technology Assessment Agency, Basque Office for Health Technology Assessment (OSTEBA); Catalan Agency for Health Technology Assessment and Research (CAHTA)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Sweden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 xml:space="preserve">Centre for Medical Technology Assessment (CMT);  Swedish Council on Technology Assessment in Health Care (SBU) 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Switzerland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Swiss Network for Health Technology Assessment; Institute for Innovation and Valuation in Health Care (INNOVAL)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Taiwan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Center for Drug Evaluation (CDE)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Thailand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Health Intervention and Technology Assessment Program (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HiTAP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)/ International Health Policy Program (</w:t>
            </w:r>
            <w:proofErr w:type="spellStart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iHPP</w:t>
            </w:r>
            <w:proofErr w:type="spellEnd"/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UK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National Horizon Scanning Centre (NHSC);  NIHR Health Technology Assessment programme, Coordinating Centre for Health Technology Assessment (NCCHTA);  NHS National Institute for Clinical Excellence (NICE); NHS Quality Improvement Scotland;  University of York NHS Centre for Reviews and Dissemination (NHS CRD)</w:t>
            </w:r>
          </w:p>
        </w:tc>
      </w:tr>
      <w:tr w:rsidR="00360FF1" w:rsidRPr="003802E9" w:rsidTr="00EC7698">
        <w:tc>
          <w:tcPr>
            <w:tcW w:w="217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USA</w:t>
            </w:r>
          </w:p>
        </w:tc>
        <w:tc>
          <w:tcPr>
            <w:tcW w:w="7398" w:type="dxa"/>
          </w:tcPr>
          <w:p w:rsidR="00360FF1" w:rsidRPr="003802E9" w:rsidRDefault="00360FF1" w:rsidP="00EC769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</w:pPr>
            <w:r w:rsidRPr="003802E9">
              <w:rPr>
                <w:rFonts w:ascii="Times New Roman" w:eastAsia="SimSun" w:hAnsi="Times New Roman" w:cs="Times New Roman"/>
                <w:sz w:val="16"/>
                <w:szCs w:val="16"/>
                <w:lang w:val="en-CA"/>
              </w:rPr>
              <w:t>Agency for Healthcare Research and Quality (AHRQ); ECRI Institute;  Institute for Clinical Systems Improvement (ICSI); Blue Cross and Blue Shield Association's Technology Evaluation Center (TEC)</w:t>
            </w:r>
          </w:p>
        </w:tc>
      </w:tr>
    </w:tbl>
    <w:p w:rsidR="00360FF1" w:rsidRPr="003802E9" w:rsidRDefault="00360FF1" w:rsidP="00360F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</w:p>
    <w:p w:rsidR="00360FF1" w:rsidRPr="003802E9" w:rsidRDefault="00360FF1" w:rsidP="00360FF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b/>
          <w:sz w:val="20"/>
          <w:szCs w:val="20"/>
          <w:lang w:val="en-CA"/>
        </w:rPr>
        <w:t>Search Engine</w:t>
      </w:r>
    </w:p>
    <w:p w:rsidR="00360FF1" w:rsidRPr="003802E9" w:rsidRDefault="00360FF1" w:rsidP="00360FF1">
      <w:pPr>
        <w:widowControl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r w:rsidRPr="003802E9">
        <w:rPr>
          <w:rFonts w:ascii="Times New Roman" w:eastAsia="SimSun" w:hAnsi="Times New Roman" w:cs="Times New Roman"/>
          <w:sz w:val="20"/>
          <w:szCs w:val="20"/>
          <w:lang w:val="en-CA"/>
        </w:rPr>
        <w:t>Google</w:t>
      </w:r>
    </w:p>
    <w:p w:rsidR="00360FF1" w:rsidRPr="003802E9" w:rsidRDefault="00360FF1" w:rsidP="00360FF1">
      <w:pPr>
        <w:widowControl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CA"/>
        </w:rPr>
      </w:pPr>
      <w:hyperlink r:id="rId6" w:history="1">
        <w:r w:rsidRPr="003802E9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CA"/>
          </w:rPr>
          <w:t>http://www.google.ca/</w:t>
        </w:r>
      </w:hyperlink>
    </w:p>
    <w:p w:rsidR="00360FF1" w:rsidRPr="003802E9" w:rsidRDefault="00360FF1" w:rsidP="00360FF1">
      <w:pPr>
        <w:rPr>
          <w:rFonts w:ascii="Times New Roman" w:eastAsia="SimSun" w:hAnsi="Times New Roman" w:cs="Times New Roman"/>
        </w:rPr>
      </w:pPr>
    </w:p>
    <w:p w:rsidR="00BC4056" w:rsidRDefault="00BC4056">
      <w:bookmarkStart w:id="0" w:name="_GoBack"/>
      <w:bookmarkEnd w:id="0"/>
    </w:p>
    <w:sectPr w:rsidR="00BC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0A39"/>
    <w:multiLevelType w:val="hybridMultilevel"/>
    <w:tmpl w:val="A6E06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F1"/>
    <w:rsid w:val="002305E5"/>
    <w:rsid w:val="00360FF1"/>
    <w:rsid w:val="00B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F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F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 Assasi</dc:creator>
  <cp:lastModifiedBy>Nazila Assasi</cp:lastModifiedBy>
  <cp:revision>1</cp:revision>
  <dcterms:created xsi:type="dcterms:W3CDTF">2015-03-23T21:14:00Z</dcterms:created>
  <dcterms:modified xsi:type="dcterms:W3CDTF">2015-03-23T21:14:00Z</dcterms:modified>
</cp:coreProperties>
</file>