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B" w:rsidRDefault="000A54AF" w:rsidP="00C86B2B">
      <w:r>
        <w:t xml:space="preserve">Supplementary </w:t>
      </w:r>
      <w:r w:rsidR="00C86B2B">
        <w:t xml:space="preserve">Figure </w:t>
      </w:r>
      <w:r>
        <w:t>1</w:t>
      </w:r>
      <w:r w:rsidR="00C86B2B">
        <w:t xml:space="preserve">: Percentage of </w:t>
      </w:r>
      <w:r w:rsidR="009E51B9">
        <w:t xml:space="preserve">all </w:t>
      </w:r>
      <w:bookmarkStart w:id="0" w:name="_GoBack"/>
      <w:bookmarkEnd w:id="0"/>
      <w:r w:rsidR="00C86B2B">
        <w:t>relevant studies, clinical trial studies and observational studies retrieved by database searches</w:t>
      </w:r>
    </w:p>
    <w:p w:rsidR="00C86B2B" w:rsidRDefault="00C86B2B" w:rsidP="00C86B2B">
      <w:pPr>
        <w:rPr>
          <w:rStyle w:val="Emphasis"/>
        </w:rPr>
      </w:pPr>
      <w:r>
        <w:rPr>
          <w:noProof/>
          <w:lang w:eastAsia="en-GB"/>
        </w:rPr>
        <w:drawing>
          <wp:inline distT="0" distB="0" distL="0" distR="0" wp14:anchorId="57323560" wp14:editId="3C367C24">
            <wp:extent cx="5629523" cy="2631882"/>
            <wp:effectExtent l="0" t="0" r="9525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A4C" w:rsidRDefault="009D0A4C"/>
    <w:sectPr w:rsidR="009D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F"/>
    <w:rsid w:val="000A54AF"/>
    <w:rsid w:val="0033771F"/>
    <w:rsid w:val="009D0A4C"/>
    <w:rsid w:val="009E51B9"/>
    <w:rsid w:val="00C86B2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2B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6B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2B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6B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pinal%20Fusion\spinal%20fusion%20analysis\spinal%20fusion%20studies%20available%20at%20time%20of%20searchingS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all relevant studies retrieved (n=49)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Science Citation Index (SCI)</c:v>
                </c:pt>
                <c:pt idx="1">
                  <c:v>EMBASE</c:v>
                </c:pt>
                <c:pt idx="2">
                  <c:v>MEDLINE</c:v>
                </c:pt>
                <c:pt idx="3">
                  <c:v>PubMED</c:v>
                </c:pt>
                <c:pt idx="4">
                  <c:v>CENTRAL</c:v>
                </c:pt>
                <c:pt idx="5">
                  <c:v>ToxFile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0.78</c:v>
                </c:pt>
                <c:pt idx="1">
                  <c:v>0.84</c:v>
                </c:pt>
                <c:pt idx="2">
                  <c:v>0.73</c:v>
                </c:pt>
                <c:pt idx="3">
                  <c:v>0.73</c:v>
                </c:pt>
                <c:pt idx="4">
                  <c:v>0.28999999999999998</c:v>
                </c:pt>
                <c:pt idx="5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Percentage of relevant clinical trial studies retrieved (n=14)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Science Citation Index (SCI)</c:v>
                </c:pt>
                <c:pt idx="1">
                  <c:v>EMBASE</c:v>
                </c:pt>
                <c:pt idx="2">
                  <c:v>MEDLINE</c:v>
                </c:pt>
                <c:pt idx="3">
                  <c:v>PubMED</c:v>
                </c:pt>
                <c:pt idx="4">
                  <c:v>CENTRAL</c:v>
                </c:pt>
                <c:pt idx="5">
                  <c:v>ToxFile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0.93</c:v>
                </c:pt>
                <c:pt idx="1">
                  <c:v>0.79</c:v>
                </c:pt>
                <c:pt idx="2">
                  <c:v>0.79</c:v>
                </c:pt>
                <c:pt idx="3">
                  <c:v>0.79</c:v>
                </c:pt>
                <c:pt idx="4">
                  <c:v>0.79</c:v>
                </c:pt>
                <c:pt idx="5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of relevant observational studies retrieved (n=35)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Science Citation Index (SCI)</c:v>
                </c:pt>
                <c:pt idx="1">
                  <c:v>EMBASE</c:v>
                </c:pt>
                <c:pt idx="2">
                  <c:v>MEDLINE</c:v>
                </c:pt>
                <c:pt idx="3">
                  <c:v>PubMED</c:v>
                </c:pt>
                <c:pt idx="4">
                  <c:v>CENTRAL</c:v>
                </c:pt>
                <c:pt idx="5">
                  <c:v>ToxFile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0.71</c:v>
                </c:pt>
                <c:pt idx="1">
                  <c:v>0.86</c:v>
                </c:pt>
                <c:pt idx="2">
                  <c:v>0.71</c:v>
                </c:pt>
                <c:pt idx="3">
                  <c:v>0.71</c:v>
                </c:pt>
                <c:pt idx="4">
                  <c:v>0.09</c:v>
                </c:pt>
                <c:pt idx="5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369792"/>
        <c:axId val="156317952"/>
      </c:barChart>
      <c:catAx>
        <c:axId val="15236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17952"/>
        <c:crosses val="autoZero"/>
        <c:auto val="1"/>
        <c:lblAlgn val="ctr"/>
        <c:lblOffset val="100"/>
        <c:noMultiLvlLbl val="0"/>
      </c:catAx>
      <c:valAx>
        <c:axId val="156317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36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A7D951AF.dotm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Golder</dc:creator>
  <cp:lastModifiedBy>Su Golder</cp:lastModifiedBy>
  <cp:revision>3</cp:revision>
  <dcterms:created xsi:type="dcterms:W3CDTF">2014-06-20T11:18:00Z</dcterms:created>
  <dcterms:modified xsi:type="dcterms:W3CDTF">2014-06-20T11:25:00Z</dcterms:modified>
</cp:coreProperties>
</file>