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7C" w:rsidRPr="00F355D3" w:rsidRDefault="00E0027C" w:rsidP="00E002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Table 3</w:t>
      </w:r>
      <w:r w:rsidRPr="00F355D3">
        <w:rPr>
          <w:rFonts w:ascii="Times New Roman" w:hAnsi="Times New Roman" w:cs="Times New Roman"/>
          <w:b/>
          <w:bCs/>
          <w:sz w:val="24"/>
          <w:szCs w:val="24"/>
        </w:rPr>
        <w:t>: Cost-effectiveness outcomes for the base-case CEA analysis and sensitivity analyses – Complete case analyses</w:t>
      </w:r>
    </w:p>
    <w:tbl>
      <w:tblPr>
        <w:tblpPr w:leftFromText="180" w:rightFromText="180" w:horzAnchor="margin" w:tblpXSpec="center" w:tblpY="896"/>
        <w:tblW w:w="15965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8"/>
        <w:gridCol w:w="1460"/>
        <w:gridCol w:w="1228"/>
        <w:gridCol w:w="1410"/>
        <w:gridCol w:w="276"/>
        <w:gridCol w:w="1450"/>
        <w:gridCol w:w="1305"/>
        <w:gridCol w:w="1338"/>
        <w:gridCol w:w="276"/>
        <w:gridCol w:w="1118"/>
        <w:gridCol w:w="275"/>
        <w:gridCol w:w="1007"/>
        <w:gridCol w:w="770"/>
        <w:gridCol w:w="1007"/>
        <w:gridCol w:w="1007"/>
      </w:tblGrid>
      <w:tr w:rsidR="00E0027C" w:rsidRPr="00F355D3" w:rsidTr="00331A5A">
        <w:tc>
          <w:tcPr>
            <w:tcW w:w="2038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5D3">
              <w:rPr>
                <w:rFonts w:ascii="Times New Roman" w:hAnsi="Times New Roman" w:cs="Times New Roman"/>
                <w:b/>
              </w:rPr>
              <w:t>Mean costs (95% CI)</w:t>
            </w:r>
          </w:p>
        </w:tc>
        <w:tc>
          <w:tcPr>
            <w:tcW w:w="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5D3">
              <w:rPr>
                <w:rFonts w:ascii="Times New Roman" w:hAnsi="Times New Roman" w:cs="Times New Roman"/>
                <w:b/>
              </w:rPr>
              <w:t>Mean effects (95% CI)</w:t>
            </w:r>
          </w:p>
        </w:tc>
        <w:tc>
          <w:tcPr>
            <w:tcW w:w="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E0027C" w:rsidRPr="00F355D3" w:rsidRDefault="00E0027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5D3">
              <w:rPr>
                <w:rFonts w:ascii="Times New Roman" w:hAnsi="Times New Roman" w:cs="Times New Roman"/>
                <w:b/>
              </w:rPr>
              <w:t>Probability MgSO4 is</w:t>
            </w:r>
          </w:p>
        </w:tc>
      </w:tr>
      <w:tr w:rsidR="00E0027C" w:rsidRPr="00F355D3" w:rsidTr="00331A5A"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355D3">
              <w:rPr>
                <w:rFonts w:ascii="Times New Roman" w:hAnsi="Times New Roman" w:cs="Times New Roman"/>
                <w:b/>
                <w:sz w:val="20"/>
              </w:rPr>
              <w:t>Analysis</w:t>
            </w:r>
            <w:r w:rsidRPr="00F355D3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355D3">
              <w:rPr>
                <w:rFonts w:ascii="Times New Roman" w:hAnsi="Times New Roman" w:cs="Times New Roman"/>
                <w:b/>
                <w:sz w:val="20"/>
              </w:rPr>
              <w:t>MgSO4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F355D3">
              <w:rPr>
                <w:rFonts w:ascii="Times New Roman" w:hAnsi="Times New Roman" w:cs="Times New Roman"/>
                <w:b/>
                <w:sz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</w:rPr>
              <w:t>GBP</w:t>
            </w:r>
            <w:r w:rsidRPr="00F355D3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355D3">
              <w:rPr>
                <w:rFonts w:ascii="Times New Roman" w:hAnsi="Times New Roman" w:cs="Times New Roman"/>
                <w:b/>
                <w:sz w:val="20"/>
              </w:rPr>
              <w:t>Placebo (</w:t>
            </w:r>
            <w:r>
              <w:rPr>
                <w:rFonts w:ascii="Times New Roman" w:hAnsi="Times New Roman" w:cs="Times New Roman"/>
                <w:b/>
                <w:sz w:val="20"/>
              </w:rPr>
              <w:t>GBP</w:t>
            </w:r>
            <w:r w:rsidRPr="00F355D3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355D3">
              <w:rPr>
                <w:rFonts w:ascii="Times New Roman" w:hAnsi="Times New Roman" w:cs="Times New Roman"/>
                <w:b/>
                <w:sz w:val="20"/>
              </w:rPr>
              <w:t>Difference (</w:t>
            </w:r>
            <w:r>
              <w:rPr>
                <w:rFonts w:ascii="Times New Roman" w:hAnsi="Times New Roman" w:cs="Times New Roman"/>
                <w:b/>
                <w:sz w:val="20"/>
              </w:rPr>
              <w:t>GBP</w:t>
            </w:r>
            <w:r w:rsidRPr="00F355D3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355D3">
              <w:rPr>
                <w:rFonts w:ascii="Times New Roman" w:hAnsi="Times New Roman" w:cs="Times New Roman"/>
                <w:b/>
                <w:sz w:val="20"/>
              </w:rPr>
              <w:t>MgSO4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F355D3">
              <w:rPr>
                <w:rFonts w:ascii="Times New Roman" w:hAnsi="Times New Roman" w:cs="Times New Roman"/>
                <w:b/>
                <w:sz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</w:rPr>
              <w:t>GBP</w:t>
            </w:r>
            <w:r w:rsidRPr="00F355D3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355D3">
              <w:rPr>
                <w:rFonts w:ascii="Times New Roman" w:hAnsi="Times New Roman" w:cs="Times New Roman"/>
                <w:b/>
                <w:sz w:val="20"/>
              </w:rPr>
              <w:t>Placebo (</w:t>
            </w:r>
            <w:r>
              <w:rPr>
                <w:rFonts w:ascii="Times New Roman" w:hAnsi="Times New Roman" w:cs="Times New Roman"/>
                <w:b/>
                <w:sz w:val="20"/>
              </w:rPr>
              <w:t>GBP</w:t>
            </w:r>
            <w:r w:rsidRPr="00F355D3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355D3">
              <w:rPr>
                <w:rFonts w:ascii="Times New Roman" w:hAnsi="Times New Roman" w:cs="Times New Roman"/>
                <w:b/>
                <w:sz w:val="20"/>
              </w:rPr>
              <w:t>Difference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F355D3">
              <w:rPr>
                <w:rFonts w:ascii="Times New Roman" w:hAnsi="Times New Roman" w:cs="Times New Roman"/>
                <w:b/>
                <w:sz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</w:rPr>
              <w:t>GBP</w:t>
            </w:r>
            <w:r w:rsidRPr="00F355D3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027C" w:rsidRPr="00F355D3" w:rsidRDefault="00E0027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355D3">
              <w:rPr>
                <w:rFonts w:ascii="Times New Roman" w:hAnsi="Times New Roman" w:cs="Times New Roman"/>
                <w:b/>
                <w:sz w:val="20"/>
              </w:rPr>
              <w:t>ICER (</w:t>
            </w:r>
            <w:r>
              <w:rPr>
                <w:rFonts w:ascii="Times New Roman" w:hAnsi="Times New Roman" w:cs="Times New Roman"/>
                <w:b/>
                <w:sz w:val="20"/>
              </w:rPr>
              <w:t>GBP</w:t>
            </w:r>
            <w:r w:rsidRPr="00F355D3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027C" w:rsidRPr="00F355D3" w:rsidRDefault="00E0027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027C" w:rsidRPr="00F355D3" w:rsidRDefault="00E0027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355D3">
              <w:rPr>
                <w:rFonts w:ascii="Times New Roman" w:hAnsi="Times New Roman" w:cs="Times New Roman"/>
                <w:b/>
                <w:sz w:val="20"/>
              </w:rPr>
              <w:t>More effective</w:t>
            </w:r>
            <w:r w:rsidRPr="00F355D3">
              <w:rPr>
                <w:rFonts w:ascii="Times New Roman" w:hAnsi="Times New Roman" w:cs="Times New Roman"/>
                <w:b/>
                <w:sz w:val="20"/>
                <w:vertAlign w:val="superscript"/>
              </w:rPr>
              <w:t>*</w:t>
            </w:r>
            <w:r w:rsidRPr="00F355D3">
              <w:rPr>
                <w:rFonts w:ascii="Times New Roman" w:hAnsi="Times New Roman" w:cs="Times New Roman"/>
                <w:b/>
                <w:sz w:val="20"/>
              </w:rPr>
              <w:t xml:space="preserve"> (%)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027C" w:rsidRPr="00F355D3" w:rsidRDefault="00E0027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355D3">
              <w:rPr>
                <w:rFonts w:ascii="Times New Roman" w:hAnsi="Times New Roman" w:cs="Times New Roman"/>
                <w:b/>
                <w:sz w:val="20"/>
              </w:rPr>
              <w:t>Less costly</w:t>
            </w:r>
            <w:r w:rsidRPr="00F355D3">
              <w:rPr>
                <w:rFonts w:ascii="Times New Roman" w:hAnsi="Times New Roman" w:cs="Times New Roman"/>
                <w:b/>
                <w:sz w:val="20"/>
                <w:vertAlign w:val="superscript"/>
              </w:rPr>
              <w:t>*</w:t>
            </w:r>
            <w:r w:rsidRPr="00F355D3">
              <w:rPr>
                <w:rFonts w:ascii="Times New Roman" w:hAnsi="Times New Roman" w:cs="Times New Roman"/>
                <w:b/>
                <w:sz w:val="20"/>
              </w:rPr>
              <w:t xml:space="preserve"> (%)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027C" w:rsidRPr="00F355D3" w:rsidRDefault="00E0027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355D3">
              <w:rPr>
                <w:rFonts w:ascii="Times New Roman" w:hAnsi="Times New Roman" w:cs="Times New Roman"/>
                <w:b/>
                <w:sz w:val="20"/>
              </w:rPr>
              <w:t>Cost-effective</w:t>
            </w:r>
            <w:r w:rsidRPr="00F355D3">
              <w:rPr>
                <w:rFonts w:ascii="Times New Roman" w:hAnsi="Times New Roman" w:cs="Times New Roman"/>
                <w:b/>
                <w:sz w:val="20"/>
                <w:vertAlign w:val="superscript"/>
              </w:rPr>
              <w:t>*</w:t>
            </w:r>
          </w:p>
          <w:p w:rsidR="00E0027C" w:rsidRPr="00F355D3" w:rsidRDefault="00E0027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355D3">
              <w:rPr>
                <w:rFonts w:ascii="Times New Roman" w:hAnsi="Times New Roman" w:cs="Times New Roman"/>
                <w:b/>
                <w:sz w:val="20"/>
              </w:rPr>
              <w:t>(%)</w:t>
            </w:r>
            <w:r w:rsidRPr="00F355D3">
              <w:rPr>
                <w:rFonts w:ascii="Times New Roman" w:hAnsi="Times New Roman" w:cs="Times New Roman"/>
                <w:b/>
                <w:sz w:val="20"/>
                <w:vertAlign w:val="superscript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0027C" w:rsidRPr="00F355D3" w:rsidRDefault="00E0027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F355D3">
              <w:rPr>
                <w:rFonts w:ascii="Times New Roman" w:hAnsi="Times New Roman" w:cs="Times New Roman"/>
                <w:b/>
                <w:sz w:val="20"/>
              </w:rPr>
              <w:t>Cost-effective</w:t>
            </w:r>
            <w:r w:rsidRPr="00F355D3">
              <w:rPr>
                <w:rFonts w:ascii="Times New Roman" w:hAnsi="Times New Roman" w:cs="Times New Roman"/>
                <w:b/>
                <w:sz w:val="20"/>
                <w:vertAlign w:val="superscript"/>
              </w:rPr>
              <w:t>*</w:t>
            </w:r>
          </w:p>
          <w:p w:rsidR="00E0027C" w:rsidRPr="00F355D3" w:rsidRDefault="00E0027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355D3">
              <w:rPr>
                <w:rFonts w:ascii="Times New Roman" w:hAnsi="Times New Roman" w:cs="Times New Roman"/>
                <w:b/>
                <w:sz w:val="20"/>
              </w:rPr>
              <w:t>(%)</w:t>
            </w:r>
            <w:r w:rsidRPr="00F355D3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</w:p>
        </w:tc>
      </w:tr>
      <w:tr w:rsidR="00E0027C" w:rsidRPr="00F355D3" w:rsidTr="00331A5A"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Base-case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908(764, 1052)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863(752, 975)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45(-138, 227)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4.72(4.54, 4.90)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4.95(4.78, 5.13)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0.24§(-0.02, 0.49)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189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88.00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36.60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75.10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85.50</w:t>
            </w:r>
          </w:p>
        </w:tc>
      </w:tr>
      <w:tr w:rsidR="00E0027C" w:rsidRPr="00F355D3" w:rsidTr="00331A5A"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Higher level inpatient care valued using NHS cost for paediatric high dependency care (</w:t>
            </w:r>
            <w:r>
              <w:rPr>
                <w:rFonts w:ascii="Times New Roman" w:hAnsi="Times New Roman" w:cs="Times New Roman"/>
                <w:sz w:val="18"/>
              </w:rPr>
              <w:t xml:space="preserve">GBP </w:t>
            </w:r>
            <w:r w:rsidRPr="00F355D3">
              <w:rPr>
                <w:rFonts w:ascii="Times New Roman" w:hAnsi="Times New Roman" w:cs="Times New Roman"/>
                <w:sz w:val="18"/>
              </w:rPr>
              <w:t>886)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813(708, 918)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794(718, 871)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18(-111, 148)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4.72(4.54, 4.90)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4.95(4.78, 5.13)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0.24(-0.01, 0.49)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78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89.50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41.90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81.50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87.80</w:t>
            </w:r>
          </w:p>
        </w:tc>
      </w:tr>
      <w:tr w:rsidR="00E0027C" w:rsidRPr="00F355D3" w:rsidTr="00331A5A"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Higher level inpatient care valued using NHS cost for paediatric intensive care (</w:t>
            </w:r>
            <w:r>
              <w:rPr>
                <w:rFonts w:ascii="Times New Roman" w:hAnsi="Times New Roman" w:cs="Times New Roman"/>
                <w:sz w:val="18"/>
              </w:rPr>
              <w:t xml:space="preserve">GBP </w:t>
            </w:r>
            <w:r w:rsidRPr="00F355D3">
              <w:rPr>
                <w:rFonts w:ascii="Times New Roman" w:hAnsi="Times New Roman" w:cs="Times New Roman"/>
                <w:sz w:val="18"/>
              </w:rPr>
              <w:t>2225)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1027(826, 1227)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950(790, 1109)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77(-179, 333)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4.72(4.54, 4.90)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4.95(4.78, 5.13)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0.24(-0.01, 0.49)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327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89.20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32.60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68.30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85.90</w:t>
            </w:r>
          </w:p>
        </w:tc>
      </w:tr>
      <w:tr w:rsidR="00E0027C" w:rsidRPr="00F355D3" w:rsidTr="00331A5A"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Exact LOS used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783(649, 917)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753(651, 855)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30(-139, 198)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4.72(4.54, 4.90)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4.95(4.78, 5.13)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0.24(-0.01, 0.49)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126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89.50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42.60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81.00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87.50</w:t>
            </w:r>
          </w:p>
        </w:tc>
      </w:tr>
      <w:tr w:rsidR="00E0027C" w:rsidRPr="00F355D3" w:rsidTr="00331A5A"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LOS rounded up to full days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1019(867, 1172)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964(844, 1084)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56(-139,250)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4.72(4.54, 4.90)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4.95(4.78, 5.13)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0.24(-0.01, 0.49)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88.90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35.00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74.70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86.70</w:t>
            </w:r>
          </w:p>
        </w:tc>
      </w:tr>
      <w:tr w:rsidR="00E0027C" w:rsidRPr="00F355D3" w:rsidTr="00331A5A"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NHS Reference costs used to value A&amp;E visit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876(732, 1020)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831(719, 942)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45(-136, 227)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4.72(4.54, 4.90)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4.95(4.78, 5.13)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0.24(-0.01, 0.49)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193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87.70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36.70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76.50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85.40</w:t>
            </w:r>
          </w:p>
        </w:tc>
      </w:tr>
      <w:tr w:rsidR="00E0027C" w:rsidRPr="00F355D3" w:rsidTr="00331A5A"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NHS Reference costs used to value stay on GM ward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943(797, 1090)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900(787, 1013)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43(-142, 228)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4.72(4.54, 4.90)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4.95(4.78, 5.13)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0.24(-0.01, 0.49)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184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90.30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38.50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78.10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88.70</w:t>
            </w:r>
          </w:p>
        </w:tc>
      </w:tr>
      <w:tr w:rsidR="00E0027C" w:rsidRPr="00F355D3" w:rsidTr="00331A5A">
        <w:tc>
          <w:tcPr>
            <w:tcW w:w="13951" w:type="dxa"/>
            <w:gridSpan w:val="13"/>
            <w:tcBorders>
              <w:top w:val="single" w:sz="4" w:space="0" w:color="auto"/>
              <w:bottom w:val="nil"/>
              <w:right w:val="nil"/>
            </w:tcBorders>
          </w:tcPr>
          <w:p w:rsidR="00E0027C" w:rsidRPr="00F355D3" w:rsidRDefault="00E0027C" w:rsidP="00331A5A">
            <w:pPr>
              <w:pStyle w:val="CommentText"/>
              <w:spacing w:after="0"/>
              <w:rPr>
                <w:rFonts w:ascii="Times New Roman" w:hAnsi="Times New Roman"/>
                <w:sz w:val="16"/>
                <w:szCs w:val="16"/>
                <w:lang w:bidi="ta-IN"/>
              </w:rPr>
            </w:pPr>
            <w:r w:rsidRPr="00F355D3">
              <w:rPr>
                <w:rFonts w:ascii="Times New Roman" w:hAnsi="Times New Roman"/>
                <w:sz w:val="16"/>
                <w:szCs w:val="16"/>
                <w:vertAlign w:val="superscript"/>
                <w:lang w:bidi="ta-IN"/>
              </w:rPr>
              <w:t>§</w:t>
            </w:r>
            <w:r w:rsidRPr="00F355D3">
              <w:rPr>
                <w:rFonts w:ascii="Times New Roman" w:hAnsi="Times New Roman"/>
                <w:sz w:val="16"/>
                <w:szCs w:val="16"/>
                <w:lang w:bidi="ta-IN"/>
              </w:rPr>
              <w:t xml:space="preserve"> The difference in effects was inverted, i.e. negative values were given a positive sign, to reflect the fact that a decrement in ASS score is synonymous with a positive health effect</w:t>
            </w:r>
          </w:p>
          <w:p w:rsidR="00E0027C" w:rsidRPr="00F355D3" w:rsidRDefault="00E0027C" w:rsidP="00331A5A">
            <w:pPr>
              <w:pStyle w:val="CommentText"/>
              <w:spacing w:after="0"/>
              <w:rPr>
                <w:rFonts w:ascii="Times New Roman" w:hAnsi="Times New Roman"/>
                <w:sz w:val="16"/>
                <w:szCs w:val="16"/>
                <w:lang w:bidi="ta-IN"/>
              </w:rPr>
            </w:pPr>
            <w:r w:rsidRPr="00F355D3">
              <w:rPr>
                <w:rFonts w:ascii="Times New Roman" w:hAnsi="Times New Roman"/>
                <w:sz w:val="16"/>
                <w:szCs w:val="16"/>
                <w:vertAlign w:val="superscript"/>
                <w:lang w:bidi="ta-IN"/>
              </w:rPr>
              <w:t>1</w:t>
            </w:r>
            <w:r w:rsidRPr="00F355D3">
              <w:rPr>
                <w:rFonts w:ascii="Times New Roman" w:hAnsi="Times New Roman"/>
                <w:sz w:val="16"/>
                <w:szCs w:val="16"/>
                <w:lang w:bidi="ta-IN"/>
              </w:rPr>
              <w:t>Complete case analysis included placebo N=244; MgSO4 N=228</w:t>
            </w:r>
          </w:p>
          <w:p w:rsidR="00E0027C" w:rsidRPr="00F355D3" w:rsidRDefault="00E0027C" w:rsidP="00331A5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F355D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F355D3">
              <w:rPr>
                <w:rFonts w:ascii="Times New Roman" w:hAnsi="Times New Roman" w:cs="Times New Roman"/>
                <w:sz w:val="16"/>
                <w:szCs w:val="16"/>
              </w:rPr>
              <w:t xml:space="preserve"> MgSO4 was considered to be “cost-effective” if it had positive net benefit at 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GBP </w:t>
            </w:r>
            <w:r w:rsidRPr="00F355D3">
              <w:rPr>
                <w:rFonts w:ascii="Times New Roman" w:hAnsi="Times New Roman" w:cs="Times New Roman"/>
                <w:sz w:val="16"/>
                <w:szCs w:val="16"/>
              </w:rPr>
              <w:t>1000 cost-effectiveness threshold</w:t>
            </w:r>
          </w:p>
          <w:p w:rsidR="00E0027C" w:rsidRPr="00F355D3" w:rsidRDefault="00E0027C" w:rsidP="00331A5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F355D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F355D3">
              <w:rPr>
                <w:rFonts w:ascii="Times New Roman" w:hAnsi="Times New Roman" w:cs="Times New Roman"/>
                <w:sz w:val="16"/>
                <w:szCs w:val="16"/>
              </w:rPr>
              <w:t xml:space="preserve"> MgSO4 was considered to be “cost-effective” if it had positive net benefit at 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GBP </w:t>
            </w:r>
            <w:r w:rsidRPr="00F355D3">
              <w:rPr>
                <w:rFonts w:ascii="Times New Roman" w:hAnsi="Times New Roman" w:cs="Times New Roman"/>
                <w:sz w:val="16"/>
                <w:szCs w:val="16"/>
              </w:rPr>
              <w:t>5000 cost-effectiveness threshold</w:t>
            </w:r>
          </w:p>
          <w:p w:rsidR="00E0027C" w:rsidRPr="00F355D3" w:rsidRDefault="00E0027C" w:rsidP="00331A5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F355D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F355D3">
              <w:rPr>
                <w:rFonts w:ascii="Times New Roman" w:hAnsi="Times New Roman" w:cs="Times New Roman"/>
                <w:sz w:val="16"/>
                <w:szCs w:val="16"/>
              </w:rPr>
              <w:t xml:space="preserve"> Based on 1000 bootstrap replicates of the dataset</w:t>
            </w:r>
          </w:p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  <w:szCs w:val="16"/>
              </w:rPr>
              <w:t>CI, confidence interval; ICER, incremental cost-effectiveness ratio; LOS, length of stay.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</w:tcBorders>
          </w:tcPr>
          <w:p w:rsidR="00E0027C" w:rsidRPr="00F355D3" w:rsidRDefault="00E0027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E0027C" w:rsidRPr="00F355D3" w:rsidRDefault="00E0027C" w:rsidP="00E0027C">
      <w:pPr>
        <w:rPr>
          <w:b/>
          <w:bCs/>
          <w:lang w:bidi="ta-IN"/>
        </w:rPr>
      </w:pPr>
    </w:p>
    <w:p w:rsidR="009E14FD" w:rsidRDefault="009E14FD">
      <w:bookmarkStart w:id="0" w:name="_GoBack"/>
      <w:bookmarkEnd w:id="0"/>
    </w:p>
    <w:sectPr w:rsidR="009E14FD" w:rsidSect="00E002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7C"/>
    <w:rsid w:val="009E14FD"/>
    <w:rsid w:val="00E0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E0027C"/>
    <w:pPr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NoSpacingChar">
    <w:name w:val="No Spacing Char"/>
    <w:link w:val="NoSpacing"/>
    <w:locked/>
    <w:rsid w:val="00E0027C"/>
    <w:rPr>
      <w:rFonts w:ascii="Calibri" w:eastAsia="Calibri" w:hAnsi="Calibri" w:cs="Calibri"/>
      <w:lang w:bidi="en-US"/>
    </w:rPr>
  </w:style>
  <w:style w:type="paragraph" w:styleId="CommentText">
    <w:name w:val="annotation text"/>
    <w:basedOn w:val="Normal"/>
    <w:link w:val="CommentTextChar"/>
    <w:uiPriority w:val="99"/>
    <w:rsid w:val="00E0027C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27C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E0027C"/>
    <w:pPr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NoSpacingChar">
    <w:name w:val="No Spacing Char"/>
    <w:link w:val="NoSpacing"/>
    <w:locked/>
    <w:rsid w:val="00E0027C"/>
    <w:rPr>
      <w:rFonts w:ascii="Calibri" w:eastAsia="Calibri" w:hAnsi="Calibri" w:cs="Calibri"/>
      <w:lang w:bidi="en-US"/>
    </w:rPr>
  </w:style>
  <w:style w:type="paragraph" w:styleId="CommentText">
    <w:name w:val="annotation text"/>
    <w:basedOn w:val="Normal"/>
    <w:link w:val="CommentTextChar"/>
    <w:uiPriority w:val="99"/>
    <w:rsid w:val="00E0027C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27C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7E657102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Petrou, Stavros</dc:creator>
  <cp:lastModifiedBy>Petrou, Stavros</cp:lastModifiedBy>
  <cp:revision>1</cp:revision>
  <dcterms:created xsi:type="dcterms:W3CDTF">2014-05-30T09:43:00Z</dcterms:created>
  <dcterms:modified xsi:type="dcterms:W3CDTF">2014-05-30T09:43:00Z</dcterms:modified>
</cp:coreProperties>
</file>