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0B" w:rsidRPr="00275064" w:rsidRDefault="002C500B" w:rsidP="00AA7A20">
      <w:pPr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  <w:r w:rsidRPr="00275064">
        <w:rPr>
          <w:rFonts w:ascii="Arial" w:hAnsi="Arial" w:cs="Arial"/>
          <w:b/>
          <w:sz w:val="20"/>
          <w:lang w:val="en-GB"/>
        </w:rPr>
        <w:t xml:space="preserve">Supplementary Table </w:t>
      </w:r>
      <w:r w:rsidR="00AA7A20" w:rsidRPr="00275064">
        <w:rPr>
          <w:rFonts w:ascii="Arial" w:hAnsi="Arial" w:cs="Arial"/>
          <w:b/>
          <w:sz w:val="20"/>
          <w:lang w:val="en-GB"/>
        </w:rPr>
        <w:t>1</w:t>
      </w:r>
      <w:r w:rsidRPr="00275064">
        <w:rPr>
          <w:rFonts w:ascii="Arial" w:hAnsi="Arial" w:cs="Arial"/>
          <w:b/>
          <w:sz w:val="20"/>
          <w:lang w:val="en-GB"/>
        </w:rPr>
        <w:t>.</w:t>
      </w:r>
      <w:r w:rsidRPr="00275064">
        <w:rPr>
          <w:rFonts w:ascii="Arial" w:hAnsi="Arial" w:cs="Arial"/>
          <w:sz w:val="20"/>
          <w:lang w:val="en-GB"/>
        </w:rPr>
        <w:t xml:space="preserve"> Risk of bias assessment tool</w:t>
      </w:r>
      <w:r w:rsidR="00EE45BE">
        <w:rPr>
          <w:rFonts w:ascii="Arial" w:hAnsi="Arial" w:cs="Arial"/>
          <w:sz w:val="20"/>
          <w:lang w:val="en-GB"/>
        </w:rPr>
        <w:t>*</w:t>
      </w:r>
    </w:p>
    <w:tbl>
      <w:tblPr>
        <w:tblW w:w="13780" w:type="dxa"/>
        <w:tblLook w:val="04A0" w:firstRow="1" w:lastRow="0" w:firstColumn="1" w:lastColumn="0" w:noHBand="0" w:noVBand="1"/>
      </w:tblPr>
      <w:tblGrid>
        <w:gridCol w:w="1772"/>
        <w:gridCol w:w="1715"/>
        <w:gridCol w:w="1715"/>
        <w:gridCol w:w="1716"/>
        <w:gridCol w:w="1715"/>
        <w:gridCol w:w="1716"/>
        <w:gridCol w:w="1715"/>
        <w:gridCol w:w="1716"/>
      </w:tblGrid>
      <w:tr w:rsidR="00275064" w:rsidRPr="00275064" w:rsidTr="00FA330D">
        <w:trPr>
          <w:trHeight w:val="408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b/>
                <w:color w:val="auto"/>
                <w:sz w:val="16"/>
                <w:szCs w:val="16"/>
                <w:lang w:val="en-GB" w:eastAsia="en-GB"/>
              </w:rPr>
              <w:t>Author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  <w:t>Adequate sequence generation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  <w:t>Allocation concealment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  <w:t>Blinding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  <w:t>Incomplete outcome data addressed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  <w:t>Free of selective reporting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  <w:t>Free of other bias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  <w:t>Summary assessment</w:t>
            </w:r>
          </w:p>
        </w:tc>
      </w:tr>
      <w:tr w:rsidR="00275064" w:rsidRPr="00275064" w:rsidTr="00FA330D"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Benatar et al. (R1)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Berg et al. (R2)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Chen et al. (R3)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Copeland et al. (R4)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rPr>
          <w:trHeight w:val="60"/>
        </w:trPr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Dar et al. (R5)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Low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Dunagan et al. (R6)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Low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Finkelstein et al. (R7)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High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Galbreath et al. (R8)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Giordano et al. (R9)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Hebert et al. (R10)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Heidenreich et al. (R11)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Ho et al. (R12)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Hudson et al. (R13)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Jerant et al. (R14)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Johnston et al. (R15)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Kasper et al. (R16)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Low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Laramee et al. (R17)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Myers et al. (R18)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rPr>
          <w:trHeight w:val="74"/>
        </w:trPr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Noel et al. (R19)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Peikes et al. (R20)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Low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Riegel et al. (R21)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Low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Riegel et al. (R22)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Low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Riegel et al. (R23)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Scalvini et al. (R24)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rPr>
          <w:trHeight w:val="70"/>
        </w:trPr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Schwartz et al. (R25)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Smith et al. (R26)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Soran et al. (R27)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Low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Tompkins et al. (R28)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Vaccaro et al. (R29)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Wennberg et al. (R30)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Wootton et al. (R31)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5168EC" w:rsidRPr="00275064" w:rsidRDefault="005168EC" w:rsidP="005168EC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noProof/>
                <w:color w:val="auto"/>
                <w:sz w:val="16"/>
                <w:szCs w:val="16"/>
                <w:lang w:val="en-GB" w:eastAsia="en-GB"/>
              </w:rPr>
              <w:t>Wootton et al. (R32)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</w:t>
            </w:r>
          </w:p>
        </w:tc>
        <w:tc>
          <w:tcPr>
            <w:tcW w:w="1716" w:type="dxa"/>
            <w:shd w:val="clear" w:color="auto" w:fill="auto"/>
          </w:tcPr>
          <w:p w:rsidR="005168EC" w:rsidRPr="00275064" w:rsidRDefault="005168EC" w:rsidP="005168EC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Unclear risk</w:t>
            </w:r>
          </w:p>
        </w:tc>
      </w:tr>
      <w:tr w:rsidR="00275064" w:rsidRPr="00275064" w:rsidTr="00FA330D"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b/>
                <w:noProof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b/>
                <w:noProof/>
                <w:color w:val="auto"/>
                <w:sz w:val="16"/>
                <w:szCs w:val="16"/>
                <w:lang w:val="en-GB" w:eastAsia="en-GB"/>
              </w:rPr>
              <w:t>Results</w:t>
            </w:r>
          </w:p>
        </w:tc>
        <w:tc>
          <w:tcPr>
            <w:tcW w:w="1029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C500B" w:rsidRPr="00275064" w:rsidRDefault="002C500B" w:rsidP="00FA330D">
            <w:pPr>
              <w:pStyle w:val="Default"/>
              <w:spacing w:line="276" w:lineRule="auto"/>
              <w:jc w:val="both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2C500B" w:rsidRPr="00275064" w:rsidRDefault="002C500B" w:rsidP="00FA330D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</w:p>
        </w:tc>
      </w:tr>
      <w:tr w:rsidR="00275064" w:rsidRPr="00275064" w:rsidTr="00FA330D"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b/>
                <w:noProof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b/>
                <w:noProof/>
                <w:color w:val="auto"/>
                <w:sz w:val="16"/>
                <w:szCs w:val="16"/>
                <w:lang w:val="en-GB" w:eastAsia="en-GB"/>
              </w:rPr>
              <w:t>Unclear risk of bias</w:t>
            </w:r>
          </w:p>
        </w:tc>
        <w:tc>
          <w:tcPr>
            <w:tcW w:w="1029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C500B" w:rsidRPr="00275064" w:rsidRDefault="002C500B" w:rsidP="00FA330D">
            <w:pPr>
              <w:pStyle w:val="Default"/>
              <w:spacing w:line="276" w:lineRule="auto"/>
              <w:jc w:val="both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Plausible bias that raises some doubt about the results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2C500B" w:rsidRPr="00275064" w:rsidRDefault="002C500B" w:rsidP="00FA330D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24</w:t>
            </w:r>
          </w:p>
        </w:tc>
      </w:tr>
      <w:tr w:rsidR="00275064" w:rsidRPr="00275064" w:rsidTr="00FA330D">
        <w:tc>
          <w:tcPr>
            <w:tcW w:w="1772" w:type="dxa"/>
            <w:shd w:val="clear" w:color="auto" w:fill="auto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b/>
                <w:noProof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b/>
                <w:noProof/>
                <w:color w:val="auto"/>
                <w:sz w:val="16"/>
                <w:szCs w:val="16"/>
                <w:lang w:val="en-GB" w:eastAsia="en-GB"/>
              </w:rPr>
              <w:t>Low risk of bias</w:t>
            </w:r>
          </w:p>
        </w:tc>
        <w:tc>
          <w:tcPr>
            <w:tcW w:w="10292" w:type="dxa"/>
            <w:gridSpan w:val="6"/>
            <w:shd w:val="clear" w:color="auto" w:fill="auto"/>
          </w:tcPr>
          <w:p w:rsidR="002C500B" w:rsidRPr="00275064" w:rsidRDefault="002C500B" w:rsidP="00FA330D">
            <w:pPr>
              <w:pStyle w:val="Default"/>
              <w:spacing w:line="276" w:lineRule="auto"/>
              <w:jc w:val="both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Plausible bias unlikely to seriously alter the results</w:t>
            </w:r>
          </w:p>
        </w:tc>
        <w:tc>
          <w:tcPr>
            <w:tcW w:w="1716" w:type="dxa"/>
            <w:shd w:val="clear" w:color="auto" w:fill="auto"/>
          </w:tcPr>
          <w:p w:rsidR="002C500B" w:rsidRPr="00275064" w:rsidRDefault="002C500B" w:rsidP="00FA330D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7</w:t>
            </w:r>
          </w:p>
        </w:tc>
      </w:tr>
      <w:tr w:rsidR="00275064" w:rsidRPr="00275064" w:rsidTr="00FA330D"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2C500B" w:rsidRPr="00275064" w:rsidRDefault="002C500B" w:rsidP="00FA330D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b/>
                <w:noProof/>
                <w:color w:val="auto"/>
                <w:sz w:val="16"/>
                <w:szCs w:val="16"/>
                <w:lang w:val="en-GB" w:eastAsia="en-GB"/>
              </w:rPr>
            </w:pPr>
            <w:r w:rsidRPr="00275064">
              <w:rPr>
                <w:rFonts w:ascii="Arial Narrow" w:hAnsi="Arial Narrow" w:cs="Arial"/>
                <w:b/>
                <w:noProof/>
                <w:color w:val="auto"/>
                <w:sz w:val="16"/>
                <w:szCs w:val="16"/>
                <w:lang w:val="en-GB" w:eastAsia="en-GB"/>
              </w:rPr>
              <w:t>High risk of bias</w:t>
            </w:r>
          </w:p>
        </w:tc>
        <w:tc>
          <w:tcPr>
            <w:tcW w:w="102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C500B" w:rsidRPr="00275064" w:rsidRDefault="002C500B" w:rsidP="00FA330D">
            <w:pPr>
              <w:pStyle w:val="Default"/>
              <w:spacing w:line="276" w:lineRule="auto"/>
              <w:jc w:val="both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Plausible bias that seriously weakens confidence in the results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2C500B" w:rsidRPr="00275064" w:rsidRDefault="002C500B" w:rsidP="00FA330D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75064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1</w:t>
            </w:r>
          </w:p>
        </w:tc>
      </w:tr>
    </w:tbl>
    <w:p w:rsidR="002C500B" w:rsidRPr="00275064" w:rsidRDefault="00EE45BE" w:rsidP="002C500B">
      <w:pPr>
        <w:pStyle w:val="Caption"/>
        <w:spacing w:before="240"/>
        <w:ind w:firstLine="720"/>
        <w:rPr>
          <w:rFonts w:ascii="Arial" w:eastAsia="Calibri" w:hAnsi="Arial" w:cs="Arial"/>
          <w:b w:val="0"/>
          <w:i/>
          <w:noProof/>
          <w:color w:val="auto"/>
          <w:sz w:val="16"/>
          <w:szCs w:val="16"/>
          <w:lang w:val="en-GB" w:bidi="ar-SA"/>
        </w:rPr>
      </w:pPr>
      <w:r>
        <w:rPr>
          <w:rFonts w:ascii="Arial" w:hAnsi="Arial" w:cs="Arial"/>
          <w:b w:val="0"/>
          <w:i/>
          <w:color w:val="auto"/>
          <w:sz w:val="16"/>
          <w:szCs w:val="16"/>
          <w:lang w:val="en-GB"/>
        </w:rPr>
        <w:t>*Derived from</w:t>
      </w:r>
      <w:r w:rsidR="002C500B" w:rsidRPr="00275064">
        <w:rPr>
          <w:rFonts w:ascii="Arial" w:hAnsi="Arial" w:cs="Arial"/>
          <w:b w:val="0"/>
          <w:i/>
          <w:color w:val="auto"/>
          <w:sz w:val="16"/>
          <w:szCs w:val="16"/>
          <w:lang w:val="en-GB"/>
        </w:rPr>
        <w:t xml:space="preserve"> </w:t>
      </w:r>
      <w:r w:rsidR="000A12FA" w:rsidRPr="00275064">
        <w:rPr>
          <w:rFonts w:ascii="Arial" w:eastAsia="Calibri" w:hAnsi="Arial" w:cs="Arial"/>
          <w:b w:val="0"/>
          <w:i/>
          <w:noProof/>
          <w:color w:val="auto"/>
          <w:sz w:val="16"/>
          <w:szCs w:val="16"/>
          <w:lang w:val="en-GB" w:bidi="ar-SA"/>
        </w:rPr>
        <w:t>The Cochrane Collaboration (</w:t>
      </w:r>
      <w:r w:rsidR="002C500B" w:rsidRPr="00275064">
        <w:rPr>
          <w:rFonts w:ascii="Arial" w:eastAsia="Calibri" w:hAnsi="Arial" w:cs="Arial"/>
          <w:b w:val="0"/>
          <w:i/>
          <w:noProof/>
          <w:color w:val="auto"/>
          <w:sz w:val="16"/>
          <w:szCs w:val="16"/>
          <w:lang w:val="en-GB" w:bidi="ar-SA"/>
        </w:rPr>
        <w:t>1</w:t>
      </w:r>
      <w:r w:rsidR="00592DE9">
        <w:rPr>
          <w:rFonts w:ascii="Arial" w:eastAsia="Calibri" w:hAnsi="Arial" w:cs="Arial"/>
          <w:b w:val="0"/>
          <w:i/>
          <w:noProof/>
          <w:color w:val="auto"/>
          <w:sz w:val="16"/>
          <w:szCs w:val="16"/>
          <w:lang w:val="en-GB" w:bidi="ar-SA"/>
        </w:rPr>
        <w:t>5</w:t>
      </w:r>
      <w:r w:rsidR="002C500B" w:rsidRPr="00275064">
        <w:rPr>
          <w:rFonts w:ascii="Arial" w:eastAsia="Calibri" w:hAnsi="Arial" w:cs="Arial"/>
          <w:b w:val="0"/>
          <w:i/>
          <w:noProof/>
          <w:color w:val="auto"/>
          <w:sz w:val="16"/>
          <w:szCs w:val="16"/>
          <w:lang w:val="en-GB" w:bidi="ar-SA"/>
        </w:rPr>
        <w:t>)</w:t>
      </w:r>
    </w:p>
    <w:p w:rsidR="00BE7468" w:rsidRPr="002073B8" w:rsidRDefault="00BE7468" w:rsidP="00BE7468">
      <w:pPr>
        <w:pStyle w:val="Caption"/>
        <w:keepNext/>
        <w:rPr>
          <w:rFonts w:ascii="Arial" w:hAnsi="Arial" w:cs="Arial"/>
          <w:b w:val="0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lastRenderedPageBreak/>
        <w:t xml:space="preserve">Supplementary </w:t>
      </w:r>
      <w:r w:rsidRPr="002073B8">
        <w:rPr>
          <w:rFonts w:ascii="Arial" w:hAnsi="Arial" w:cs="Arial"/>
          <w:color w:val="auto"/>
          <w:sz w:val="20"/>
          <w:szCs w:val="20"/>
          <w:lang w:val="en-GB"/>
        </w:rPr>
        <w:t xml:space="preserve">Table </w:t>
      </w: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2073B8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Pr="002073B8">
        <w:rPr>
          <w:rFonts w:ascii="Arial" w:hAnsi="Arial" w:cs="Arial"/>
          <w:b w:val="0"/>
          <w:color w:val="auto"/>
          <w:sz w:val="20"/>
          <w:szCs w:val="20"/>
          <w:lang w:val="en-GB"/>
        </w:rPr>
        <w:t xml:space="preserve"> An overview of the methodological quality of the studies</w:t>
      </w:r>
      <w:r w:rsidR="00EE45BE">
        <w:rPr>
          <w:rFonts w:ascii="Arial" w:hAnsi="Arial" w:cs="Arial"/>
          <w:b w:val="0"/>
          <w:color w:val="auto"/>
          <w:sz w:val="20"/>
          <w:szCs w:val="20"/>
          <w:lang w:val="en-GB"/>
        </w:rPr>
        <w:t>*</w:t>
      </w:r>
      <w:r w:rsidRPr="002073B8">
        <w:rPr>
          <w:rFonts w:ascii="Arial" w:hAnsi="Arial" w:cs="Arial"/>
          <w:b w:val="0"/>
          <w:color w:val="auto"/>
          <w:sz w:val="20"/>
          <w:szCs w:val="20"/>
          <w:lang w:val="en-GB"/>
        </w:rPr>
        <w:t xml:space="preserve"> </w:t>
      </w:r>
    </w:p>
    <w:tbl>
      <w:tblPr>
        <w:tblW w:w="13923" w:type="dxa"/>
        <w:tblLook w:val="04A0" w:firstRow="1" w:lastRow="0" w:firstColumn="1" w:lastColumn="0" w:noHBand="0" w:noVBand="1"/>
      </w:tblPr>
      <w:tblGrid>
        <w:gridCol w:w="1772"/>
        <w:gridCol w:w="1214"/>
        <w:gridCol w:w="1215"/>
        <w:gridCol w:w="1215"/>
        <w:gridCol w:w="1215"/>
        <w:gridCol w:w="1215"/>
        <w:gridCol w:w="1215"/>
        <w:gridCol w:w="1215"/>
        <w:gridCol w:w="1215"/>
        <w:gridCol w:w="1215"/>
        <w:gridCol w:w="1217"/>
      </w:tblGrid>
      <w:tr w:rsidR="00BE7468" w:rsidRPr="002073B8" w:rsidTr="004D0307">
        <w:trPr>
          <w:trHeight w:val="1698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  <w:t>Author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t>Was a well-defined question posed in answerable form?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t>Was a comprehensive description of the competing alternatives given?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t>Was the effectiveness of the programmes or services established?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t>Were all the important and relevant costs and consequences for each alternative identified?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t>Were costs and consequences measured accurately in appropriate physical units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t>Were costs and consequences valued credibly?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t>Were costs and consequences adjusted for differential timing?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t>Was an incremental analysis of costs and consequences of alternatives performed?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t>Was allowance made for uncertainty in the estimates of costs and consequences?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t>Did the presentation and discussion of study results include all issues of concern to users?</w:t>
            </w:r>
          </w:p>
        </w:tc>
      </w:tr>
      <w:tr w:rsidR="00BE7468" w:rsidRPr="002073B8" w:rsidTr="004D0307"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Benatar et al. (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R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1)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Berg et al. (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R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2)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Chen et al. (R3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Copeland et al. (R4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</w:tr>
      <w:tr w:rsidR="00BE7468" w:rsidRPr="002073B8" w:rsidTr="004D0307">
        <w:trPr>
          <w:trHeight w:val="60"/>
        </w:trPr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Dar et al. (R5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Dunagan et al. (R6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Finkelstein et al. (R7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Galbreath et al. (R8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Giordano et al. (R9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Hebert et al. (R10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Heidenreich et al. (R11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Ho et al. (R12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Hudson et al. (R13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Jerant et al. (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R14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Johnston et al. (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R15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Kasper et al. (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R16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Laramee et al. (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R17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Myers et al. (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R18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rPr>
          <w:trHeight w:val="74"/>
        </w:trPr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Noel et al. (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R19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Peikes et al. (R20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Riegel et al. (R21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Riegel et al. (R22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Riegel et al. (R23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Scalvini et al. (R24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rPr>
          <w:trHeight w:val="70"/>
        </w:trPr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Schwartz et al. (R25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Smith et al. (R26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Soran et al. (R27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Tompkins et al. (R28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Vaccaro et al. (R29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Wennberg et al. (R30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Wootton et al. (R31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Wootton et al. (R32</w:t>
            </w:r>
            <w:r w:rsidRPr="002073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Can’t tell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N.A.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No</w:t>
            </w:r>
          </w:p>
        </w:tc>
      </w:tr>
      <w:tr w:rsidR="00BE7468" w:rsidRPr="002073B8" w:rsidTr="004D0307">
        <w:trPr>
          <w:trHeight w:val="80"/>
        </w:trPr>
        <w:tc>
          <w:tcPr>
            <w:tcW w:w="1392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Default"/>
              <w:spacing w:line="276" w:lineRule="auto"/>
              <w:rPr>
                <w:rFonts w:ascii="Arial Narrow" w:eastAsia="Times New Roman" w:hAnsi="Arial Narrow"/>
                <w:i/>
                <w:noProof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i/>
                <w:noProof/>
                <w:color w:val="auto"/>
                <w:sz w:val="16"/>
                <w:szCs w:val="16"/>
                <w:lang w:eastAsia="en-GB"/>
              </w:rPr>
              <w:lastRenderedPageBreak/>
              <w:t>(Continued)</w:t>
            </w:r>
          </w:p>
        </w:tc>
      </w:tr>
      <w:tr w:rsidR="00BE7468" w:rsidRPr="002073B8" w:rsidTr="004D0307">
        <w:trPr>
          <w:trHeight w:val="70"/>
        </w:trPr>
        <w:tc>
          <w:tcPr>
            <w:tcW w:w="139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468" w:rsidRPr="002073B8" w:rsidRDefault="00BE7468" w:rsidP="004D0307">
            <w:pPr>
              <w:pStyle w:val="Default"/>
              <w:spacing w:line="276" w:lineRule="auto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b/>
                <w:noProof/>
                <w:color w:val="auto"/>
                <w:sz w:val="16"/>
                <w:szCs w:val="16"/>
                <w:lang w:eastAsia="en-GB"/>
              </w:rPr>
              <w:t>Results</w:t>
            </w:r>
          </w:p>
        </w:tc>
      </w:tr>
      <w:tr w:rsidR="00BE7468" w:rsidRPr="002073B8" w:rsidTr="004D0307"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b/>
                <w:noProof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b/>
                <w:noProof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23 (71</w:t>
            </w:r>
            <w:proofErr w:type="gramStart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,9</w:t>
            </w:r>
            <w:proofErr w:type="gramEnd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 xml:space="preserve"> %)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30 (93</w:t>
            </w:r>
            <w:proofErr w:type="gramStart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,7</w:t>
            </w:r>
            <w:proofErr w:type="gramEnd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 xml:space="preserve"> %)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28 (87</w:t>
            </w:r>
            <w:proofErr w:type="gramStart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,5</w:t>
            </w:r>
            <w:proofErr w:type="gramEnd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 xml:space="preserve"> %)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29 (90</w:t>
            </w:r>
            <w:proofErr w:type="gramStart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,6</w:t>
            </w:r>
            <w:proofErr w:type="gramEnd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 xml:space="preserve"> %)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10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b/>
                <w:noProof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b/>
                <w:noProof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23 (71</w:t>
            </w:r>
            <w:proofErr w:type="gramStart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,9</w:t>
            </w:r>
            <w:proofErr w:type="gramEnd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 xml:space="preserve"> %)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25 (78</w:t>
            </w:r>
            <w:proofErr w:type="gramStart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,1</w:t>
            </w:r>
            <w:proofErr w:type="gramEnd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 xml:space="preserve"> %)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30 (93</w:t>
            </w:r>
            <w:proofErr w:type="gramStart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,7</w:t>
            </w:r>
            <w:proofErr w:type="gramEnd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 xml:space="preserve"> %)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21 (65</w:t>
            </w:r>
            <w:proofErr w:type="gramStart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,6</w:t>
            </w:r>
            <w:proofErr w:type="gramEnd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 xml:space="preserve"> %)</w:t>
            </w:r>
          </w:p>
        </w:tc>
      </w:tr>
      <w:tr w:rsidR="00BE7468" w:rsidRPr="002073B8" w:rsidTr="004D0307">
        <w:tc>
          <w:tcPr>
            <w:tcW w:w="1772" w:type="dxa"/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b/>
                <w:noProof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b/>
                <w:noProof/>
                <w:sz w:val="16"/>
                <w:szCs w:val="16"/>
                <w:lang w:val="en-GB" w:eastAsia="en-GB"/>
              </w:rPr>
              <w:t>Can’t tell</w:t>
            </w:r>
          </w:p>
        </w:tc>
        <w:tc>
          <w:tcPr>
            <w:tcW w:w="1214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26 (81</w:t>
            </w:r>
            <w:proofErr w:type="gramStart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,2</w:t>
            </w:r>
            <w:proofErr w:type="gramEnd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 xml:space="preserve"> %)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1</w:t>
            </w:r>
          </w:p>
        </w:tc>
      </w:tr>
      <w:tr w:rsidR="00BE7468" w:rsidRPr="002073B8" w:rsidTr="004D0307">
        <w:trPr>
          <w:trHeight w:val="80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Tekst"/>
              <w:spacing w:after="0" w:line="276" w:lineRule="auto"/>
              <w:jc w:val="left"/>
              <w:rPr>
                <w:rFonts w:ascii="Arial Narrow" w:hAnsi="Arial Narrow" w:cs="Arial"/>
                <w:b/>
                <w:noProof/>
                <w:sz w:val="16"/>
                <w:szCs w:val="16"/>
                <w:lang w:val="en-GB" w:eastAsia="en-GB"/>
              </w:rPr>
            </w:pPr>
            <w:r w:rsidRPr="002073B8">
              <w:rPr>
                <w:rFonts w:ascii="Arial Narrow" w:hAnsi="Arial Narrow" w:cs="Arial"/>
                <w:b/>
                <w:noProof/>
                <w:sz w:val="16"/>
                <w:szCs w:val="16"/>
                <w:lang w:val="en-GB" w:eastAsia="en-GB"/>
              </w:rPr>
              <w:t>N.A.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25 (78</w:t>
            </w:r>
            <w:proofErr w:type="gramStart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>,1</w:t>
            </w:r>
            <w:proofErr w:type="gramEnd"/>
            <w:r w:rsidRPr="002073B8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en-GB"/>
              </w:rPr>
              <w:t xml:space="preserve"> %)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BE7468" w:rsidRPr="002073B8" w:rsidRDefault="00BE7468" w:rsidP="004D0307">
            <w:pPr>
              <w:pStyle w:val="Default"/>
              <w:spacing w:line="276" w:lineRule="auto"/>
              <w:jc w:val="center"/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</w:pPr>
            <w:r w:rsidRPr="002073B8">
              <w:rPr>
                <w:rFonts w:ascii="Arial Narrow" w:eastAsia="Times New Roman" w:hAnsi="Arial Narrow"/>
                <w:color w:val="auto"/>
                <w:sz w:val="16"/>
                <w:szCs w:val="16"/>
                <w:lang w:eastAsia="en-GB"/>
              </w:rPr>
              <w:t>0</w:t>
            </w:r>
          </w:p>
        </w:tc>
      </w:tr>
    </w:tbl>
    <w:p w:rsidR="00BE7468" w:rsidRPr="002073B8" w:rsidRDefault="00EE45BE" w:rsidP="00BE7468">
      <w:pPr>
        <w:pStyle w:val="Caption"/>
        <w:spacing w:before="240"/>
        <w:ind w:firstLine="720"/>
        <w:rPr>
          <w:rFonts w:ascii="Arial" w:eastAsia="Calibri" w:hAnsi="Arial" w:cs="Arial"/>
          <w:b w:val="0"/>
          <w:i/>
          <w:noProof/>
          <w:color w:val="auto"/>
          <w:sz w:val="16"/>
          <w:szCs w:val="16"/>
          <w:lang w:val="en-GB" w:bidi="ar-SA"/>
        </w:rPr>
      </w:pPr>
      <w:r>
        <w:rPr>
          <w:rFonts w:ascii="Arial" w:hAnsi="Arial" w:cs="Arial"/>
          <w:b w:val="0"/>
          <w:i/>
          <w:color w:val="auto"/>
          <w:sz w:val="16"/>
          <w:szCs w:val="16"/>
          <w:lang w:val="en-GB"/>
        </w:rPr>
        <w:t>*Derived from</w:t>
      </w:r>
      <w:r w:rsidR="00BE7468" w:rsidRPr="002073B8">
        <w:rPr>
          <w:rFonts w:ascii="Arial" w:hAnsi="Arial" w:cs="Arial"/>
          <w:b w:val="0"/>
          <w:i/>
          <w:color w:val="auto"/>
          <w:sz w:val="16"/>
          <w:szCs w:val="16"/>
          <w:lang w:val="en-GB"/>
        </w:rPr>
        <w:t xml:space="preserve"> </w:t>
      </w:r>
      <w:r w:rsidR="00BE7468" w:rsidRPr="002073B8">
        <w:rPr>
          <w:rFonts w:ascii="Arial" w:eastAsia="Calibri" w:hAnsi="Arial" w:cs="Arial"/>
          <w:b w:val="0"/>
          <w:i/>
          <w:noProof/>
          <w:color w:val="auto"/>
          <w:sz w:val="16"/>
          <w:szCs w:val="16"/>
          <w:lang w:val="en-GB" w:bidi="ar-SA"/>
        </w:rPr>
        <w:t>Drummond, Sculpher, Torrance, O'Brien, &amp; Stoddart (</w:t>
      </w:r>
      <w:r w:rsidR="00592DE9">
        <w:rPr>
          <w:rFonts w:ascii="Arial" w:eastAsia="Calibri" w:hAnsi="Arial" w:cs="Arial"/>
          <w:b w:val="0"/>
          <w:i/>
          <w:noProof/>
          <w:color w:val="auto"/>
          <w:sz w:val="16"/>
          <w:szCs w:val="16"/>
          <w:lang w:val="en-GB" w:bidi="ar-SA"/>
        </w:rPr>
        <w:t>7</w:t>
      </w:r>
      <w:r w:rsidR="00BE7468" w:rsidRPr="002073B8">
        <w:rPr>
          <w:rFonts w:ascii="Arial" w:eastAsia="Calibri" w:hAnsi="Arial" w:cs="Arial"/>
          <w:b w:val="0"/>
          <w:i/>
          <w:noProof/>
          <w:color w:val="auto"/>
          <w:sz w:val="16"/>
          <w:szCs w:val="16"/>
          <w:lang w:val="en-GB" w:bidi="ar-SA"/>
        </w:rPr>
        <w:t>)</w:t>
      </w:r>
    </w:p>
    <w:p w:rsidR="002C500B" w:rsidRPr="00275064" w:rsidRDefault="002C500B" w:rsidP="002C500B">
      <w:pPr>
        <w:rPr>
          <w:rFonts w:eastAsia="Calibri"/>
          <w:noProof/>
          <w:lang w:val="en-GB" w:bidi="ar-SA"/>
        </w:rPr>
        <w:sectPr w:rsidR="002C500B" w:rsidRPr="00275064" w:rsidSect="002C500B">
          <w:pgSz w:w="16838" w:h="11906" w:orient="landscape"/>
          <w:pgMar w:top="1440" w:right="1440" w:bottom="1440" w:left="1276" w:header="709" w:footer="709" w:gutter="0"/>
          <w:cols w:space="708"/>
          <w:docGrid w:linePitch="360"/>
        </w:sectPr>
      </w:pPr>
    </w:p>
    <w:p w:rsidR="00C9110D" w:rsidRPr="00275064" w:rsidRDefault="003A5562" w:rsidP="003A5562">
      <w:pPr>
        <w:pStyle w:val="Heading1"/>
        <w:spacing w:before="0" w:after="240"/>
        <w:rPr>
          <w:rFonts w:ascii="Arial" w:hAnsi="Arial" w:cs="Arial"/>
          <w:b w:val="0"/>
          <w:color w:val="auto"/>
          <w:sz w:val="20"/>
          <w:lang w:val="en-GB"/>
        </w:rPr>
      </w:pPr>
      <w:r w:rsidRPr="00275064">
        <w:rPr>
          <w:rFonts w:ascii="Arial" w:hAnsi="Arial" w:cs="Arial"/>
          <w:color w:val="auto"/>
          <w:sz w:val="20"/>
          <w:lang w:val="en-GB"/>
        </w:rPr>
        <w:lastRenderedPageBreak/>
        <w:t xml:space="preserve">Supplementary Table </w:t>
      </w:r>
      <w:r w:rsidR="0096553A">
        <w:rPr>
          <w:rFonts w:ascii="Arial" w:hAnsi="Arial" w:cs="Arial"/>
          <w:color w:val="auto"/>
          <w:sz w:val="20"/>
          <w:lang w:val="en-GB"/>
        </w:rPr>
        <w:t>3</w:t>
      </w:r>
      <w:r w:rsidRPr="00275064">
        <w:rPr>
          <w:rFonts w:ascii="Arial" w:hAnsi="Arial" w:cs="Arial"/>
          <w:color w:val="auto"/>
          <w:sz w:val="20"/>
          <w:lang w:val="en-GB"/>
        </w:rPr>
        <w:t xml:space="preserve">. </w:t>
      </w:r>
      <w:r w:rsidR="005304AE">
        <w:rPr>
          <w:rFonts w:ascii="Arial" w:hAnsi="Arial" w:cs="Arial"/>
          <w:b w:val="0"/>
          <w:color w:val="auto"/>
          <w:sz w:val="20"/>
          <w:lang w:val="en-GB"/>
        </w:rPr>
        <w:t>Data Mining</w:t>
      </w:r>
      <w:r w:rsidR="00251F2D">
        <w:rPr>
          <w:rFonts w:ascii="Arial" w:hAnsi="Arial" w:cs="Arial"/>
          <w:b w:val="0"/>
          <w:color w:val="auto"/>
          <w:sz w:val="20"/>
          <w:lang w:val="en-GB"/>
        </w:rPr>
        <w:t>*</w:t>
      </w:r>
    </w:p>
    <w:p w:rsidR="003A5562" w:rsidRPr="00275064" w:rsidRDefault="00251F2D" w:rsidP="003A5562">
      <w:pPr>
        <w:pStyle w:val="Heading1"/>
        <w:spacing w:before="0" w:after="240"/>
        <w:rPr>
          <w:rFonts w:ascii="Arial Narrow" w:hAnsi="Arial Narrow"/>
          <w:i/>
          <w:color w:val="auto"/>
          <w:sz w:val="16"/>
          <w:lang w:val="en-GB"/>
        </w:rPr>
      </w:pPr>
      <w:r>
        <w:rPr>
          <w:rFonts w:ascii="Arial Narrow" w:hAnsi="Arial Narrow" w:cs="Arial"/>
          <w:b w:val="0"/>
          <w:i/>
          <w:color w:val="auto"/>
          <w:sz w:val="16"/>
          <w:lang w:val="en-GB"/>
        </w:rPr>
        <w:t>*Derived from</w:t>
      </w:r>
      <w:r w:rsidR="00C9110D" w:rsidRPr="00275064">
        <w:rPr>
          <w:rFonts w:ascii="Arial Narrow" w:hAnsi="Arial Narrow" w:cs="Arial"/>
          <w:b w:val="0"/>
          <w:i/>
          <w:color w:val="auto"/>
          <w:sz w:val="16"/>
          <w:lang w:val="en-GB"/>
        </w:rPr>
        <w:t xml:space="preserve"> </w:t>
      </w:r>
      <w:proofErr w:type="gramStart"/>
      <w:r w:rsidR="00C9110D" w:rsidRPr="00275064">
        <w:rPr>
          <w:rFonts w:ascii="Arial Narrow" w:hAnsi="Arial Narrow" w:cs="Arial"/>
          <w:b w:val="0"/>
          <w:i/>
          <w:color w:val="auto"/>
          <w:sz w:val="16"/>
          <w:lang w:val="en-GB"/>
        </w:rPr>
        <w:t>T</w:t>
      </w:r>
      <w:r w:rsidR="003A5562" w:rsidRPr="00275064">
        <w:rPr>
          <w:rFonts w:ascii="Arial Narrow" w:hAnsi="Arial Narrow" w:cs="Arial"/>
          <w:b w:val="0"/>
          <w:i/>
          <w:color w:val="auto"/>
          <w:sz w:val="16"/>
          <w:lang w:val="en-GB"/>
        </w:rPr>
        <w:t>he</w:t>
      </w:r>
      <w:proofErr w:type="gramEnd"/>
      <w:r w:rsidR="003A5562" w:rsidRPr="00275064">
        <w:rPr>
          <w:rFonts w:ascii="Arial Narrow" w:hAnsi="Arial Narrow" w:cs="Arial"/>
          <w:b w:val="0"/>
          <w:i/>
          <w:color w:val="auto"/>
          <w:sz w:val="16"/>
          <w:lang w:val="en-GB"/>
        </w:rPr>
        <w:t> Cochrane Handbook for Systematic Reviews of Interventions</w:t>
      </w:r>
      <w:r w:rsidR="00B2059C">
        <w:rPr>
          <w:rFonts w:ascii="Arial Narrow" w:eastAsiaTheme="minorHAnsi" w:hAnsi="Arial Narrow" w:cs="Arial"/>
          <w:b w:val="0"/>
          <w:i/>
          <w:color w:val="auto"/>
          <w:sz w:val="16"/>
          <w:lang w:val="en-GB"/>
        </w:rPr>
        <w:t xml:space="preserve"> (1</w:t>
      </w:r>
      <w:r w:rsidR="00EE45BE">
        <w:rPr>
          <w:rFonts w:ascii="Arial Narrow" w:eastAsiaTheme="minorHAnsi" w:hAnsi="Arial Narrow" w:cs="Arial"/>
          <w:b w:val="0"/>
          <w:i/>
          <w:color w:val="auto"/>
          <w:sz w:val="16"/>
          <w:lang w:val="en-GB"/>
        </w:rPr>
        <w:t>5</w:t>
      </w:r>
      <w:r w:rsidR="00C9110D" w:rsidRPr="00275064">
        <w:rPr>
          <w:rFonts w:ascii="Arial Narrow" w:eastAsiaTheme="minorHAnsi" w:hAnsi="Arial Narrow" w:cs="Arial"/>
          <w:b w:val="0"/>
          <w:i/>
          <w:color w:val="auto"/>
          <w:sz w:val="16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90"/>
      </w:tblGrid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3A5562" w:rsidRPr="00275064" w:rsidRDefault="003A5562" w:rsidP="00FA330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b/>
                <w:sz w:val="16"/>
                <w:szCs w:val="16"/>
                <w:lang w:val="en-GB"/>
              </w:rPr>
              <w:t>STUDIES</w:t>
            </w:r>
          </w:p>
        </w:tc>
        <w:tc>
          <w:tcPr>
            <w:tcW w:w="5590" w:type="dxa"/>
          </w:tcPr>
          <w:p w:rsidR="003A5562" w:rsidRPr="00275064" w:rsidRDefault="003A5562" w:rsidP="00FA330D">
            <w:pPr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b/>
                <w:sz w:val="16"/>
                <w:szCs w:val="16"/>
                <w:lang w:val="en-GB"/>
              </w:rPr>
              <w:t>AUTHORS</w:t>
            </w:r>
          </w:p>
        </w:tc>
      </w:tr>
      <w:tr w:rsidR="00B2059C" w:rsidRPr="00275064" w:rsidTr="00FA330D">
        <w:trPr>
          <w:trHeight w:val="105"/>
        </w:trPr>
        <w:tc>
          <w:tcPr>
            <w:tcW w:w="9242" w:type="dxa"/>
            <w:gridSpan w:val="3"/>
          </w:tcPr>
          <w:p w:rsidR="003A5562" w:rsidRPr="00275064" w:rsidRDefault="003A5562" w:rsidP="00FA330D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b/>
                <w:sz w:val="16"/>
                <w:szCs w:val="16"/>
                <w:lang w:val="en-GB"/>
              </w:rPr>
              <w:t>Source</w:t>
            </w:r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Disease</w:t>
            </w:r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Chronic Heart Failure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26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0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6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6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6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>,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462674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 xml:space="preserve"> (Dar, et al., 2009)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7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7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>,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0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 xml:space="preserve"> (Giordano, et al., 2009)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7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9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8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7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0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(Jerant, Azari, &amp; Nesbitt, 2001)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0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(Kasper, et al., 2002)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0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7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7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7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7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>,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1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 xml:space="preserve"> (Scalvini, et al., 2005)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>,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1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 xml:space="preserve"> (Schwartz, Mion, Hudock, &amp; Litman, 2008)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8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Smi081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(Smith, Hughes-Cromwick, Forkner, &amp; Galbreath, 2008)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8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1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1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1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CHF, COPD, Chronic Wound Care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tabs>
                <w:tab w:val="left" w:pos="2721"/>
              </w:tabs>
              <w:rPr>
                <w:rFonts w:ascii="Arial Narrow" w:hAnsi="Arial Narrow"/>
                <w:sz w:val="16"/>
                <w:szCs w:val="16"/>
                <w:lang w:val="en-GB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7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sz w:val="16"/>
                <w:szCs w:val="16"/>
                <w:lang w:val="en-GB"/>
              </w:rPr>
              <w:tab/>
            </w:r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CHF, CAD, Diabetes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tabs>
                <w:tab w:val="left" w:pos="2721"/>
              </w:tabs>
              <w:rPr>
                <w:rFonts w:ascii="Arial Narrow" w:hAnsi="Arial Narrow"/>
                <w:sz w:val="16"/>
                <w:szCs w:val="16"/>
                <w:lang w:val="en-GB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1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(Peikes, Chen, Schore, &amp; Brown, 2009)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HF, Diabetes, Osteoarthritis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tabs>
                <w:tab w:val="left" w:pos="2721"/>
              </w:tabs>
              <w:rPr>
                <w:rFonts w:ascii="Arial Narrow" w:hAnsi="Arial Narrow"/>
                <w:sz w:val="16"/>
                <w:szCs w:val="16"/>
                <w:lang w:val="en-GB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1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s-ES"/>
              </w:rPr>
              <w:t xml:space="preserve">HF, CAD, COPD, Diabetes, </w:t>
            </w:r>
            <w:proofErr w:type="spellStart"/>
            <w:r w:rsidRPr="00275064">
              <w:rPr>
                <w:rFonts w:ascii="Arial Narrow" w:hAnsi="Arial Narrow"/>
                <w:sz w:val="16"/>
                <w:szCs w:val="16"/>
                <w:lang w:val="es-ES"/>
              </w:rPr>
              <w:t>Asthma</w:t>
            </w:r>
            <w:proofErr w:type="spellEnd"/>
          </w:p>
        </w:tc>
        <w:tc>
          <w:tcPr>
            <w:tcW w:w="992" w:type="dxa"/>
          </w:tcPr>
          <w:p w:rsidR="003A5562" w:rsidRPr="00275064" w:rsidRDefault="003A5562" w:rsidP="00FA330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tabs>
                <w:tab w:val="left" w:pos="2721"/>
              </w:tabs>
              <w:rPr>
                <w:rFonts w:ascii="Arial Narrow" w:hAnsi="Arial Narrow"/>
                <w:sz w:val="16"/>
                <w:szCs w:val="16"/>
                <w:lang w:val="en-GB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1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Wen11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(Wennberg, Marr, Lang, O’Malley, &amp; Bennett, 2011)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</w:tr>
      <w:tr w:rsidR="00B2059C" w:rsidRPr="00592DE9" w:rsidTr="00FA330D">
        <w:tc>
          <w:tcPr>
            <w:tcW w:w="2660" w:type="dxa"/>
          </w:tcPr>
          <w:p w:rsidR="003A5562" w:rsidRPr="00275064" w:rsidRDefault="003A5562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HF, Chronic lung disease, Diabetes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210370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s-ES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s-ES"/>
                  </w:rPr>
                  <w:t>(Noel, Vogel, Erdos, Cornwall, &amp; Levin, 2004)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CHF, COPD, Cerebral Vascular Accident, Cancer, Diabetes, Anxiety, CWC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1340779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b/>
                <w:sz w:val="16"/>
                <w:szCs w:val="16"/>
                <w:lang w:val="en-GB"/>
              </w:rPr>
              <w:t>Methods</w:t>
            </w:r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Study design</w:t>
            </w:r>
          </w:p>
        </w:tc>
      </w:tr>
      <w:tr w:rsidR="00B2059C" w:rsidRPr="00275064" w:rsidTr="00FA330D">
        <w:trPr>
          <w:trHeight w:val="215"/>
        </w:trPr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Randomized Controlled Trial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18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462674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6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6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6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2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2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3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3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(Noel, Vogel, Erdos, Cornwall, &amp; Levin,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3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(Peikes, Chen, Schore, &amp; Brown,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7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7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7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3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3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7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Smi081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(Smith, Hughes-Cromwick, Forkner, &amp; Galbreath,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7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3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4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rPr>
          <w:trHeight w:val="215"/>
        </w:trPr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Prospective randomized study 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3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2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4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3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(Kasper, et 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rPr>
          <w:trHeight w:val="215"/>
        </w:trPr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proofErr w:type="spellStart"/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Quasiexperimental</w:t>
            </w:r>
            <w:proofErr w:type="spellEnd"/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 study 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7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7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</w:p>
        </w:tc>
      </w:tr>
      <w:tr w:rsidR="00B2059C" w:rsidRPr="00275064" w:rsidTr="00FA330D">
        <w:trPr>
          <w:trHeight w:val="215"/>
        </w:trPr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The evaluation of the RCT 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4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rPr>
          <w:trHeight w:val="215"/>
        </w:trPr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A stratified randomization design 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3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Wen11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(Wennberg, Marr, Lang, O’Malley, &amp; Bennett,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rPr>
          <w:trHeight w:val="215"/>
        </w:trPr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Concurrent matched-cohort 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275064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GB"/>
                </w:rPr>
                <w:id w:val="506274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sz w:val="16"/>
                    <w:szCs w:val="16"/>
                    <w:lang w:val="en-GB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Non-concurrent, prospective design 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4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rPr>
          <w:trHeight w:val="43"/>
        </w:trPr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Prospective cohort study 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6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Cost-effectiveness analysis conducted alongside a randomized trial 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6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Pre-post study (Data analysed for time periods before, during, and after the monitoring intervention) 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7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Matching of the retrospective control data with the observed intervention data 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73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Prospective study 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78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Total study duration</w:t>
            </w:r>
          </w:p>
        </w:tc>
      </w:tr>
      <w:tr w:rsidR="00B2059C" w:rsidRPr="00592DE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6 months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10</w:t>
            </w:r>
          </w:p>
        </w:tc>
        <w:tc>
          <w:tcPr>
            <w:tcW w:w="5590" w:type="dxa"/>
          </w:tcPr>
          <w:p w:rsidR="003A5562" w:rsidRPr="00BE7468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4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462674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5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5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2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 xml:space="preserve"> 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3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 xml:space="preserve"> (Kasper, et 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5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6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6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6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12 months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5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4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5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2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5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3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18 months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5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6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Smi081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(Smith, Hughes-Cromwick, Forkner, &amp; Galbreath,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3 months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2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 months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5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1-year </w:t>
            </w:r>
            <w:proofErr w:type="spellStart"/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preintervention</w:t>
            </w:r>
            <w:proofErr w:type="spellEnd"/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 data collection period and a 1-year intervention and follow-up (24 months)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4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From May 1996 to October 1997 (17 months)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5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7.4 ± 3 months (range 11 days to 10.9 months)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5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Between Jan and Dec 2004 (11 months)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86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lastRenderedPageBreak/>
              <w:t>Blinding</w:t>
            </w:r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20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3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3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3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3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4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4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3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4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5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4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3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4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3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4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4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4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5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Smi081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(Smith, Hughes-Cromwick, Forkner, &amp; Galbreath,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5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5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5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Wen11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(Wennberg, Marr, Lang, O’Malley, &amp; Bennett,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462674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4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4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3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(Kasper, et 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5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5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3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3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4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(Noel, Vogel, Erdos, Cornwall, &amp; Levin,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4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(Peikes, Chen, Schore, &amp; Brown,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EF509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Partially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3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es-ES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4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  <w:lang w:val="es-ES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es-ES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  <w:lang w:val="es-ES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5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  <w:lang w:val="es-ES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es-ES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  <w:lang w:val="es-ES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10395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  <w:lang w:val="es-ES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es-ES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EF5099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es-ES"/>
              </w:rPr>
            </w:pPr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Bias</w:t>
            </w:r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16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3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462674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6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6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6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5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6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5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6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7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7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7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7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7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7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7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Concerns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14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5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5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5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6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3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6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5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(Kasper, et 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6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6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(Noel, Vogel, Erdos, Cornwall, &amp; Levin,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6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(Peikes, Chen, Schore, &amp; Brown,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7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7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Smi081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(Smith, Hughes-Cromwick, Forkner, &amp; Galbreath,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506297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7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Wen11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(Wennberg, Marr, Lang, O’Malley, &amp; Bennett,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EF509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No concerns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es-ES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3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  <w:lang w:val="es-ES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es-ES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  <w:lang w:val="es-ES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3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  <w:lang w:val="es-ES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es-ES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b/>
                <w:color w:val="auto"/>
                <w:sz w:val="16"/>
                <w:szCs w:val="16"/>
              </w:rPr>
              <w:t>Participants</w:t>
            </w:r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Setting</w:t>
            </w:r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Outpatient (home based)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30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8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4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4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4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462675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4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4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4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8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4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4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6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5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8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5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8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(Kasper, et 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9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5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9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(Noel, Vogel, Erdos, Cornwall, &amp; Levin,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9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(Peikes, Chen, Schore, &amp; Brown,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5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5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5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9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9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5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Smi081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(Smith, Hughes-Cromwick, Forkner, &amp; Galbreath,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5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9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59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0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Wen11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(Wennberg, Marr, Lang, O’Malley, &amp; Bennett,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0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0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Country</w:t>
            </w:r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25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0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6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6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6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6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6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6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7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7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0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7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0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(Kasper, et 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0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7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0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(Noel, Vogel, Erdos, Cornwall, &amp; Levin,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1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(Peikes, Chen, Schore, &amp; Brown,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7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7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7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1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7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Smi081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(Smith, Hughes-Cromwick, Forkner, &amp; Galbreath,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8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1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1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1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Wen11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(Wennberg, Marr, Lang, O’Malley, &amp; Bennett,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Australia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1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2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EF509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Italy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es-ES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0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  <w:lang w:val="es-ES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es-ES"/>
                  </w:rPr>
                  <w:t>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  <w:lang w:val="es-ES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1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  <w:lang w:val="es-ES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es-ES"/>
                  </w:rPr>
                  <w:t>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UK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462675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China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6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Taiwan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37668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spacing w:line="360" w:lineRule="auto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  <w:p w:rsidR="003A5562" w:rsidRPr="00275064" w:rsidRDefault="003A5562" w:rsidP="00FA330D">
            <w:pPr>
              <w:pStyle w:val="Default"/>
              <w:spacing w:line="360" w:lineRule="auto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  <w:p w:rsidR="003A5562" w:rsidRPr="00275064" w:rsidRDefault="003A5562" w:rsidP="00FA330D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b/>
                <w:color w:val="auto"/>
                <w:sz w:val="16"/>
                <w:szCs w:val="16"/>
              </w:rPr>
              <w:t>Intervention</w:t>
            </w:r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Intervention details</w:t>
            </w:r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Telephone case management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15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2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3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3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3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3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6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7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(Kasper, et </w:t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lastRenderedPageBreak/>
                  <w:t>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7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8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(Peikes, Chen, Schore, &amp; Brown,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4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4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4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8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Wen11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(Wennberg, Marr, Lang, O’Malley, &amp; Bennett,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8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8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lastRenderedPageBreak/>
              <w:t>Telemonitoring + telephone case management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7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5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6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3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4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8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(Noel, Vogel, Erdos, Cornwall, &amp; Levin,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8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4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Smi081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(Smith, Hughes-Cromwick, Forkner, &amp; Galbreath,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Telemonitoring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7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6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3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3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8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4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8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8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Video visits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3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Video visits + telephone visits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7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Video visits + telephone visits + in-person visits + peripheral equipment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1701867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Frequency</w:t>
            </w:r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9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0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(Noel, Vogel, Erdos, Cornwall, &amp; Levin,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0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Smi081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(Smith, Hughes-Cromwick, Forkner, &amp; Galbreath,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0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1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1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tabs>
                <w:tab w:val="center" w:pos="1222"/>
              </w:tabs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Daily</w:t>
            </w: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ab/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8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9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9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0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0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1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Intermittent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5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9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0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(Peikes, Chen, Schore, &amp; Brown,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0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0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0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Condensed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5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8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8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9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0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41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Wen11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(Wennberg, Marr, Lang, O’Malley, &amp; Bennett,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Weekly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4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8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9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9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9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592DE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Weekly to monthly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</w:t>
            </w:r>
          </w:p>
        </w:tc>
        <w:tc>
          <w:tcPr>
            <w:tcW w:w="5590" w:type="dxa"/>
          </w:tcPr>
          <w:p w:rsidR="003A5562" w:rsidRPr="00BE7468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8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9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(Kasper, et 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tabs>
                <w:tab w:val="center" w:pos="1222"/>
              </w:tabs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Two times per week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8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tabs>
                <w:tab w:val="center" w:pos="1222"/>
              </w:tabs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Three times per week and decreasing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8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Biweekly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8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Quarterly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808939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spacing w:line="360" w:lineRule="auto"/>
              <w:rPr>
                <w:rFonts w:ascii="Arial Narrow" w:hAnsi="Arial Narrow"/>
                <w:b/>
                <w:color w:val="auto"/>
                <w:sz w:val="16"/>
                <w:szCs w:val="16"/>
                <w:highlight w:val="yellow"/>
              </w:rPr>
            </w:pPr>
            <w:r w:rsidRPr="00275064">
              <w:rPr>
                <w:rFonts w:ascii="Arial Narrow" w:hAnsi="Arial Narrow"/>
                <w:b/>
                <w:color w:val="auto"/>
                <w:sz w:val="16"/>
                <w:szCs w:val="16"/>
              </w:rPr>
              <w:t>Outcomes</w:t>
            </w:r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Usage related </w:t>
            </w:r>
          </w:p>
        </w:tc>
      </w:tr>
      <w:tr w:rsidR="00B2059C" w:rsidRPr="00592DE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Admission rate/ hospitalization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14</w:t>
            </w:r>
          </w:p>
        </w:tc>
        <w:tc>
          <w:tcPr>
            <w:tcW w:w="5590" w:type="dxa"/>
          </w:tcPr>
          <w:p w:rsidR="003A5562" w:rsidRPr="00BE7468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5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5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6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6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8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8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9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0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1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(Kasper, et 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3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(Peikes, Chen, Schore, &amp; Brown,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3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3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4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6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Readmissions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12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4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6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6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8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9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0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0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1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2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3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4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5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highlight w:val="yellow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Length of stay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10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highlight w:val="yellow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4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5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6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9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0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2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3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4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5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6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ER visit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7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0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0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2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4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5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6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6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Service utilization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3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5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5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1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592DE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Insurance claims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3</w:t>
            </w:r>
          </w:p>
        </w:tc>
        <w:tc>
          <w:tcPr>
            <w:tcW w:w="5590" w:type="dxa"/>
          </w:tcPr>
          <w:p w:rsidR="003A5562" w:rsidRPr="00BE7468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9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0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6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Prescription drugs use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5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1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Primary care visits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1692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1692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592DE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Use of resources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es-ES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2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  <w:lang w:val="es-ES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es-ES"/>
                  </w:rPr>
                  <w:t>(Noel, Vogel, Erdos, Cornwall, &amp; Levin,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Home visits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2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Acute care visits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6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Transfer to a different level of care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7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Patient related </w:t>
            </w:r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Quality of life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highlight w:val="yellow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5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6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9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1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2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2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(Noel, Vogel, Erdos, Cornwall, &amp; Levin,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3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(Peikes, Chen, Schore, &amp; Brown,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3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5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5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(Schwartz, Mion, Hudock, &amp; </w:t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lastRenderedPageBreak/>
                  <w:t>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7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lastRenderedPageBreak/>
              <w:t>Satisfaction with care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7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7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7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1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1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4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4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5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592DE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Mortality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5</w:t>
            </w:r>
          </w:p>
        </w:tc>
        <w:tc>
          <w:tcPr>
            <w:tcW w:w="5590" w:type="dxa"/>
          </w:tcPr>
          <w:p w:rsidR="003A5562" w:rsidRPr="00BE7468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6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7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7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8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1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(Kasper, et 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Functional status / SF 12 or EQ-5D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4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7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9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0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6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Depression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3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highlight w:val="yellow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4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3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5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Self-efficacy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highlight w:val="yellow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4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1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\y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Morbidity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7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Days alive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95876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Physical examination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9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Walk test performance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8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Improve in functional therapeutic class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8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Adherence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1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Anxiety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highlight w:val="yellow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4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Cost related</w:t>
            </w:r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Intervention costs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14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highlight w:val="yellow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5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5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5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6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7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7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8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8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0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2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4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5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Smi081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(Smith, Hughes-Cromwick, Forkner, &amp; Galbreath,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6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7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Total costs (Intervention, equipment, hospital/primary are, drug and transport costs)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9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95876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2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2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(Noel, Vogel, Erdos, Cornwall, &amp; Levin,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3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(Peikes, Chen, Schore, &amp; Brown,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5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5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95876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6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Wen11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(Wennberg, Marr, Lang, O’Malley, &amp; Bennett,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7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Hospitalization charges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95876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3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4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95877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95877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6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592DE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Cost of personnel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3</w:t>
            </w:r>
          </w:p>
        </w:tc>
        <w:tc>
          <w:tcPr>
            <w:tcW w:w="5590" w:type="dxa"/>
          </w:tcPr>
          <w:p w:rsidR="003A5562" w:rsidRPr="00BE7468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1631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1631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(Kasper, et 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1631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592DE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Readmission charges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2</w:t>
            </w:r>
          </w:p>
        </w:tc>
        <w:tc>
          <w:tcPr>
            <w:tcW w:w="5590" w:type="dxa"/>
          </w:tcPr>
          <w:p w:rsidR="003A5562" w:rsidRPr="00BE7468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95876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BE7468"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0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592DE9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Resource costs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BE7468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  <w:lang w:val="nl-NL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94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BE7468">
                  <w:rPr>
                    <w:rFonts w:ascii="Arial Narrow" w:hAnsi="Arial Narrow"/>
                    <w:color w:val="auto"/>
                    <w:sz w:val="16"/>
                    <w:szCs w:val="16"/>
                    <w:lang w:val="nl-NL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BE7468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  <w:lang w:val="nl-NL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Direct and indirect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95876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Insurance claims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95876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Cost-effectiveness</w:t>
            </w:r>
          </w:p>
        </w:tc>
        <w:tc>
          <w:tcPr>
            <w:tcW w:w="992" w:type="dxa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5590" w:type="dxa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042089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9242" w:type="dxa"/>
            <w:gridSpan w:val="3"/>
          </w:tcPr>
          <w:p w:rsidR="003A5562" w:rsidRPr="00275064" w:rsidRDefault="003A5562" w:rsidP="00FA330D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16"/>
                <w:szCs w:val="16"/>
                <w:highlight w:val="yellow"/>
              </w:rPr>
            </w:pPr>
            <w:r w:rsidRPr="00275064">
              <w:rPr>
                <w:rFonts w:ascii="Arial Narrow" w:hAnsi="Arial Narrow"/>
                <w:b/>
                <w:color w:val="auto"/>
                <w:sz w:val="16"/>
                <w:szCs w:val="16"/>
              </w:rPr>
              <w:t>Results</w:t>
            </w:r>
          </w:p>
        </w:tc>
      </w:tr>
      <w:tr w:rsidR="00B2059C" w:rsidRPr="00275064" w:rsidTr="00FA330D">
        <w:tc>
          <w:tcPr>
            <w:tcW w:w="9242" w:type="dxa"/>
            <w:gridSpan w:val="3"/>
            <w:shd w:val="clear" w:color="auto" w:fill="auto"/>
          </w:tcPr>
          <w:p w:rsidR="003A5562" w:rsidRPr="00275064" w:rsidRDefault="003A5562" w:rsidP="00FA330D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16"/>
                <w:szCs w:val="16"/>
                <w:highlight w:val="yellow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Costs</w:t>
            </w:r>
          </w:p>
        </w:tc>
      </w:tr>
      <w:tr w:rsidR="00B2059C" w:rsidRPr="00275064" w:rsidTr="00FA330D">
        <w:tc>
          <w:tcPr>
            <w:tcW w:w="2660" w:type="dxa"/>
            <w:shd w:val="clear" w:color="auto" w:fill="auto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Saved</w:t>
            </w:r>
          </w:p>
        </w:tc>
        <w:tc>
          <w:tcPr>
            <w:tcW w:w="992" w:type="dxa"/>
            <w:shd w:val="clear" w:color="auto" w:fill="auto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b/>
                <w:color w:val="auto"/>
                <w:sz w:val="16"/>
                <w:szCs w:val="16"/>
              </w:rPr>
              <w:t>19</w:t>
            </w:r>
          </w:p>
        </w:tc>
        <w:tc>
          <w:tcPr>
            <w:tcW w:w="5590" w:type="dxa"/>
            <w:shd w:val="clear" w:color="auto" w:fill="auto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6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Ben03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(Benatar, Bondmass, Ghitelman, &amp; Avitall,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5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Ber04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(Berg, Wadhwa, &amp; Johnson,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5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Ass10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(Chen,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6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Fin06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(Finkelstein, Speedie, &amp; Potthoff,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6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Gio09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(Giordano,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6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Heb08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(Hebert, et al.,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6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Hei99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(Heidenreich, Ruggerio, &amp; Massie, 1999)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7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HoY07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(Ho, et al., 2007)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6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Hud05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(Hudson,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7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Jer01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(Jerant, Azari, &amp; Nesbitt,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6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Joh00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(Johnston, Wheeler, Deuser, &amp; Sousa, 2000)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8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Mye06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(Myers, Grant, Lugn, Holbert, &amp; Kvedar,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9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Noe04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(Noel, Vogel, Erdos, Cornwall, &amp; Levin, 2004)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6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Kopp, LePetri, Glaser, &amp; Unger,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7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Carslon, Glaser, Kopp, &amp; Romero,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9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Sca05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(Scalvini,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96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Tom10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(Tompkins &amp; Orwat,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9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Vac01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(Vaccaro, Cherry, Harper, &amp; O'Connell, 2001)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9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Wen11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(Wennberg, Marr, Lang, O’Malley, &amp; Bennett,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  <w:shd w:val="clear" w:color="auto" w:fill="auto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Same</w:t>
            </w:r>
          </w:p>
        </w:tc>
        <w:tc>
          <w:tcPr>
            <w:tcW w:w="992" w:type="dxa"/>
            <w:shd w:val="clear" w:color="auto" w:fill="auto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5590" w:type="dxa"/>
            <w:shd w:val="clear" w:color="auto" w:fill="auto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6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Dun05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(Dunagan, et al., 2005)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63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Gal11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(Galbreath, et al., 2011)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87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Kas02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(Kasper, et al., 2002)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8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Lar03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(Laramee, Levinsky, Sargent, Ross, &amp; Callas, 2003)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91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Pei09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(Peikes, Chen, Schore, &amp; Brown,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68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Rie06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(Riegel, Carlson, Glaser, &amp; Romero, 2006)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>,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9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Sch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 xml:space="preserve"> (Schwartz, Mion, Hudock, &amp; Litman,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9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Woo09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800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Woo10 \t  \l 1033 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(Wootton, Gramotnev, &amp; Hailey,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B2059C" w:rsidRPr="00275064" w:rsidTr="00FA330D">
        <w:tc>
          <w:tcPr>
            <w:tcW w:w="2660" w:type="dxa"/>
            <w:shd w:val="clear" w:color="auto" w:fill="auto"/>
          </w:tcPr>
          <w:p w:rsidR="003A5562" w:rsidRPr="00275064" w:rsidRDefault="003A5562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color w:val="auto"/>
                <w:sz w:val="16"/>
                <w:szCs w:val="16"/>
              </w:rPr>
              <w:t>Incurred</w:t>
            </w:r>
          </w:p>
        </w:tc>
        <w:tc>
          <w:tcPr>
            <w:tcW w:w="992" w:type="dxa"/>
            <w:shd w:val="clear" w:color="auto" w:fill="auto"/>
          </w:tcPr>
          <w:p w:rsidR="003A5562" w:rsidRPr="00275064" w:rsidRDefault="003A5562" w:rsidP="00FA330D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275064">
              <w:rPr>
                <w:rFonts w:ascii="Arial Narrow" w:hAnsi="Arial Narrow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5590" w:type="dxa"/>
            <w:shd w:val="clear" w:color="auto" w:fill="auto"/>
          </w:tcPr>
          <w:p w:rsidR="003A5562" w:rsidRPr="00275064" w:rsidRDefault="00EF5099" w:rsidP="00FA330D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59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Cop10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(Copeland, Berg, Johnson, &amp; Bauer,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24626754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Dar09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(Dar, et al., 2009)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464872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Smi081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(Smith, Hughes-Cromwick, Forkner, &amp; Galbreath, 2008)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  <w:r w:rsidR="003A5562" w:rsidRPr="00275064">
              <w:rPr>
                <w:rFonts w:ascii="Arial Narrow" w:hAnsi="Arial Narrow"/>
                <w:color w:val="auto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color w:val="auto"/>
                  <w:sz w:val="16"/>
                  <w:szCs w:val="16"/>
                </w:rPr>
                <w:id w:val="3721795"/>
                <w:citation/>
              </w:sdtPr>
              <w:sdtEndPr/>
              <w:sdtContent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begin"/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instrText xml:space="preserve"> CITATION Cos10 \l 1033 </w:instrTex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separate"/>
                </w:r>
                <w:r w:rsidR="003A5562" w:rsidRPr="00275064">
                  <w:rPr>
                    <w:rFonts w:ascii="Arial Narrow" w:hAnsi="Arial Narrow"/>
                    <w:noProof/>
                    <w:color w:val="auto"/>
                    <w:sz w:val="16"/>
                    <w:szCs w:val="16"/>
                  </w:rPr>
                  <w:t>(Soran, et al., 2010)</w:t>
                </w:r>
                <w:r w:rsidR="003A5562" w:rsidRPr="00275064">
                  <w:rPr>
                    <w:rFonts w:ascii="Arial Narrow" w:hAnsi="Arial Narrow"/>
                    <w:color w:val="auto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</w:tbl>
    <w:p w:rsidR="003A5562" w:rsidRPr="00275064" w:rsidRDefault="003A5562" w:rsidP="003A5562">
      <w:pPr>
        <w:rPr>
          <w:lang w:val="en-GB"/>
        </w:rPr>
      </w:pPr>
    </w:p>
    <w:p w:rsidR="003A5562" w:rsidRPr="00275064" w:rsidRDefault="003A5562" w:rsidP="003A5562">
      <w:pPr>
        <w:rPr>
          <w:lang w:val="en-GB"/>
        </w:rPr>
      </w:pPr>
    </w:p>
    <w:p w:rsidR="001203AA" w:rsidRPr="00275064" w:rsidRDefault="001203AA">
      <w:pPr>
        <w:rPr>
          <w:sz w:val="28"/>
          <w:szCs w:val="28"/>
          <w:lang w:val="en-GB"/>
        </w:rPr>
      </w:pPr>
    </w:p>
    <w:sectPr w:rsidR="001203AA" w:rsidRPr="00275064" w:rsidSect="002C500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00000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00000000">
      <w:start w:val="4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00000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265A95"/>
    <w:multiLevelType w:val="hybridMultilevel"/>
    <w:tmpl w:val="C0AC1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C558D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117C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81113"/>
    <w:multiLevelType w:val="hybridMultilevel"/>
    <w:tmpl w:val="962C8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54C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672512B"/>
    <w:multiLevelType w:val="hybridMultilevel"/>
    <w:tmpl w:val="567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B5E76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6489"/>
    <w:multiLevelType w:val="hybridMultilevel"/>
    <w:tmpl w:val="6DA6D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A7776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B4488"/>
    <w:multiLevelType w:val="hybridMultilevel"/>
    <w:tmpl w:val="9BA69E96"/>
    <w:lvl w:ilvl="0" w:tplc="926E0A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02C1"/>
    <w:multiLevelType w:val="hybridMultilevel"/>
    <w:tmpl w:val="99328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A4765"/>
    <w:multiLevelType w:val="hybridMultilevel"/>
    <w:tmpl w:val="812CF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B2C35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5326F"/>
    <w:multiLevelType w:val="hybridMultilevel"/>
    <w:tmpl w:val="0A98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B34D9"/>
    <w:multiLevelType w:val="hybridMultilevel"/>
    <w:tmpl w:val="6590B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351A2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818C5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0972"/>
    <w:multiLevelType w:val="hybridMultilevel"/>
    <w:tmpl w:val="37C61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F2F3A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54777"/>
    <w:multiLevelType w:val="hybridMultilevel"/>
    <w:tmpl w:val="A2CA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D529C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75E8A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87A58"/>
    <w:multiLevelType w:val="hybridMultilevel"/>
    <w:tmpl w:val="AC70C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B5BA9"/>
    <w:multiLevelType w:val="hybridMultilevel"/>
    <w:tmpl w:val="49244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1FA7"/>
    <w:multiLevelType w:val="hybridMultilevel"/>
    <w:tmpl w:val="0776B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76EE3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E4DBE"/>
    <w:multiLevelType w:val="hybridMultilevel"/>
    <w:tmpl w:val="728A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E4076"/>
    <w:multiLevelType w:val="hybridMultilevel"/>
    <w:tmpl w:val="5F546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E268E"/>
    <w:multiLevelType w:val="hybridMultilevel"/>
    <w:tmpl w:val="E79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32D7A"/>
    <w:multiLevelType w:val="multilevel"/>
    <w:tmpl w:val="B00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7ED15908"/>
    <w:multiLevelType w:val="multilevel"/>
    <w:tmpl w:val="8A44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0"/>
  </w:num>
  <w:num w:numId="2">
    <w:abstractNumId w:val="30"/>
  </w:num>
  <w:num w:numId="3">
    <w:abstractNumId w:val="27"/>
  </w:num>
  <w:num w:numId="4">
    <w:abstractNumId w:val="25"/>
  </w:num>
  <w:num w:numId="5">
    <w:abstractNumId w:val="22"/>
  </w:num>
  <w:num w:numId="6">
    <w:abstractNumId w:val="16"/>
  </w:num>
  <w:num w:numId="7">
    <w:abstractNumId w:val="29"/>
  </w:num>
  <w:num w:numId="8">
    <w:abstractNumId w:val="6"/>
  </w:num>
  <w:num w:numId="9">
    <w:abstractNumId w:val="8"/>
  </w:num>
  <w:num w:numId="10">
    <w:abstractNumId w:val="2"/>
  </w:num>
  <w:num w:numId="11">
    <w:abstractNumId w:val="32"/>
  </w:num>
  <w:num w:numId="12">
    <w:abstractNumId w:val="33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12"/>
  </w:num>
  <w:num w:numId="18">
    <w:abstractNumId w:val="17"/>
  </w:num>
  <w:num w:numId="19">
    <w:abstractNumId w:val="14"/>
  </w:num>
  <w:num w:numId="20">
    <w:abstractNumId w:val="26"/>
  </w:num>
  <w:num w:numId="21">
    <w:abstractNumId w:val="3"/>
  </w:num>
  <w:num w:numId="22">
    <w:abstractNumId w:val="13"/>
  </w:num>
  <w:num w:numId="23">
    <w:abstractNumId w:val="19"/>
  </w:num>
  <w:num w:numId="24">
    <w:abstractNumId w:val="23"/>
  </w:num>
  <w:num w:numId="25">
    <w:abstractNumId w:val="28"/>
  </w:num>
  <w:num w:numId="26">
    <w:abstractNumId w:val="21"/>
  </w:num>
  <w:num w:numId="27">
    <w:abstractNumId w:val="24"/>
  </w:num>
  <w:num w:numId="28">
    <w:abstractNumId w:val="31"/>
  </w:num>
  <w:num w:numId="29">
    <w:abstractNumId w:val="11"/>
  </w:num>
  <w:num w:numId="30">
    <w:abstractNumId w:val="15"/>
  </w:num>
  <w:num w:numId="31">
    <w:abstractNumId w:val="9"/>
  </w:num>
  <w:num w:numId="32">
    <w:abstractNumId w:val="5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EF"/>
    <w:rsid w:val="000011C1"/>
    <w:rsid w:val="00035D37"/>
    <w:rsid w:val="000534F4"/>
    <w:rsid w:val="000A12FA"/>
    <w:rsid w:val="000E1E58"/>
    <w:rsid w:val="000E50B9"/>
    <w:rsid w:val="00105A74"/>
    <w:rsid w:val="001203AA"/>
    <w:rsid w:val="001F3249"/>
    <w:rsid w:val="00221F9A"/>
    <w:rsid w:val="00251F2D"/>
    <w:rsid w:val="00275064"/>
    <w:rsid w:val="00290855"/>
    <w:rsid w:val="002C3FDC"/>
    <w:rsid w:val="002C500B"/>
    <w:rsid w:val="002C7461"/>
    <w:rsid w:val="002F2B1E"/>
    <w:rsid w:val="003824BB"/>
    <w:rsid w:val="003A5562"/>
    <w:rsid w:val="00401BE3"/>
    <w:rsid w:val="004A2AFC"/>
    <w:rsid w:val="004D0307"/>
    <w:rsid w:val="005168EC"/>
    <w:rsid w:val="005262D0"/>
    <w:rsid w:val="005304AE"/>
    <w:rsid w:val="00546919"/>
    <w:rsid w:val="00592DE9"/>
    <w:rsid w:val="005D0AB2"/>
    <w:rsid w:val="006162BA"/>
    <w:rsid w:val="00623A14"/>
    <w:rsid w:val="0068705C"/>
    <w:rsid w:val="00726361"/>
    <w:rsid w:val="00802DFA"/>
    <w:rsid w:val="00826FDC"/>
    <w:rsid w:val="00885012"/>
    <w:rsid w:val="008D68E4"/>
    <w:rsid w:val="00912D08"/>
    <w:rsid w:val="0096553A"/>
    <w:rsid w:val="00A57116"/>
    <w:rsid w:val="00AA7A20"/>
    <w:rsid w:val="00AE59BE"/>
    <w:rsid w:val="00B2059C"/>
    <w:rsid w:val="00BD1E86"/>
    <w:rsid w:val="00BE7468"/>
    <w:rsid w:val="00C9110D"/>
    <w:rsid w:val="00CD0111"/>
    <w:rsid w:val="00D31DEF"/>
    <w:rsid w:val="00DB41E0"/>
    <w:rsid w:val="00E95A82"/>
    <w:rsid w:val="00ED1AEA"/>
    <w:rsid w:val="00EE45BE"/>
    <w:rsid w:val="00EF5099"/>
    <w:rsid w:val="00F55F71"/>
    <w:rsid w:val="00F76565"/>
    <w:rsid w:val="00FA330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FF5FC-21F5-4D05-97DC-ED19A394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EF"/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D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DEF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31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table" w:styleId="TableGrid">
    <w:name w:val="Table Grid"/>
    <w:basedOn w:val="TableNormal"/>
    <w:rsid w:val="00D31D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31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DE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rsid w:val="00D31DEF"/>
    <w:rPr>
      <w:vertAlign w:val="superscript"/>
    </w:rPr>
  </w:style>
  <w:style w:type="character" w:customStyle="1" w:styleId="apple-style-span">
    <w:name w:val="apple-style-span"/>
    <w:basedOn w:val="DefaultParagraphFont"/>
    <w:rsid w:val="00D31DEF"/>
  </w:style>
  <w:style w:type="paragraph" w:customStyle="1" w:styleId="Tekst">
    <w:name w:val="Tekst"/>
    <w:basedOn w:val="Normal"/>
    <w:link w:val="TekstChar"/>
    <w:qFormat/>
    <w:rsid w:val="00D31DEF"/>
    <w:pPr>
      <w:spacing w:line="360" w:lineRule="auto"/>
      <w:jc w:val="both"/>
    </w:pPr>
    <w:rPr>
      <w:rFonts w:asciiTheme="majorHAnsi" w:hAnsiTheme="majorHAnsi"/>
      <w:color w:val="404040" w:themeColor="text1" w:themeTint="BF"/>
      <w:sz w:val="24"/>
    </w:rPr>
  </w:style>
  <w:style w:type="character" w:customStyle="1" w:styleId="TekstChar">
    <w:name w:val="Tekst Char"/>
    <w:basedOn w:val="DefaultParagraphFont"/>
    <w:link w:val="Tekst"/>
    <w:rsid w:val="00D31DEF"/>
    <w:rPr>
      <w:rFonts w:asciiTheme="majorHAnsi" w:eastAsia="Times New Roman" w:hAnsiTheme="majorHAnsi" w:cs="Times New Roman"/>
      <w:color w:val="404040" w:themeColor="text1" w:themeTint="BF"/>
      <w:sz w:val="24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3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DEF"/>
    <w:rPr>
      <w:rFonts w:ascii="Calibri" w:eastAsia="Times New Roman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3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EF"/>
    <w:rPr>
      <w:rFonts w:ascii="Calibri" w:eastAsia="Times New Roman" w:hAnsi="Calibri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F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31DE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31D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1DEF"/>
    <w:rPr>
      <w:rFonts w:eastAsiaTheme="minorEastAsia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31DEF"/>
  </w:style>
  <w:style w:type="character" w:customStyle="1" w:styleId="mmsearch2">
    <w:name w:val="mmsearch2"/>
    <w:basedOn w:val="DefaultParagraphFont"/>
    <w:rsid w:val="00D31DEF"/>
  </w:style>
  <w:style w:type="character" w:customStyle="1" w:styleId="mmsearch1">
    <w:name w:val="mmsearch1"/>
    <w:basedOn w:val="DefaultParagraphFont"/>
    <w:rsid w:val="00D31DEF"/>
  </w:style>
  <w:style w:type="paragraph" w:customStyle="1" w:styleId="Text">
    <w:name w:val="Text"/>
    <w:basedOn w:val="Normal"/>
    <w:link w:val="TextChar"/>
    <w:qFormat/>
    <w:rsid w:val="00D31DEF"/>
    <w:pPr>
      <w:spacing w:after="0" w:line="360" w:lineRule="auto"/>
      <w:ind w:firstLine="708"/>
      <w:jc w:val="both"/>
    </w:pPr>
    <w:rPr>
      <w:rFonts w:asciiTheme="majorHAnsi" w:hAnsiTheme="majorHAnsi"/>
      <w:color w:val="404040" w:themeColor="text1" w:themeTint="BF"/>
      <w:sz w:val="24"/>
      <w:szCs w:val="24"/>
      <w:lang w:val="en-GB" w:eastAsia="de-DE" w:bidi="ar-SA"/>
    </w:rPr>
  </w:style>
  <w:style w:type="character" w:customStyle="1" w:styleId="TextChar">
    <w:name w:val="Text Char"/>
    <w:basedOn w:val="DefaultParagraphFont"/>
    <w:link w:val="Text"/>
    <w:rsid w:val="00D31DEF"/>
    <w:rPr>
      <w:rFonts w:asciiTheme="majorHAnsi" w:eastAsia="Times New Roman" w:hAnsiTheme="majorHAnsi" w:cs="Times New Roman"/>
      <w:color w:val="404040" w:themeColor="text1" w:themeTint="BF"/>
      <w:sz w:val="24"/>
      <w:szCs w:val="24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D31D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31D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D31DEF"/>
  </w:style>
  <w:style w:type="character" w:customStyle="1" w:styleId="apple-converted-space">
    <w:name w:val="apple-converted-space"/>
    <w:basedOn w:val="DefaultParagraphFont"/>
    <w:rsid w:val="00D31DEF"/>
  </w:style>
  <w:style w:type="character" w:styleId="Emphasis">
    <w:name w:val="Emphasis"/>
    <w:basedOn w:val="DefaultParagraphFont"/>
    <w:uiPriority w:val="20"/>
    <w:qFormat/>
    <w:rsid w:val="00D31DEF"/>
    <w:rPr>
      <w:i/>
      <w:iCs/>
    </w:rPr>
  </w:style>
  <w:style w:type="paragraph" w:styleId="ListParagraph">
    <w:name w:val="List Paragraph"/>
    <w:basedOn w:val="Normal"/>
    <w:uiPriority w:val="34"/>
    <w:qFormat/>
    <w:rsid w:val="00D3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7C21-9AF0-43DB-8ED9-4B7AEDB9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37887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Stamenovic</dc:creator>
  <cp:lastModifiedBy>Andrija Grustam</cp:lastModifiedBy>
  <cp:revision>2</cp:revision>
  <cp:lastPrinted>2013-03-26T17:18:00Z</cp:lastPrinted>
  <dcterms:created xsi:type="dcterms:W3CDTF">2013-10-07T15:35:00Z</dcterms:created>
  <dcterms:modified xsi:type="dcterms:W3CDTF">2013-10-07T15:35:00Z</dcterms:modified>
</cp:coreProperties>
</file>