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4B" w:rsidRPr="004734DE" w:rsidRDefault="0053204B" w:rsidP="0053204B">
      <w:pPr>
        <w:pStyle w:val="Manu-heading1"/>
        <w:pageBreakBefore/>
        <w:tabs>
          <w:tab w:val="left" w:pos="720"/>
        </w:tabs>
      </w:pPr>
      <w:r w:rsidRPr="004734DE">
        <w:t>SUPPLEMENTA</w:t>
      </w:r>
      <w:r>
        <w:t xml:space="preserve">RY tables </w:t>
      </w:r>
    </w:p>
    <w:p w:rsidR="0053204B" w:rsidRPr="004734DE" w:rsidRDefault="0053204B" w:rsidP="0053204B">
      <w:pPr>
        <w:pStyle w:val="Manu-tabfigtitle"/>
        <w:tabs>
          <w:tab w:val="left" w:pos="720"/>
        </w:tabs>
      </w:pPr>
      <w:r>
        <w:t>Supplementary</w:t>
      </w:r>
      <w:r w:rsidRPr="004734DE">
        <w:t xml:space="preserve"> Table </w:t>
      </w:r>
      <w:r>
        <w:t>S</w:t>
      </w:r>
      <w:r w:rsidRPr="004734DE">
        <w:t>1. PBAC Raw Variables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159"/>
        <w:gridCol w:w="6030"/>
        <w:gridCol w:w="3641"/>
      </w:tblGrid>
      <w:tr w:rsidR="0053204B" w:rsidRPr="004734DE" w:rsidTr="00F20FA4">
        <w:trPr>
          <w:cantSplit/>
          <w:tblHeader/>
        </w:trPr>
        <w:tc>
          <w:tcPr>
            <w:tcW w:w="12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Variable</w:t>
            </w:r>
          </w:p>
        </w:tc>
        <w:tc>
          <w:tcPr>
            <w:tcW w:w="23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Description</w:t>
            </w:r>
          </w:p>
        </w:tc>
        <w:tc>
          <w:tcPr>
            <w:tcW w:w="141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Values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top w:val="single" w:sz="12" w:space="0" w:color="auto"/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Unique ID</w:t>
            </w:r>
          </w:p>
        </w:tc>
        <w:tc>
          <w:tcPr>
            <w:tcW w:w="2350" w:type="pct"/>
            <w:tcBorders>
              <w:top w:val="single" w:sz="12" w:space="0" w:color="auto"/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Unique ID for each unique combination of drug name and disease (indication)</w:t>
            </w:r>
          </w:p>
        </w:tc>
        <w:tc>
          <w:tcPr>
            <w:tcW w:w="1419" w:type="pct"/>
            <w:tcBorders>
              <w:top w:val="single" w:sz="12" w:space="0" w:color="auto"/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Numbers 1-214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Drug name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Drug name; obtained from Public Summary Document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Date of submission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Date of PBAC consideration; obtained from Public Summary Document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Month, year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Left censored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Describes whether the drug name and disease were submitted prior to July 2005; obtained from Section 2 (Background)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Yes/No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Previous submission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Describes whether drug and disease had a prior submission; obtained from Section 2 (Background)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Many/No/Once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Date of re-submission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Date of PBAC consideration of prior submission; obtained from Public Summary Document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Month, Year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Disease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Indication; obtained from Section 1 (Purpose of Application) 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lastRenderedPageBreak/>
              <w:t>Severity/place of disease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Describes the specific listing of the drug (i.e., severity of disease, patient population, failed treatment, criteria); obtained from Section 4 (Listing Requested and PBAC’s View)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Disease category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Derived from review of disease; proxy measure for severity of disease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Oncology/Other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Patient population size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Describes the estimated number of patients receiving the drug per year or number of prescriptions per year or number of packs dispensed per year; obtained from Section 11 (Estimated PBS Usage and Financial Implications)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 (e.g., number of patients)/Number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Active comparator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Submission included an active comparator; obtained from Section 6 (Comparator)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Yes/No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Comparative clinical evidence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Describes the level of clinical evidence presented in submission; obtained from Section 7 (Clinical Trials)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 (e.g., randomized controlled trial, indirect comparison, meta-analysis)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Primary endpoint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Provides the primary endpoint or key result of clinical trials; obtained from Section 7 (Clinical Trials) and Section 8 (Results of Trials) 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 (e.g., overall survival, time to progression)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Surrogate endpoint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Derived based on review of primary endpoint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Yes/No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Manufacturer claim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Clinical claim made by the manufacturer; obtained from Section 9 (Clinical Claim)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Text (e.g., definitely superior, similar)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Lower bound of incremental cost per QALY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Lower value of range provided for measure; obtained from Section 10 (Economic Analysis); for those entries where cost-neutrality or cost-savings are estimated, 0 will be entered here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Number, Inequality (e.g., &lt; A$30,000) 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Higher bound of incremental cost per QALY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Higher value of range provided for measure; obtained from Section 10 (Economic Analysis)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Number, Inequality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(e.g., &lt; A$30,000)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Timeframe of incremental cost per QALY</w:t>
            </w:r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If provided, the timeframe used in analysis; obtained from Section 10 (Economic Analysis)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Lower bound of financial cost to </w:t>
            </w:r>
            <w:proofErr w:type="spellStart"/>
            <w:r w:rsidRPr="004734DE">
              <w:t>PBS</w:t>
            </w:r>
            <w:r w:rsidRPr="004734DE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Lower value of range provided for measure; obtained from Section 11 (Estimated PBS Usage and Financial Implications)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Number, Inequality (e.g., &lt; A$10 million)</w:t>
            </w:r>
          </w:p>
        </w:tc>
      </w:tr>
      <w:tr w:rsidR="0053204B" w:rsidRPr="004734DE" w:rsidTr="00F20FA4">
        <w:trPr>
          <w:cantSplit/>
        </w:trPr>
        <w:tc>
          <w:tcPr>
            <w:tcW w:w="1231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rPr>
                <w:vertAlign w:val="superscript"/>
              </w:rPr>
            </w:pPr>
            <w:r w:rsidRPr="004734DE">
              <w:t xml:space="preserve">Higher bound of financial cost to </w:t>
            </w:r>
            <w:proofErr w:type="spellStart"/>
            <w:r w:rsidRPr="004734DE">
              <w:t>PBS</w:t>
            </w:r>
            <w:r w:rsidRPr="004734DE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50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Higher value of range provided for measure; obtained from Section 11 (Estimated PBS Usage and Financial Implications)</w:t>
            </w:r>
          </w:p>
        </w:tc>
        <w:tc>
          <w:tcPr>
            <w:tcW w:w="1419" w:type="pct"/>
            <w:tcBorders>
              <w:left w:val="nil"/>
              <w:right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Number, Inequality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(e.g., &lt; A$10 million)</w:t>
            </w:r>
          </w:p>
        </w:tc>
      </w:tr>
      <w:tr w:rsidR="0053204B" w:rsidRPr="004734DE" w:rsidTr="00F20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1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Timeframe of financial cost to </w:t>
            </w:r>
            <w:proofErr w:type="spellStart"/>
            <w:r w:rsidRPr="004734DE">
              <w:t>PBS</w:t>
            </w:r>
            <w:r w:rsidRPr="004734DE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35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If provided, the timeframe used in analysis; obtained from Section 11 (Estimated PBS Usage and Financial Implications)</w:t>
            </w:r>
          </w:p>
        </w:tc>
        <w:tc>
          <w:tcPr>
            <w:tcW w:w="1419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Number</w:t>
            </w:r>
          </w:p>
        </w:tc>
      </w:tr>
      <w:tr w:rsidR="0053204B" w:rsidRPr="004734DE" w:rsidTr="00F20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31" w:type="pct"/>
            <w:tcBorders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Recommendation</w:t>
            </w:r>
          </w:p>
        </w:tc>
        <w:tc>
          <w:tcPr>
            <w:tcW w:w="2350" w:type="pct"/>
            <w:tcBorders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PBAC’s decision to list drug; obtained from Section 12 (Recommendation and Reasons)</w:t>
            </w:r>
          </w:p>
        </w:tc>
        <w:tc>
          <w:tcPr>
            <w:tcW w:w="1419" w:type="pct"/>
            <w:tcBorders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Yes/Partial Yes/No/Defer</w:t>
            </w:r>
          </w:p>
        </w:tc>
      </w:tr>
    </w:tbl>
    <w:p w:rsidR="0053204B" w:rsidRPr="004734DE" w:rsidRDefault="0053204B" w:rsidP="0053204B">
      <w:pPr>
        <w:pStyle w:val="Manu-tabfignote"/>
        <w:tabs>
          <w:tab w:val="left" w:pos="720"/>
        </w:tabs>
      </w:pPr>
      <w:r w:rsidRPr="004734DE">
        <w:t>PBAC = Pharmaceutical Benefits Advisory Committee; PBS = Pharmaceutical Benefits Scheme; QALY = quality-adjusted life-year.</w:t>
      </w:r>
    </w:p>
    <w:p w:rsidR="0053204B" w:rsidRPr="004734DE" w:rsidRDefault="0053204B" w:rsidP="0053204B">
      <w:pPr>
        <w:pStyle w:val="Manu-tabfignote"/>
        <w:tabs>
          <w:tab w:val="left" w:pos="720"/>
        </w:tabs>
      </w:pPr>
      <w:proofErr w:type="spellStart"/>
      <w:r w:rsidRPr="004734DE">
        <w:rPr>
          <w:vertAlign w:val="superscript"/>
        </w:rPr>
        <w:t>a</w:t>
      </w:r>
      <w:proofErr w:type="spellEnd"/>
      <w:r w:rsidRPr="004734DE">
        <w:t xml:space="preserve"> There is a second set of columns for a few records that reported more than one range of values (e.g., different scenarios, timeframes).</w:t>
      </w:r>
    </w:p>
    <w:p w:rsidR="0053204B" w:rsidRPr="004734DE" w:rsidRDefault="0053204B" w:rsidP="0053204B">
      <w:pPr>
        <w:pStyle w:val="Manu-tabfigtitle"/>
        <w:pageBreakBefore/>
        <w:tabs>
          <w:tab w:val="left" w:pos="720"/>
        </w:tabs>
      </w:pPr>
      <w:r>
        <w:t>Supplementary</w:t>
      </w:r>
      <w:r w:rsidRPr="004734DE">
        <w:t xml:space="preserve"> Table </w:t>
      </w:r>
      <w:r>
        <w:t>S</w:t>
      </w:r>
      <w:r w:rsidRPr="004734DE">
        <w:t xml:space="preserve">2. Logistic Models Parameter Estimates and Odds Ratios </w:t>
      </w:r>
    </w:p>
    <w:tbl>
      <w:tblPr>
        <w:tblW w:w="5000" w:type="pct"/>
        <w:tblLayout w:type="fixed"/>
        <w:tblCellMar>
          <w:left w:w="67" w:type="dxa"/>
          <w:right w:w="67" w:type="dxa"/>
        </w:tblCellMar>
        <w:tblLook w:val="0000"/>
      </w:tblPr>
      <w:tblGrid>
        <w:gridCol w:w="4110"/>
        <w:gridCol w:w="2155"/>
        <w:gridCol w:w="2157"/>
        <w:gridCol w:w="2157"/>
        <w:gridCol w:w="2155"/>
      </w:tblGrid>
      <w:tr w:rsidR="0053204B" w:rsidRPr="004734DE" w:rsidTr="00F20FA4">
        <w:trPr>
          <w:cantSplit/>
          <w:tblHeader/>
        </w:trPr>
        <w:tc>
          <w:tcPr>
            <w:tcW w:w="1614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</w:pPr>
            <w:r w:rsidRPr="004734DE">
              <w:t>Variable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Logistic Model 1</w:t>
            </w:r>
            <w:r w:rsidRPr="004734DE">
              <w:rPr>
                <w:vertAlign w:val="superscript"/>
              </w:rPr>
              <w:t xml:space="preserve">a </w:t>
            </w:r>
            <w:r w:rsidRPr="004734DE">
              <w:br/>
              <w:t>(n = 204)</w:t>
            </w:r>
          </w:p>
        </w:tc>
        <w:tc>
          <w:tcPr>
            <w:tcW w:w="16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Logistic Model 2</w:t>
            </w:r>
            <w:r w:rsidRPr="004734DE">
              <w:rPr>
                <w:vertAlign w:val="superscript"/>
              </w:rPr>
              <w:t xml:space="preserve">a </w:t>
            </w:r>
            <w:r w:rsidRPr="004734DE">
              <w:br/>
              <w:t>(n = 238)</w:t>
            </w:r>
          </w:p>
        </w:tc>
      </w:tr>
      <w:tr w:rsidR="0053204B" w:rsidRPr="004734DE" w:rsidTr="00F20FA4">
        <w:trPr>
          <w:cantSplit/>
          <w:tblHeader/>
        </w:trPr>
        <w:tc>
          <w:tcPr>
            <w:tcW w:w="1614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Parameter Estimate</w:t>
            </w:r>
            <w:r w:rsidRPr="004734DE">
              <w:br/>
              <w:t>(SE)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Odds Ratio (95% CI)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Parameter Estimate</w:t>
            </w:r>
            <w:r w:rsidRPr="004734DE">
              <w:br/>
              <w:t>(SE)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  <w:spacing w:line="360" w:lineRule="auto"/>
              <w:jc w:val="center"/>
            </w:pPr>
            <w:r w:rsidRPr="004734DE">
              <w:t>Odds Ratio (95% CI)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Financial impact </w:t>
            </w:r>
            <w:r w:rsidRPr="004734DE">
              <w:br/>
              <w:t>(millions A$)</w:t>
            </w:r>
          </w:p>
        </w:tc>
        <w:tc>
          <w:tcPr>
            <w:tcW w:w="3386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Reference category: </w:t>
            </w:r>
            <w:r w:rsidRPr="004734DE">
              <w:rPr>
                <w:rFonts w:cs="Arial"/>
              </w:rPr>
              <w:t>≤</w:t>
            </w:r>
            <w:r w:rsidRPr="004734DE">
              <w:t>0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&gt;30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–1.40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(0.86)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0.25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(0.05-1.34)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–1.61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(0.83)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0.20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(0.04-1.02)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rPr>
                <w:rFonts w:cs="Arial"/>
              </w:rPr>
              <w:t>≥</w:t>
            </w:r>
            <w:r w:rsidRPr="004734DE">
              <w:t xml:space="preserve">10 to </w:t>
            </w:r>
            <w:r w:rsidRPr="004734DE">
              <w:rPr>
                <w:rFonts w:cs="Arial"/>
              </w:rPr>
              <w:t>≤</w:t>
            </w:r>
            <w:r w:rsidRPr="004734DE">
              <w:t>30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2.16*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(0.76)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0.12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(0.03-0.51)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2.77*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(0.77)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0.06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(0.01-0.29)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 xml:space="preserve">&gt;0 to </w:t>
            </w:r>
            <w:r w:rsidRPr="004734DE">
              <w:rPr>
                <w:rFonts w:cs="Arial"/>
              </w:rPr>
              <w:t>&lt;</w:t>
            </w:r>
            <w:r w:rsidRPr="004734DE">
              <w:t>10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1.81*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(0.66)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0.16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(0.04-0.60)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2.04*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(0.67)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0.13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(0.04-0.48)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Cost per quality-adjusted life-year</w:t>
            </w:r>
            <w:r w:rsidRPr="004734DE">
              <w:br/>
              <w:t>(thousands A$)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Reference category: none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&gt;75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–2.85*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(0.99)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0.06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(0.01-0.40)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–2.57*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  <w:rPr>
                <w:rFonts w:cs="Arial"/>
              </w:rPr>
            </w:pPr>
            <w:r w:rsidRPr="004734DE">
              <w:rPr>
                <w:rFonts w:cs="Arial"/>
              </w:rPr>
              <w:t>(0.86)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0.0</w:t>
            </w:r>
            <w:r>
              <w:t>8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(0.01-0.41)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 xml:space="preserve">&gt;45 to </w:t>
            </w:r>
            <w:r w:rsidRPr="004734DE">
              <w:rPr>
                <w:rFonts w:cs="Arial"/>
              </w:rPr>
              <w:t>≤75</w:t>
            </w:r>
            <w:r w:rsidRPr="004734DE">
              <w:t xml:space="preserve"> 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1.24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(0.73)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0.29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(0.07-1.20)</w:t>
            </w: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1.34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(0.70)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0.26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(0.07-1.04)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 xml:space="preserve">&gt;0 to </w:t>
            </w:r>
            <w:r w:rsidRPr="004734DE">
              <w:rPr>
                <w:rFonts w:cs="Arial"/>
              </w:rPr>
              <w:t>≤</w:t>
            </w:r>
            <w:r w:rsidRPr="004734DE">
              <w:t xml:space="preserve">45 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0.59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(0.60)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0.55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(0.17-1.77)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0.61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(0.59)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0.54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(0.17-1.72)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Manufacturer claim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Reference category: </w:t>
            </w:r>
            <w:proofErr w:type="spellStart"/>
            <w:r w:rsidRPr="004734DE">
              <w:t>noninferior</w:t>
            </w:r>
            <w:proofErr w:type="spellEnd"/>
            <w:r w:rsidRPr="004734DE">
              <w:t xml:space="preserve"> or equivalent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 xml:space="preserve">Superior or advantages 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0.44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(0.57)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1.55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(0.51-4.74)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0.35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(0.56)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1.42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(0.47-4.30)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Comparative clinical evidence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Reference category: </w:t>
            </w:r>
            <w:r>
              <w:t xml:space="preserve">randomized control trial + </w:t>
            </w:r>
            <w:r w:rsidRPr="004734DE">
              <w:t>meta-analysis or indirect comparison analysis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Randomized controlled trial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0.22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(0.34)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1.25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(0.64-2.44)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0.63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(0.33)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1.89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(0.98-3.62)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Active comparator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Reference category: no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Yes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0.91*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</w:t>
            </w:r>
            <w:r w:rsidRPr="00E420FB">
              <w:rPr>
                <w:lang w:val="en-GB"/>
              </w:rPr>
              <w:t>44</w:t>
            </w:r>
            <w:r w:rsidRPr="004734DE">
              <w:t>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2.49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(1.06-5.85)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0.93*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(0.41)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2.54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(1.14-5.69)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Disease category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Reference category: other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 xml:space="preserve">Oncology 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0.36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(0.45)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0.70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(0.29-1.69)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0.36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(0.42)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0.7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(0.31-1.59)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Total submission count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Reference category: 1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3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2.26*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(0.69)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9.62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(2.47-37.42)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ind w:left="180"/>
            </w:pPr>
            <w:r w:rsidRPr="004734DE">
              <w:t>2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1.30*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(0.51)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3.66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(1.35-9.96)</w:t>
            </w:r>
          </w:p>
        </w:tc>
      </w:tr>
      <w:tr w:rsidR="0053204B" w:rsidRPr="004734DE" w:rsidTr="00F20FA4">
        <w:trPr>
          <w:cantSplit/>
        </w:trPr>
        <w:tc>
          <w:tcPr>
            <w:tcW w:w="16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Time since previous submission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rPr>
                <w:rFonts w:cs="Arial"/>
              </w:rPr>
              <w:t>–</w:t>
            </w:r>
            <w:r w:rsidRPr="004734DE">
              <w:t>0.19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(0.1)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0.83</w:t>
            </w:r>
          </w:p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jc w:val="center"/>
            </w:pPr>
            <w:r w:rsidRPr="004734DE">
              <w:t>(0.69-1.00)</w:t>
            </w:r>
          </w:p>
        </w:tc>
      </w:tr>
    </w:tbl>
    <w:p w:rsidR="0053204B" w:rsidRPr="004734DE" w:rsidRDefault="0053204B" w:rsidP="0053204B">
      <w:pPr>
        <w:pStyle w:val="Manu-tabfignote"/>
        <w:tabs>
          <w:tab w:val="left" w:pos="720"/>
        </w:tabs>
      </w:pPr>
      <w:r w:rsidRPr="004734DE">
        <w:t>CI = confidence interval; SE = standard error.</w:t>
      </w:r>
    </w:p>
    <w:p w:rsidR="0053204B" w:rsidRPr="004734DE" w:rsidRDefault="0053204B" w:rsidP="0053204B">
      <w:pPr>
        <w:pStyle w:val="Manu-tabfignote"/>
        <w:tabs>
          <w:tab w:val="left" w:pos="720"/>
        </w:tabs>
      </w:pPr>
      <w:r w:rsidRPr="004734DE">
        <w:rPr>
          <w:vertAlign w:val="superscript"/>
        </w:rPr>
        <w:t>a</w:t>
      </w:r>
      <w:r w:rsidRPr="004734DE" w:rsidDel="00B001FD">
        <w:t xml:space="preserve"> </w:t>
      </w:r>
      <w:r w:rsidRPr="004734DE">
        <w:t xml:space="preserve">Logistic model 1 included only </w:t>
      </w:r>
      <w:r w:rsidRPr="004734DE">
        <w:rPr>
          <w:rFonts w:cs="Arial"/>
        </w:rPr>
        <w:t>the first observed submission of each unique drug and indication combination within our database; logistic model 2 included all observed submissions of each unique drug and indication combination within our database.</w:t>
      </w:r>
      <w:r w:rsidRPr="004734DE">
        <w:t xml:space="preserve"> </w:t>
      </w:r>
    </w:p>
    <w:p w:rsidR="0053204B" w:rsidRPr="004734DE" w:rsidRDefault="0053204B" w:rsidP="0053204B">
      <w:pPr>
        <w:pStyle w:val="Manu-tabfignote"/>
        <w:tabs>
          <w:tab w:val="left" w:pos="720"/>
        </w:tabs>
      </w:pPr>
      <w:r w:rsidRPr="004734DE">
        <w:t>* Statistically significant.</w:t>
      </w:r>
    </w:p>
    <w:p w:rsidR="0053204B" w:rsidRPr="004734DE" w:rsidRDefault="0053204B" w:rsidP="0053204B">
      <w:pPr>
        <w:tabs>
          <w:tab w:val="left" w:pos="720"/>
        </w:tabs>
        <w:spacing w:line="240" w:lineRule="auto"/>
        <w:rPr>
          <w:rFonts w:ascii="Arial" w:hAnsi="Arial"/>
          <w:sz w:val="20"/>
        </w:rPr>
      </w:pPr>
      <w:r w:rsidRPr="004734DE">
        <w:br w:type="page"/>
      </w:r>
    </w:p>
    <w:p w:rsidR="0053204B" w:rsidRPr="004734DE" w:rsidRDefault="0053204B" w:rsidP="0053204B">
      <w:pPr>
        <w:pStyle w:val="Manu-tabfigtitle"/>
        <w:tabs>
          <w:tab w:val="left" w:pos="720"/>
        </w:tabs>
      </w:pPr>
      <w:r>
        <w:t>Supplementary</w:t>
      </w:r>
      <w:r w:rsidRPr="004734DE">
        <w:t xml:space="preserve"> Table </w:t>
      </w:r>
      <w:r>
        <w:t>S</w:t>
      </w:r>
      <w:r w:rsidRPr="004734DE">
        <w:t>3. Listing of Variables for those with Multiple Submissions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0A0"/>
      </w:tblPr>
      <w:tblGrid>
        <w:gridCol w:w="1166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53204B" w:rsidRPr="004734DE" w:rsidTr="00F20FA4">
        <w:trPr>
          <w:tblHeader/>
        </w:trPr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ID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# Sub.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Rec.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>
              <w:t>F</w:t>
            </w:r>
            <w:r w:rsidRPr="004734DE">
              <w:t>I</w:t>
            </w:r>
            <w:r>
              <w:t>.</w:t>
            </w:r>
            <w:r w:rsidRPr="004734DE">
              <w:t xml:space="preserve"> - mill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Cost per QALY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Pop.</w:t>
            </w:r>
            <w:r>
              <w:t xml:space="preserve"> size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Claim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Design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Comp.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proofErr w:type="spellStart"/>
            <w:r w:rsidRPr="004734DE">
              <w:t>Onc</w:t>
            </w:r>
            <w:proofErr w:type="spellEnd"/>
            <w:r w:rsidRPr="004734DE"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S</w:t>
            </w:r>
            <w:r>
              <w:t xml:space="preserve">urr. </w:t>
            </w:r>
            <w:r w:rsidRPr="004734DE">
              <w:t>E</w:t>
            </w:r>
            <w:r>
              <w:t>nd.</w:t>
            </w:r>
          </w:p>
        </w:tc>
      </w:tr>
      <w:tr w:rsidR="0053204B" w:rsidRPr="004734DE" w:rsidTr="00F20FA4">
        <w:tc>
          <w:tcPr>
            <w:tcW w:w="1166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25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single" w:sz="12" w:space="0" w:color="auto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5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200,000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17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No 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24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29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55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5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57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85,000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15,000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84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92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200,000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93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>
              <w:t>10</w:t>
            </w:r>
            <w:r w:rsidRPr="004734DE">
              <w:t>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96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>
              <w:t>1</w:t>
            </w:r>
            <w:r w:rsidRPr="004734DE">
              <w:t>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105,000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5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6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98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 xml:space="preserve">No 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28,101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99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45,000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PL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106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200,000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75,000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125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rPr>
                <w:rFonts w:cs="Arial"/>
              </w:rPr>
              <w:t>–</w:t>
            </w: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129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rPr>
                <w:rFonts w:cs="Arial"/>
              </w:rPr>
              <w:t>–</w:t>
            </w: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rPr>
                <w:rFonts w:cs="Arial"/>
              </w:rPr>
            </w:pPr>
            <w:r w:rsidRPr="004734DE">
              <w:rPr>
                <w:rFonts w:cs="Arial"/>
              </w:rPr>
              <w:t>–</w:t>
            </w:r>
            <w:r w:rsidRPr="004734DE">
              <w:t>30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145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146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High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153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159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174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rPr>
                <w:rFonts w:cs="Arial"/>
              </w:rPr>
              <w:t>–</w:t>
            </w:r>
            <w:r w:rsidRPr="004734DE">
              <w:t>1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175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30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196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rPr>
                <w:rFonts w:cs="Arial"/>
              </w:rPr>
              <w:t>–</w:t>
            </w: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RCT+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rPr>
                <w:rFonts w:cs="Arial"/>
              </w:rPr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Low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204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Sup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205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rPr>
                <w:rFonts w:cs="Arial"/>
              </w:rPr>
              <w:t>–</w:t>
            </w:r>
            <w:r w:rsidRPr="004734DE">
              <w:t>0.1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bottom w:val="nil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  <w:tr w:rsidR="0053204B" w:rsidRPr="004734DE" w:rsidTr="00F20FA4">
        <w:tc>
          <w:tcPr>
            <w:tcW w:w="1166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2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  <w:rPr>
                <w:rFonts w:cs="Arial"/>
              </w:rPr>
            </w:pPr>
            <w:r w:rsidRPr="004734DE">
              <w:t>10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n/a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Med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Equiv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RCT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No</w:t>
            </w:r>
          </w:p>
        </w:tc>
        <w:tc>
          <w:tcPr>
            <w:tcW w:w="1165" w:type="dxa"/>
            <w:tcBorders>
              <w:top w:val="nil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Yes</w:t>
            </w:r>
          </w:p>
        </w:tc>
      </w:tr>
    </w:tbl>
    <w:p w:rsidR="0053204B" w:rsidRPr="004734DE" w:rsidRDefault="0053204B" w:rsidP="0053204B">
      <w:pPr>
        <w:pStyle w:val="Manu-tabfignote"/>
        <w:tabs>
          <w:tab w:val="left" w:pos="720"/>
        </w:tabs>
      </w:pPr>
      <w:r w:rsidRPr="004734DE">
        <w:t xml:space="preserve">Act = active comparator in at least one pivotal trial; Comp = comparator; Equiv = </w:t>
      </w:r>
      <w:r>
        <w:t>equivalent</w:t>
      </w:r>
      <w:r w:rsidRPr="004734DE">
        <w:t xml:space="preserve">; FI mill = financial impact in A$ millions; Med = medium; n/a = not applicable; </w:t>
      </w:r>
      <w:proofErr w:type="spellStart"/>
      <w:r w:rsidRPr="004734DE">
        <w:t>Onc</w:t>
      </w:r>
      <w:proofErr w:type="spellEnd"/>
      <w:r w:rsidRPr="004734DE">
        <w:t xml:space="preserve"> = </w:t>
      </w:r>
      <w:r>
        <w:t>oncology</w:t>
      </w:r>
      <w:r w:rsidRPr="004734DE">
        <w:t xml:space="preserve">; PL = placebo comparator in all pivotal trials; Pop = population; QALY = quality-adjusted life-years gained; RCT = randomized controlled trials; RCT+ = randomized controlled trials plus meta-analysis or indirect comparison analysis; </w:t>
      </w:r>
      <w:proofErr w:type="spellStart"/>
      <w:r w:rsidRPr="004734DE">
        <w:t>Rec</w:t>
      </w:r>
      <w:proofErr w:type="spellEnd"/>
      <w:r w:rsidRPr="004734DE">
        <w:t xml:space="preserve"> = PBAC reimbursement recommendation; S</w:t>
      </w:r>
      <w:r>
        <w:t>urr. End. = surrogate endpoint</w:t>
      </w:r>
      <w:r w:rsidRPr="004734DE">
        <w:t xml:space="preserve">; Sub = submissions; Sup = </w:t>
      </w:r>
      <w:r>
        <w:t>superior</w:t>
      </w:r>
      <w:r w:rsidRPr="004734DE">
        <w:t>.</w:t>
      </w:r>
    </w:p>
    <w:p w:rsidR="0053204B" w:rsidRPr="004734DE" w:rsidRDefault="0053204B" w:rsidP="0053204B">
      <w:pPr>
        <w:pStyle w:val="Manu-tabfignote"/>
        <w:tabs>
          <w:tab w:val="left" w:pos="720"/>
        </w:tabs>
      </w:pPr>
    </w:p>
    <w:p w:rsidR="0053204B" w:rsidRPr="004734DE" w:rsidRDefault="0053204B" w:rsidP="0053204B">
      <w:pPr>
        <w:tabs>
          <w:tab w:val="left" w:pos="720"/>
        </w:tabs>
        <w:spacing w:line="240" w:lineRule="auto"/>
        <w:rPr>
          <w:rFonts w:ascii="Arial" w:hAnsi="Arial"/>
          <w:sz w:val="20"/>
        </w:rPr>
      </w:pPr>
    </w:p>
    <w:p w:rsidR="0053204B" w:rsidRPr="004734DE" w:rsidRDefault="0053204B" w:rsidP="0053204B">
      <w:pPr>
        <w:pStyle w:val="Manu-tabfignote"/>
        <w:tabs>
          <w:tab w:val="left" w:pos="720"/>
        </w:tabs>
        <w:rPr>
          <w:b/>
          <w:bCs/>
          <w:sz w:val="24"/>
          <w:szCs w:val="24"/>
        </w:rPr>
        <w:sectPr w:rsidR="0053204B" w:rsidRPr="004734DE" w:rsidSect="00EA5CED">
          <w:footnotePr>
            <w:numRestart w:val="eachPage"/>
          </w:footnotePr>
          <w:pgSz w:w="15840" w:h="12240" w:orient="landscape" w:code="1"/>
          <w:pgMar w:top="1440" w:right="1800" w:bottom="1800" w:left="1440" w:header="1080" w:footer="720" w:gutter="0"/>
          <w:cols w:space="0"/>
          <w:docGrid w:linePitch="326"/>
        </w:sectPr>
      </w:pPr>
    </w:p>
    <w:p w:rsidR="0053204B" w:rsidRPr="004734DE" w:rsidRDefault="0053204B" w:rsidP="0053204B">
      <w:pPr>
        <w:pStyle w:val="Manu-tabfignote"/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</w:t>
      </w:r>
      <w:r w:rsidRPr="004734DE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S</w:t>
      </w:r>
      <w:r w:rsidRPr="004734DE">
        <w:rPr>
          <w:b/>
          <w:bCs/>
          <w:sz w:val="24"/>
          <w:szCs w:val="24"/>
        </w:rPr>
        <w:t xml:space="preserve">4: Regression Tolerance Estimates to Check for </w:t>
      </w:r>
      <w:proofErr w:type="spellStart"/>
      <w:r w:rsidRPr="004734DE">
        <w:rPr>
          <w:b/>
          <w:bCs/>
          <w:sz w:val="24"/>
          <w:szCs w:val="24"/>
        </w:rPr>
        <w:t>Multicollinarity</w:t>
      </w:r>
      <w:proofErr w:type="spellEnd"/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0A0"/>
      </w:tblPr>
      <w:tblGrid>
        <w:gridCol w:w="3834"/>
        <w:gridCol w:w="5382"/>
      </w:tblGrid>
      <w:tr w:rsidR="0053204B" w:rsidRPr="004734DE" w:rsidTr="00F20FA4">
        <w:tc>
          <w:tcPr>
            <w:tcW w:w="2080" w:type="pct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Variable</w:t>
            </w:r>
          </w:p>
        </w:tc>
        <w:tc>
          <w:tcPr>
            <w:tcW w:w="2920" w:type="pct"/>
            <w:tcBorders>
              <w:top w:val="single" w:sz="12" w:space="0" w:color="auto"/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headings"/>
              <w:tabs>
                <w:tab w:val="left" w:pos="720"/>
              </w:tabs>
            </w:pPr>
            <w:r w:rsidRPr="004734DE">
              <w:t>Tolerance</w:t>
            </w:r>
          </w:p>
        </w:tc>
      </w:tr>
      <w:tr w:rsidR="0053204B" w:rsidRPr="004734DE" w:rsidTr="00F20FA4">
        <w:tc>
          <w:tcPr>
            <w:tcW w:w="2080" w:type="pct"/>
            <w:tcBorders>
              <w:top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Budget impact</w:t>
            </w:r>
          </w:p>
        </w:tc>
        <w:tc>
          <w:tcPr>
            <w:tcW w:w="2920" w:type="pct"/>
            <w:tcBorders>
              <w:top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0.66</w:t>
            </w:r>
          </w:p>
        </w:tc>
      </w:tr>
      <w:tr w:rsidR="0053204B" w:rsidRPr="004734DE" w:rsidTr="00F20FA4">
        <w:tc>
          <w:tcPr>
            <w:tcW w:w="208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Cost per quality-adjusted life-year</w:t>
            </w:r>
          </w:p>
        </w:tc>
        <w:tc>
          <w:tcPr>
            <w:tcW w:w="292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0.44</w:t>
            </w:r>
          </w:p>
        </w:tc>
      </w:tr>
      <w:tr w:rsidR="0053204B" w:rsidRPr="004734DE" w:rsidTr="00F20FA4">
        <w:tc>
          <w:tcPr>
            <w:tcW w:w="208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Active control</w:t>
            </w:r>
          </w:p>
        </w:tc>
        <w:tc>
          <w:tcPr>
            <w:tcW w:w="292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0.72</w:t>
            </w:r>
          </w:p>
        </w:tc>
      </w:tr>
      <w:tr w:rsidR="0053204B" w:rsidRPr="004734DE" w:rsidTr="00F20FA4">
        <w:tc>
          <w:tcPr>
            <w:tcW w:w="208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Oncology</w:t>
            </w:r>
          </w:p>
        </w:tc>
        <w:tc>
          <w:tcPr>
            <w:tcW w:w="292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0.92</w:t>
            </w:r>
          </w:p>
        </w:tc>
      </w:tr>
      <w:tr w:rsidR="0053204B" w:rsidRPr="004734DE" w:rsidTr="00F20FA4">
        <w:tc>
          <w:tcPr>
            <w:tcW w:w="208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Efficacy claim</w:t>
            </w:r>
          </w:p>
        </w:tc>
        <w:tc>
          <w:tcPr>
            <w:tcW w:w="2920" w:type="pct"/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0.45</w:t>
            </w:r>
          </w:p>
        </w:tc>
      </w:tr>
      <w:tr w:rsidR="0053204B" w:rsidRPr="004734DE" w:rsidTr="00F20FA4">
        <w:tc>
          <w:tcPr>
            <w:tcW w:w="2080" w:type="pct"/>
            <w:tcBorders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Efficacy basis</w:t>
            </w:r>
          </w:p>
        </w:tc>
        <w:tc>
          <w:tcPr>
            <w:tcW w:w="2920" w:type="pct"/>
            <w:tcBorders>
              <w:bottom w:val="single" w:sz="12" w:space="0" w:color="auto"/>
            </w:tcBorders>
          </w:tcPr>
          <w:p w:rsidR="0053204B" w:rsidRPr="004734DE" w:rsidRDefault="0053204B" w:rsidP="00F20FA4">
            <w:pPr>
              <w:pStyle w:val="Manu-Tabletext"/>
              <w:tabs>
                <w:tab w:val="left" w:pos="720"/>
              </w:tabs>
            </w:pPr>
            <w:r w:rsidRPr="004734DE">
              <w:t>0.92</w:t>
            </w:r>
          </w:p>
        </w:tc>
      </w:tr>
    </w:tbl>
    <w:p w:rsidR="0053204B" w:rsidRPr="004734DE" w:rsidRDefault="0053204B" w:rsidP="0053204B">
      <w:pPr>
        <w:pStyle w:val="Manu-tabfignote"/>
        <w:tabs>
          <w:tab w:val="left" w:pos="720"/>
        </w:tabs>
      </w:pPr>
    </w:p>
    <w:p w:rsidR="00E948FC" w:rsidRDefault="00E948FC"/>
    <w:sectPr w:rsidR="00E948FC" w:rsidSect="004B64E1">
      <w:footnotePr>
        <w:numRestart w:val="eachPage"/>
      </w:footnotePr>
      <w:pgSz w:w="12240" w:h="15840" w:code="1"/>
      <w:pgMar w:top="1800" w:right="1800" w:bottom="1440" w:left="1440" w:header="1080" w:footer="720" w:gutter="0"/>
      <w:cols w:space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20"/>
  <w:characterSpacingControl w:val="doNotCompress"/>
  <w:savePreviewPicture/>
  <w:footnotePr>
    <w:numRestart w:val="eachPage"/>
  </w:footnotePr>
  <w:compat/>
  <w:rsids>
    <w:rsidRoot w:val="0053204B"/>
    <w:rsid w:val="001B5A4A"/>
    <w:rsid w:val="0023265E"/>
    <w:rsid w:val="002A5D9A"/>
    <w:rsid w:val="0043388A"/>
    <w:rsid w:val="0053204B"/>
    <w:rsid w:val="006555B3"/>
    <w:rsid w:val="00731C71"/>
    <w:rsid w:val="007938AE"/>
    <w:rsid w:val="007F1763"/>
    <w:rsid w:val="00B07A76"/>
    <w:rsid w:val="00B33558"/>
    <w:rsid w:val="00B71836"/>
    <w:rsid w:val="00B90A85"/>
    <w:rsid w:val="00C25F11"/>
    <w:rsid w:val="00CA40E6"/>
    <w:rsid w:val="00CC18E2"/>
    <w:rsid w:val="00D20F08"/>
    <w:rsid w:val="00D77A4D"/>
    <w:rsid w:val="00E24D1E"/>
    <w:rsid w:val="00E55527"/>
    <w:rsid w:val="00E948FC"/>
    <w:rsid w:val="00F26E29"/>
    <w:rsid w:val="00F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B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-heading1">
    <w:name w:val="Manu-heading 1"/>
    <w:basedOn w:val="Heading1"/>
    <w:link w:val="Manu-heading1Char"/>
    <w:uiPriority w:val="99"/>
    <w:rsid w:val="0053204B"/>
    <w:pPr>
      <w:keepLines w:val="0"/>
      <w:spacing w:before="240" w:after="240" w:line="480" w:lineRule="auto"/>
    </w:pPr>
    <w:rPr>
      <w:rFonts w:ascii="Arial" w:eastAsia="Times New Roman" w:hAnsi="Arial" w:cs="Arial"/>
      <w:bCs w:val="0"/>
      <w:caps/>
      <w:color w:val="auto"/>
      <w:kern w:val="28"/>
      <w:sz w:val="30"/>
      <w:szCs w:val="20"/>
    </w:rPr>
  </w:style>
  <w:style w:type="character" w:customStyle="1" w:styleId="Manu-heading1Char">
    <w:name w:val="Manu-heading 1 Char"/>
    <w:basedOn w:val="Heading1Char"/>
    <w:link w:val="Manu-heading1"/>
    <w:uiPriority w:val="99"/>
    <w:locked/>
    <w:rsid w:val="0053204B"/>
    <w:rPr>
      <w:rFonts w:ascii="Arial" w:eastAsia="Times New Roman" w:hAnsi="Arial" w:cs="Arial"/>
      <w:caps/>
      <w:kern w:val="28"/>
      <w:sz w:val="30"/>
      <w:szCs w:val="20"/>
    </w:rPr>
  </w:style>
  <w:style w:type="paragraph" w:customStyle="1" w:styleId="Manu-tabfigtitle">
    <w:name w:val="Manu-tab/fig title"/>
    <w:basedOn w:val="Normal"/>
    <w:uiPriority w:val="99"/>
    <w:rsid w:val="0053204B"/>
    <w:pPr>
      <w:spacing w:before="120" w:line="480" w:lineRule="auto"/>
    </w:pPr>
    <w:rPr>
      <w:rFonts w:ascii="Arial" w:hAnsi="Arial"/>
      <w:b/>
    </w:rPr>
  </w:style>
  <w:style w:type="paragraph" w:customStyle="1" w:styleId="Manu-Tableheadings">
    <w:name w:val="Manu-Table headings"/>
    <w:basedOn w:val="Normal"/>
    <w:uiPriority w:val="99"/>
    <w:rsid w:val="0053204B"/>
    <w:pPr>
      <w:spacing w:line="480" w:lineRule="auto"/>
    </w:pPr>
    <w:rPr>
      <w:rFonts w:ascii="Arial" w:hAnsi="Arial"/>
      <w:b/>
    </w:rPr>
  </w:style>
  <w:style w:type="paragraph" w:customStyle="1" w:styleId="Manu-Tabletext">
    <w:name w:val="Manu-Table text"/>
    <w:basedOn w:val="Normal"/>
    <w:uiPriority w:val="99"/>
    <w:rsid w:val="0053204B"/>
    <w:pPr>
      <w:spacing w:line="480" w:lineRule="auto"/>
    </w:pPr>
    <w:rPr>
      <w:rFonts w:ascii="Arial" w:hAnsi="Arial"/>
      <w:sz w:val="22"/>
    </w:rPr>
  </w:style>
  <w:style w:type="paragraph" w:customStyle="1" w:styleId="Manu-tabfignote">
    <w:name w:val="Manu-tab/fig note"/>
    <w:basedOn w:val="Normal"/>
    <w:uiPriority w:val="99"/>
    <w:rsid w:val="0053204B"/>
    <w:pPr>
      <w:keepLines/>
      <w:spacing w:before="120" w:after="120" w:line="48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2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Seehafer</dc:creator>
  <cp:lastModifiedBy>Sally Seehafer</cp:lastModifiedBy>
  <cp:revision>1</cp:revision>
  <dcterms:created xsi:type="dcterms:W3CDTF">2012-11-05T19:10:00Z</dcterms:created>
  <dcterms:modified xsi:type="dcterms:W3CDTF">2012-11-05T19:11:00Z</dcterms:modified>
</cp:coreProperties>
</file>