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17A0B8" w14:textId="77777777" w:rsidR="001C60DE" w:rsidRDefault="001C60DE">
      <w:bookmarkStart w:id="0" w:name="_GoBack"/>
      <w:bookmarkEnd w:id="0"/>
      <w:r>
        <w:t xml:space="preserve">Supplementary Material </w:t>
      </w:r>
    </w:p>
    <w:p w14:paraId="207D7BE7" w14:textId="77777777" w:rsidR="001C60DE" w:rsidRDefault="001C60DE"/>
    <w:p w14:paraId="09070438" w14:textId="77777777" w:rsidR="001C60DE" w:rsidRPr="001C60DE" w:rsidRDefault="001C60DE" w:rsidP="001C60DE">
      <w:pPr>
        <w:rPr>
          <w:lang w:val="en-US"/>
        </w:rPr>
      </w:pPr>
      <w:bookmarkStart w:id="1" w:name="_gjdgxs" w:colFirst="0" w:colLast="0"/>
      <w:bookmarkEnd w:id="1"/>
      <w:r w:rsidRPr="001C60DE">
        <w:rPr>
          <w:b/>
          <w:lang w:val="en-US"/>
        </w:rPr>
        <w:t>Title:</w:t>
      </w:r>
      <w:r w:rsidRPr="001C60DE">
        <w:rPr>
          <w:lang w:val="en-US"/>
        </w:rPr>
        <w:t xml:space="preserve"> Land surface phenology in Greenland and links to cryospheric change</w:t>
      </w:r>
    </w:p>
    <w:p w14:paraId="6D398DC4" w14:textId="77777777" w:rsidR="001C60DE" w:rsidRPr="001C60DE" w:rsidRDefault="001C60DE" w:rsidP="001C60DE">
      <w:pPr>
        <w:rPr>
          <w:lang w:val="en-US"/>
        </w:rPr>
      </w:pPr>
      <w:r w:rsidRPr="001C60DE">
        <w:rPr>
          <w:b/>
          <w:lang w:val="en-US"/>
        </w:rPr>
        <w:t>Authors:</w:t>
      </w:r>
      <w:r w:rsidRPr="001C60DE">
        <w:rPr>
          <w:lang w:val="en-US"/>
        </w:rPr>
        <w:t xml:space="preserve"> Jeffery A. Thompson</w:t>
      </w:r>
      <w:r w:rsidRPr="001C60DE">
        <w:rPr>
          <w:vertAlign w:val="superscript"/>
          <w:lang w:val="en-US"/>
        </w:rPr>
        <w:t>a,b,</w:t>
      </w:r>
      <w:r w:rsidRPr="001C60DE">
        <w:rPr>
          <w:lang w:val="en-US"/>
        </w:rPr>
        <w:t>* and Lora S. Koenig</w:t>
      </w:r>
      <w:r w:rsidRPr="001C60DE">
        <w:rPr>
          <w:vertAlign w:val="superscript"/>
          <w:lang w:val="en-US"/>
        </w:rPr>
        <w:t>a</w:t>
      </w:r>
      <w:r w:rsidRPr="001C60DE">
        <w:rPr>
          <w:lang w:val="en-US"/>
        </w:rPr>
        <w:t xml:space="preserve"> </w:t>
      </w:r>
    </w:p>
    <w:p w14:paraId="54008599" w14:textId="77777777" w:rsidR="0088184D" w:rsidRDefault="0088184D"/>
    <w:p w14:paraId="2C805627" w14:textId="4A93B1D0" w:rsidR="001F7F0F" w:rsidRPr="00A20E9C" w:rsidRDefault="001F7F0F">
      <w:pPr>
        <w:rPr>
          <w:b/>
          <w:bCs/>
          <w:caps/>
        </w:rPr>
      </w:pPr>
      <w:r w:rsidRPr="00A20E9C">
        <w:rPr>
          <w:b/>
          <w:bCs/>
          <w:caps/>
        </w:rPr>
        <w:t>Methods</w:t>
      </w:r>
    </w:p>
    <w:p w14:paraId="7D463794" w14:textId="77777777" w:rsidR="006D61AF" w:rsidRDefault="006D61AF">
      <w:pPr>
        <w:rPr>
          <w:rFonts w:ascii="Times New Roman" w:eastAsia="Arial" w:hAnsi="Times New Roman" w:cs="Times New Roman"/>
          <w:lang w:val="en-US"/>
        </w:rPr>
      </w:pPr>
    </w:p>
    <w:p w14:paraId="69C87642" w14:textId="534B6F79" w:rsidR="006D61AF" w:rsidRPr="00ED2B04" w:rsidRDefault="006D61AF" w:rsidP="006D61AF">
      <w:pPr>
        <w:rPr>
          <w:rFonts w:ascii="Times New Roman" w:eastAsia="Arial" w:hAnsi="Times New Roman" w:cs="Times New Roman"/>
          <w:i/>
          <w:lang w:val="en-US"/>
        </w:rPr>
      </w:pPr>
      <w:r w:rsidRPr="00ED2B04">
        <w:rPr>
          <w:rFonts w:ascii="Times New Roman" w:eastAsia="Arial" w:hAnsi="Times New Roman" w:cs="Times New Roman"/>
          <w:i/>
          <w:lang w:val="en-US"/>
        </w:rPr>
        <w:t>Image processing</w:t>
      </w:r>
    </w:p>
    <w:p w14:paraId="4A6DA93A" w14:textId="77777777" w:rsidR="006D61AF" w:rsidRPr="006D61AF" w:rsidRDefault="006D61AF" w:rsidP="006D61AF">
      <w:pPr>
        <w:rPr>
          <w:rFonts w:ascii="Times New Roman" w:eastAsia="Arial" w:hAnsi="Times New Roman" w:cs="Times New Roman"/>
          <w:lang w:val="en-US"/>
        </w:rPr>
      </w:pPr>
      <w:bookmarkStart w:id="2" w:name="_1fob9te" w:colFirst="0" w:colLast="0"/>
      <w:bookmarkEnd w:id="2"/>
      <w:r w:rsidRPr="006D61AF">
        <w:rPr>
          <w:rFonts w:ascii="Times New Roman" w:eastAsia="Arial" w:hAnsi="Times New Roman" w:cs="Times New Roman"/>
          <w:lang w:val="en-US"/>
        </w:rPr>
        <w:t xml:space="preserve">The MODIS </w:t>
      </w:r>
      <w:proofErr w:type="spellStart"/>
      <w:r w:rsidRPr="006D61AF">
        <w:rPr>
          <w:rFonts w:ascii="Times New Roman" w:eastAsia="Arial" w:hAnsi="Times New Roman" w:cs="Times New Roman"/>
          <w:lang w:val="en-US"/>
        </w:rPr>
        <w:t>Reprojection</w:t>
      </w:r>
      <w:proofErr w:type="spellEnd"/>
      <w:r w:rsidRPr="006D61AF">
        <w:rPr>
          <w:rFonts w:ascii="Times New Roman" w:eastAsia="Arial" w:hAnsi="Times New Roman" w:cs="Times New Roman"/>
          <w:lang w:val="en-US"/>
        </w:rPr>
        <w:t xml:space="preserve"> Tool was used to convert data from HDF to </w:t>
      </w:r>
      <w:proofErr w:type="spellStart"/>
      <w:r w:rsidRPr="006D61AF">
        <w:rPr>
          <w:rFonts w:ascii="Times New Roman" w:eastAsia="Arial" w:hAnsi="Times New Roman" w:cs="Times New Roman"/>
          <w:lang w:val="en-US"/>
        </w:rPr>
        <w:t>Geotiff</w:t>
      </w:r>
      <w:proofErr w:type="spellEnd"/>
      <w:r w:rsidRPr="006D61AF">
        <w:rPr>
          <w:rFonts w:ascii="Times New Roman" w:eastAsia="Arial" w:hAnsi="Times New Roman" w:cs="Times New Roman"/>
          <w:lang w:val="en-US"/>
        </w:rPr>
        <w:t xml:space="preserve"> format, and to transform the data into a Polar Stereographic projection with the WGS-84 datum. The MODIS </w:t>
      </w:r>
      <w:proofErr w:type="spellStart"/>
      <w:r w:rsidRPr="006D61AF">
        <w:rPr>
          <w:rFonts w:ascii="Times New Roman" w:eastAsia="Arial" w:hAnsi="Times New Roman" w:cs="Times New Roman"/>
          <w:lang w:val="en-US"/>
        </w:rPr>
        <w:t>Reprojection</w:t>
      </w:r>
      <w:proofErr w:type="spellEnd"/>
      <w:r w:rsidRPr="006D61AF">
        <w:rPr>
          <w:rFonts w:ascii="Times New Roman" w:eastAsia="Arial" w:hAnsi="Times New Roman" w:cs="Times New Roman"/>
          <w:lang w:val="en-US"/>
        </w:rPr>
        <w:t xml:space="preserve"> Tool uses a modified version of the Generalized Cartographic Transformation Package (Dwyer and Schmidt 2006). Because the MOD13Q1 data are a 250 m product, both the MOD10A1 500 m and MOD11A1 1 km data were resampled to 250 m using nearest neighbor interpolation. The Geospatial Data Abstraction Library was then used to transform the data from Polar Stereographic projection to the WGS 84 / NSIDC Sea Ice Polar Stereographic North for Greenland (EPSG:3413). This projection has been used for satellite mapping of Greenland and for the MODIS mosaic of Greenland (Haran and others, 2013).</w:t>
      </w:r>
    </w:p>
    <w:p w14:paraId="6C01FB72" w14:textId="77777777" w:rsidR="006D61AF" w:rsidRPr="006D61AF" w:rsidRDefault="006D61AF" w:rsidP="006D61AF">
      <w:pPr>
        <w:rPr>
          <w:rFonts w:ascii="Times New Roman" w:eastAsia="Arial" w:hAnsi="Times New Roman" w:cs="Times New Roman"/>
          <w:lang w:val="en-US"/>
        </w:rPr>
      </w:pPr>
      <w:r w:rsidRPr="006D61AF">
        <w:rPr>
          <w:rFonts w:ascii="Times New Roman" w:eastAsia="Arial" w:hAnsi="Times New Roman" w:cs="Times New Roman"/>
          <w:lang w:val="en-US"/>
        </w:rPr>
        <w:t xml:space="preserve">The MODIS data used in this analysis were stored in MODIS </w:t>
      </w:r>
      <w:proofErr w:type="spellStart"/>
      <w:r w:rsidRPr="006D61AF">
        <w:rPr>
          <w:rFonts w:ascii="Times New Roman" w:eastAsia="Arial" w:hAnsi="Times New Roman" w:cs="Times New Roman"/>
          <w:lang w:val="en-US"/>
        </w:rPr>
        <w:t>Integerized</w:t>
      </w:r>
      <w:proofErr w:type="spellEnd"/>
      <w:r w:rsidRPr="006D61AF">
        <w:rPr>
          <w:rFonts w:ascii="Times New Roman" w:eastAsia="Arial" w:hAnsi="Times New Roman" w:cs="Times New Roman"/>
          <w:lang w:val="en-US"/>
        </w:rPr>
        <w:t xml:space="preserve"> Sinusoidal projection, which is an equal area grid. In this projection, the area represented by Greenland is accurately represented relative to globally land area. Transformation to the WGS 84 / NSIDC Sea Ice Polar Stereographic North for Greenland likely induced some distortions in the data particularly at the higher latitudes. These could have produced artifacts, particularly on the edges of land surface fields and features. However, given the down sampling of both the MOD10A1 500 m and MOD11A1 1 km data to 250 m resolution using nearest neighbor approximation, the effect of any artifacts and edge effects should have been minimized. Because the WGS 84 / NSIDC Sea Ice Polar Stereographic North for Greenland projection is a conformal projection and does not accurately represent area, trends in the data were assessed in terms of changing numbers of pixels and did not represent an assessment of areal change through time.</w:t>
      </w:r>
    </w:p>
    <w:p w14:paraId="09CF1E42" w14:textId="23183B67" w:rsidR="006D61AF" w:rsidRDefault="006D61AF" w:rsidP="006D61AF">
      <w:pPr>
        <w:rPr>
          <w:rFonts w:ascii="Times New Roman" w:eastAsia="Arial" w:hAnsi="Times New Roman" w:cs="Times New Roman"/>
          <w:lang w:val="en-US"/>
        </w:rPr>
      </w:pPr>
      <w:r w:rsidRPr="006D61AF">
        <w:rPr>
          <w:rFonts w:ascii="Times New Roman" w:eastAsia="Arial" w:hAnsi="Times New Roman" w:cs="Times New Roman"/>
          <w:lang w:val="en-US"/>
        </w:rPr>
        <w:t>Due to the influence of polar night, there were fewer MODIS tiles available in the shoulder seasons. Because the MOD10A1 and MOD13Q1 observations are derived using observations in the visible part of the EM spectrum, they require incident sunlight for observations to occur and were impacted by recession and onset of polar night. The availability of observations and tiles thus is directly proportional to latitude, with more tiles available both earlier and later in the shoulder seasons at lower latitudes.</w:t>
      </w:r>
    </w:p>
    <w:p w14:paraId="10005FF5" w14:textId="77777777" w:rsidR="006D61AF" w:rsidRDefault="006D61AF">
      <w:pPr>
        <w:rPr>
          <w:rFonts w:ascii="Times New Roman" w:eastAsia="Arial" w:hAnsi="Times New Roman" w:cs="Times New Roman"/>
          <w:lang w:val="en-US"/>
        </w:rPr>
      </w:pPr>
    </w:p>
    <w:p w14:paraId="17842296" w14:textId="66038A4F" w:rsidR="00ED2B04" w:rsidRPr="00ED2B04" w:rsidRDefault="00ED2B04" w:rsidP="00ED2B04">
      <w:pPr>
        <w:rPr>
          <w:rFonts w:ascii="Times New Roman" w:eastAsia="Arial" w:hAnsi="Times New Roman" w:cs="Times New Roman"/>
          <w:i/>
          <w:lang w:val="en-US"/>
        </w:rPr>
      </w:pPr>
      <w:r w:rsidRPr="00ED2B04">
        <w:rPr>
          <w:rFonts w:ascii="Times New Roman" w:eastAsia="Arial" w:hAnsi="Times New Roman" w:cs="Times New Roman"/>
          <w:i/>
          <w:lang w:val="en-US"/>
        </w:rPr>
        <w:t>Identifying areas of likely vegetation</w:t>
      </w:r>
    </w:p>
    <w:p w14:paraId="432F9B26" w14:textId="77777777" w:rsid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lang w:val="en-US"/>
        </w:rPr>
        <w:t xml:space="preserve">In order to have confidence that any trends in vegetation productivity were in vegetated areas, it was necessary to identify areas on the ice-free periphery of Greenland that corresponded with denser vegetation. To identify vegetated areas the MOG and the GIMP coastline data were used in conjunction with the land cover classifications from MOD44W. From these data pixels corresponding with Greenlandic land, non-Greenlandic land, ocean, inland water (fjords) and the Greenland Ice Sheet (Fig. 1) were identified. </w:t>
      </w:r>
    </w:p>
    <w:p w14:paraId="30DDE9B1" w14:textId="77777777" w:rsidR="00ED2B04" w:rsidRPr="00ED2B04" w:rsidRDefault="00ED2B04" w:rsidP="00ED2B04">
      <w:pPr>
        <w:rPr>
          <w:rFonts w:ascii="Times New Roman" w:eastAsia="Arial" w:hAnsi="Times New Roman" w:cs="Times New Roman"/>
          <w:lang w:val="en-US"/>
        </w:rPr>
      </w:pPr>
    </w:p>
    <w:p w14:paraId="145FE5A9" w14:textId="4B86AC62" w:rsid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lang w:val="en-US"/>
        </w:rPr>
        <w:t xml:space="preserve">A false color stretch corresponding with red = MODIS band 2 (0.841–0.876 μm), green = MODIS band 1 (0.620–0.670 μm) and blue = MODIS band 3 (0.459 –0. 479 μm) from Julian day 193 in 2000 was used to identify representative areas corresponding with vegetation, rock and lakes on Greenlandic land. These areas were manually identified by visual inspection using the false-color image, and a number of representative pixels (regions of </w:t>
      </w:r>
      <w:r w:rsidRPr="00ED2B04">
        <w:rPr>
          <w:rFonts w:ascii="Times New Roman" w:eastAsia="Arial" w:hAnsi="Times New Roman" w:cs="Times New Roman"/>
          <w:lang w:val="en-US"/>
        </w:rPr>
        <w:lastRenderedPageBreak/>
        <w:t xml:space="preserve">interest – ROI; Table </w:t>
      </w:r>
      <w:r>
        <w:rPr>
          <w:rFonts w:ascii="Times New Roman" w:eastAsia="Arial" w:hAnsi="Times New Roman" w:cs="Times New Roman"/>
          <w:lang w:val="en-US"/>
        </w:rPr>
        <w:t>S</w:t>
      </w:r>
      <w:r w:rsidRPr="00ED2B04">
        <w:rPr>
          <w:rFonts w:ascii="Times New Roman" w:eastAsia="Arial" w:hAnsi="Times New Roman" w:cs="Times New Roman"/>
          <w:lang w:val="en-US"/>
        </w:rPr>
        <w:t>1) were identified. In the false color stretch employed in this study vegetation generally appears as dark red, water as black, and rock appears as grey. Pixels corresponding with each land cover type were randomly selected from around the whole of Greenland with the further aim of having a geographically representative sample as well (Fig. S1).</w:t>
      </w:r>
    </w:p>
    <w:p w14:paraId="4C5B01D8" w14:textId="77777777" w:rsidR="00ED2B04" w:rsidRPr="00ED2B04" w:rsidRDefault="00ED2B04" w:rsidP="00ED2B04">
      <w:pPr>
        <w:rPr>
          <w:rFonts w:ascii="Times New Roman" w:eastAsia="Arial" w:hAnsi="Times New Roman" w:cs="Times New Roman"/>
          <w:lang w:val="en-US"/>
        </w:rPr>
      </w:pPr>
    </w:p>
    <w:p w14:paraId="3DFA4A9A" w14:textId="11D8F6F4"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i/>
          <w:lang w:val="en-US"/>
        </w:rPr>
        <w:t xml:space="preserve"> </w:t>
      </w:r>
      <w:r w:rsidRPr="00ED2B04">
        <w:rPr>
          <w:rFonts w:ascii="Times New Roman" w:eastAsia="Arial" w:hAnsi="Times New Roman" w:cs="Times New Roman"/>
          <w:lang w:val="en-US"/>
        </w:rPr>
        <w:t xml:space="preserve">NDVI values were extracted from the MOD13Q1 data for these representative areas and the average and standard deviation of NDVI for each of the three land surface types was determined, and these descriptive statistics were used to identify the individual land cover types throughout the time-series. At 250 m MODIS resolution, pixels were likely comprised of heterogeneous land cover types. As such, the individual NDVI time-series for all ROI pixels in Table </w:t>
      </w:r>
      <w:r>
        <w:rPr>
          <w:rFonts w:ascii="Times New Roman" w:eastAsia="Arial" w:hAnsi="Times New Roman" w:cs="Times New Roman"/>
          <w:lang w:val="en-US"/>
        </w:rPr>
        <w:t>S</w:t>
      </w:r>
      <w:r w:rsidRPr="00ED2B04">
        <w:rPr>
          <w:rFonts w:ascii="Times New Roman" w:eastAsia="Arial" w:hAnsi="Times New Roman" w:cs="Times New Roman"/>
          <w:lang w:val="en-US"/>
        </w:rPr>
        <w:t>1 were averaged for each date to determine a representative time-series for all ROI pixels (Fig. 2). These average time-series were used to determine the annual NDVI range exhibited by each of the three land cover types. Pixels with an annual NDVI range ≥ 0.5 were assumed to correspond with more densely vegetated pixels in terrestrial Greenland. The areas used to calculate this threshold were randomly selected from around the whole of Greenland (Fig. S1), with the intention of having a representative spatial distribution.</w:t>
      </w:r>
    </w:p>
    <w:p w14:paraId="460CD75A" w14:textId="77777777"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lang w:val="en-US"/>
        </w:rPr>
        <w:t xml:space="preserve">Though the average NDVI for lakes was generally higher than the NDVI associated with deep water, there were several factors that could account for this phenomenon. Many ponds and lakes in the Arctic tend to be shallow. Where lakes support aquatic vegetation, this would serve to increase NDVI values relative to water. Off-NADIR view angles could also account for some of the spread in NDVI values for lakes. With MODIS, large off-NADIR pixels cover an area that can be as much a four times larger than their on-NADIR counterparts (Dozier and others 2008). At more extreme view-angles ‘lake’ pixels could effectively represent a mix of both water and surrounding vegetation. </w:t>
      </w:r>
    </w:p>
    <w:p w14:paraId="75AE76A0" w14:textId="77777777" w:rsidR="00ED2B04" w:rsidRPr="00ED2B04" w:rsidRDefault="00ED2B04" w:rsidP="00ED2B04">
      <w:pPr>
        <w:rPr>
          <w:rFonts w:ascii="Times New Roman" w:eastAsia="Arial" w:hAnsi="Times New Roman" w:cs="Times New Roman"/>
          <w:b/>
          <w:lang w:val="en-US"/>
        </w:rPr>
      </w:pPr>
      <w:bookmarkStart w:id="3" w:name="_3znysh7" w:colFirst="0" w:colLast="0"/>
      <w:bookmarkEnd w:id="3"/>
      <w:r w:rsidRPr="00ED2B04">
        <w:rPr>
          <w:rFonts w:ascii="Times New Roman" w:eastAsia="Arial" w:hAnsi="Times New Roman" w:cs="Times New Roman"/>
          <w:b/>
          <w:lang w:val="en-US"/>
        </w:rPr>
        <w:br w:type="page"/>
      </w:r>
    </w:p>
    <w:p w14:paraId="4109DDA6" w14:textId="5A628D70"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b/>
          <w:lang w:val="en-US"/>
        </w:rPr>
        <w:t xml:space="preserve">Table </w:t>
      </w:r>
      <w:r>
        <w:rPr>
          <w:rFonts w:ascii="Times New Roman" w:eastAsia="Arial" w:hAnsi="Times New Roman" w:cs="Times New Roman"/>
          <w:b/>
          <w:lang w:val="en-US"/>
        </w:rPr>
        <w:t>S</w:t>
      </w:r>
      <w:r w:rsidRPr="00ED2B04">
        <w:rPr>
          <w:rFonts w:ascii="Times New Roman" w:eastAsia="Arial" w:hAnsi="Times New Roman" w:cs="Times New Roman"/>
          <w:b/>
          <w:lang w:val="en-US"/>
        </w:rPr>
        <w:t>1.</w:t>
      </w:r>
      <w:r w:rsidRPr="00ED2B04">
        <w:rPr>
          <w:rFonts w:ascii="Times New Roman" w:eastAsia="Arial" w:hAnsi="Times New Roman" w:cs="Times New Roman"/>
          <w:lang w:val="en-US"/>
        </w:rPr>
        <w:t xml:space="preserve"> The </w:t>
      </w:r>
      <w:proofErr w:type="gramStart"/>
      <w:r w:rsidRPr="00ED2B04">
        <w:rPr>
          <w:rFonts w:ascii="Times New Roman" w:eastAsia="Arial" w:hAnsi="Times New Roman" w:cs="Times New Roman"/>
          <w:lang w:val="en-US"/>
        </w:rPr>
        <w:t>number of pixels in each land cover</w:t>
      </w:r>
      <w:proofErr w:type="gramEnd"/>
      <w:r w:rsidRPr="00ED2B04">
        <w:rPr>
          <w:rFonts w:ascii="Times New Roman" w:eastAsia="Arial" w:hAnsi="Times New Roman" w:cs="Times New Roman"/>
          <w:lang w:val="en-US"/>
        </w:rPr>
        <w:t xml:space="preserve"> class ROI used to derive the range of NDVI values corresponding with more densely vegetated pixels in Greenland. </w:t>
      </w:r>
    </w:p>
    <w:tbl>
      <w:tblPr>
        <w:tblW w:w="5211" w:type="dxa"/>
        <w:tblInd w:w="-115" w:type="dxa"/>
        <w:tblLayout w:type="fixed"/>
        <w:tblLook w:val="0400" w:firstRow="0" w:lastRow="0" w:firstColumn="0" w:lastColumn="0" w:noHBand="0" w:noVBand="1"/>
      </w:tblPr>
      <w:tblGrid>
        <w:gridCol w:w="2518"/>
        <w:gridCol w:w="2693"/>
      </w:tblGrid>
      <w:tr w:rsidR="00ED2B04" w:rsidRPr="00ED2B04" w14:paraId="5053276B" w14:textId="77777777" w:rsidTr="00BF31D6">
        <w:tc>
          <w:tcPr>
            <w:tcW w:w="2518" w:type="dxa"/>
            <w:tcBorders>
              <w:bottom w:val="single" w:sz="4" w:space="0" w:color="000000"/>
            </w:tcBorders>
          </w:tcPr>
          <w:p w14:paraId="3288F728" w14:textId="77777777"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b/>
                <w:lang w:val="en-US"/>
              </w:rPr>
              <w:t xml:space="preserve">Land cover type </w:t>
            </w:r>
          </w:p>
        </w:tc>
        <w:tc>
          <w:tcPr>
            <w:tcW w:w="2693" w:type="dxa"/>
            <w:tcBorders>
              <w:bottom w:val="single" w:sz="4" w:space="0" w:color="000000"/>
            </w:tcBorders>
          </w:tcPr>
          <w:p w14:paraId="4B7E88CE" w14:textId="77777777"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b/>
                <w:lang w:val="en-US"/>
              </w:rPr>
              <w:t>Number of pixels</w:t>
            </w:r>
          </w:p>
        </w:tc>
      </w:tr>
      <w:tr w:rsidR="00ED2B04" w:rsidRPr="00ED2B04" w14:paraId="0CBF393B" w14:textId="77777777" w:rsidTr="00BF31D6">
        <w:tc>
          <w:tcPr>
            <w:tcW w:w="2518" w:type="dxa"/>
            <w:tcBorders>
              <w:top w:val="single" w:sz="4" w:space="0" w:color="000000"/>
            </w:tcBorders>
          </w:tcPr>
          <w:p w14:paraId="211C12E2" w14:textId="77777777"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lang w:val="en-US"/>
              </w:rPr>
              <w:t>Vegetation</w:t>
            </w:r>
          </w:p>
        </w:tc>
        <w:tc>
          <w:tcPr>
            <w:tcW w:w="2693" w:type="dxa"/>
            <w:tcBorders>
              <w:top w:val="single" w:sz="4" w:space="0" w:color="000000"/>
            </w:tcBorders>
          </w:tcPr>
          <w:p w14:paraId="4D0D27DD" w14:textId="77777777"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lang w:val="en-US"/>
              </w:rPr>
              <w:t>6154</w:t>
            </w:r>
          </w:p>
        </w:tc>
      </w:tr>
      <w:tr w:rsidR="00ED2B04" w:rsidRPr="00ED2B04" w14:paraId="29AA570B" w14:textId="77777777" w:rsidTr="00BF31D6">
        <w:tc>
          <w:tcPr>
            <w:tcW w:w="2518" w:type="dxa"/>
          </w:tcPr>
          <w:p w14:paraId="1F034E26" w14:textId="77777777"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lang w:val="en-US"/>
              </w:rPr>
              <w:t>Lake</w:t>
            </w:r>
          </w:p>
        </w:tc>
        <w:tc>
          <w:tcPr>
            <w:tcW w:w="2693" w:type="dxa"/>
          </w:tcPr>
          <w:p w14:paraId="5CD9C6BE" w14:textId="77777777"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lang w:val="en-US"/>
              </w:rPr>
              <w:t>2171</w:t>
            </w:r>
          </w:p>
        </w:tc>
      </w:tr>
      <w:tr w:rsidR="00ED2B04" w:rsidRPr="00ED2B04" w14:paraId="4B90E3EF" w14:textId="77777777" w:rsidTr="00BF31D6">
        <w:tc>
          <w:tcPr>
            <w:tcW w:w="2518" w:type="dxa"/>
          </w:tcPr>
          <w:p w14:paraId="06DA09AE" w14:textId="77777777"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lang w:val="en-US"/>
              </w:rPr>
              <w:t>Rock</w:t>
            </w:r>
          </w:p>
        </w:tc>
        <w:tc>
          <w:tcPr>
            <w:tcW w:w="2693" w:type="dxa"/>
          </w:tcPr>
          <w:p w14:paraId="75B21307" w14:textId="77777777"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lang w:val="en-US"/>
              </w:rPr>
              <w:t>35759</w:t>
            </w:r>
          </w:p>
        </w:tc>
      </w:tr>
    </w:tbl>
    <w:p w14:paraId="10853359" w14:textId="77777777" w:rsidR="00ED2B04" w:rsidRPr="00ED2B04" w:rsidRDefault="00ED2B04" w:rsidP="00ED2B04">
      <w:pPr>
        <w:rPr>
          <w:rFonts w:ascii="Times New Roman" w:eastAsia="Arial" w:hAnsi="Times New Roman" w:cs="Times New Roman"/>
          <w:lang w:val="en-US"/>
        </w:rPr>
      </w:pPr>
    </w:p>
    <w:p w14:paraId="610FA9E8" w14:textId="77777777" w:rsidR="00ED2B04" w:rsidRPr="00ED2B04" w:rsidRDefault="00ED2B04" w:rsidP="00ED2B04">
      <w:pPr>
        <w:rPr>
          <w:rFonts w:ascii="Times New Roman" w:eastAsia="Arial" w:hAnsi="Times New Roman" w:cs="Times New Roman"/>
          <w:lang w:val="en-US"/>
        </w:rPr>
      </w:pPr>
      <w:r w:rsidRPr="00ED2B04">
        <w:rPr>
          <w:rFonts w:ascii="Times New Roman" w:eastAsia="Arial" w:hAnsi="Times New Roman" w:cs="Times New Roman"/>
          <w:noProof/>
          <w:lang w:val="en-US" w:eastAsia="en-US"/>
        </w:rPr>
        <w:drawing>
          <wp:inline distT="0" distB="0" distL="0" distR="0" wp14:anchorId="6C8BA3C5" wp14:editId="4416BB92">
            <wp:extent cx="5380060" cy="3189748"/>
            <wp:effectExtent l="0" t="0" r="0" b="0"/>
            <wp:docPr id="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 cstate="screen">
                      <a:extLst>
                        <a:ext uri="{28A0092B-C50C-407E-A947-70E740481C1C}">
                          <a14:useLocalDpi xmlns:a14="http://schemas.microsoft.com/office/drawing/2010/main"/>
                        </a:ext>
                      </a:extLst>
                    </a:blip>
                    <a:srcRect l="1790" t="2825" r="7691" b="12453"/>
                    <a:stretch>
                      <a:fillRect/>
                    </a:stretch>
                  </pic:blipFill>
                  <pic:spPr>
                    <a:xfrm>
                      <a:off x="0" y="0"/>
                      <a:ext cx="5380060" cy="3189748"/>
                    </a:xfrm>
                    <a:prstGeom prst="rect">
                      <a:avLst/>
                    </a:prstGeom>
                    <a:ln/>
                  </pic:spPr>
                </pic:pic>
              </a:graphicData>
            </a:graphic>
          </wp:inline>
        </w:drawing>
      </w:r>
    </w:p>
    <w:p w14:paraId="30F61B8C" w14:textId="164AA774" w:rsidR="00ED2B04" w:rsidRPr="00ED2B04" w:rsidRDefault="00ED2B04" w:rsidP="00ED2B04">
      <w:pPr>
        <w:rPr>
          <w:rFonts w:ascii="Times New Roman" w:eastAsia="Arial" w:hAnsi="Times New Roman" w:cs="Times New Roman"/>
          <w:lang w:val="en-US"/>
        </w:rPr>
      </w:pPr>
      <w:bookmarkStart w:id="4" w:name="_2et92p0" w:colFirst="0" w:colLast="0"/>
      <w:bookmarkEnd w:id="4"/>
      <w:r w:rsidRPr="00ED2B04">
        <w:rPr>
          <w:rFonts w:ascii="Times New Roman" w:eastAsia="Arial" w:hAnsi="Times New Roman" w:cs="Times New Roman"/>
          <w:b/>
          <w:lang w:val="en-US"/>
        </w:rPr>
        <w:t xml:space="preserve">Figure </w:t>
      </w:r>
      <w:r>
        <w:rPr>
          <w:rFonts w:ascii="Times New Roman" w:eastAsia="Arial" w:hAnsi="Times New Roman" w:cs="Times New Roman"/>
          <w:b/>
          <w:lang w:val="en-US"/>
        </w:rPr>
        <w:t>S1</w:t>
      </w:r>
      <w:r w:rsidRPr="00ED2B04">
        <w:rPr>
          <w:rFonts w:ascii="Times New Roman" w:eastAsia="Arial" w:hAnsi="Times New Roman" w:cs="Times New Roman"/>
          <w:b/>
          <w:lang w:val="en-US"/>
        </w:rPr>
        <w:t>.</w:t>
      </w:r>
      <w:r w:rsidRPr="00ED2B04">
        <w:rPr>
          <w:rFonts w:ascii="Times New Roman" w:eastAsia="Arial" w:hAnsi="Times New Roman" w:cs="Times New Roman"/>
          <w:lang w:val="en-US"/>
        </w:rPr>
        <w:t xml:space="preserve"> a) The average NDVI time-series (black line) for pixels identified as lakes, b) as rocks, and 3) vegetation. Dotted grey lines indicate ± 1 σ. Data for 2000–14, Julian days 81 – 305.</w:t>
      </w:r>
    </w:p>
    <w:p w14:paraId="7D6B46B2" w14:textId="77777777" w:rsidR="00ED2B04" w:rsidRDefault="00ED2B04">
      <w:pPr>
        <w:rPr>
          <w:rFonts w:ascii="Times New Roman" w:eastAsia="Arial" w:hAnsi="Times New Roman" w:cs="Times New Roman"/>
          <w:lang w:val="en-US"/>
        </w:rPr>
      </w:pPr>
    </w:p>
    <w:p w14:paraId="45EF91B3" w14:textId="5BEF3C9D" w:rsidR="001F7F0F" w:rsidRDefault="001F7F0F">
      <w:pPr>
        <w:rPr>
          <w:rFonts w:ascii="Times New Roman" w:eastAsia="Arial" w:hAnsi="Times New Roman" w:cs="Times New Roman"/>
          <w:lang w:val="en-US"/>
        </w:rPr>
      </w:pPr>
      <w:r>
        <w:rPr>
          <w:rFonts w:ascii="Times New Roman" w:eastAsia="Arial" w:hAnsi="Times New Roman" w:cs="Times New Roman"/>
          <w:lang w:val="en-US"/>
        </w:rPr>
        <w:t>Fig</w:t>
      </w:r>
      <w:r w:rsidR="00A20E9C">
        <w:rPr>
          <w:rFonts w:ascii="Times New Roman" w:eastAsia="Arial" w:hAnsi="Times New Roman" w:cs="Times New Roman"/>
          <w:lang w:val="en-US"/>
        </w:rPr>
        <w:t>.</w:t>
      </w:r>
      <w:r w:rsidR="000466CF">
        <w:rPr>
          <w:rFonts w:ascii="Times New Roman" w:eastAsia="Arial" w:hAnsi="Times New Roman" w:cs="Times New Roman"/>
          <w:lang w:val="en-US"/>
        </w:rPr>
        <w:t xml:space="preserve"> S2</w:t>
      </w:r>
      <w:r>
        <w:rPr>
          <w:rFonts w:ascii="Times New Roman" w:eastAsia="Arial" w:hAnsi="Times New Roman" w:cs="Times New Roman"/>
          <w:lang w:val="en-US"/>
        </w:rPr>
        <w:t xml:space="preserve"> represents the areas used to identify representative land cover types for the thresholds used in this study. These included likely vegetation, rock, and lakes. These were the pixels used to identify the relevant NDVI thresholds across depicted in Fig</w:t>
      </w:r>
      <w:r w:rsidR="006A4CC4">
        <w:rPr>
          <w:rFonts w:ascii="Times New Roman" w:eastAsia="Arial" w:hAnsi="Times New Roman" w:cs="Times New Roman"/>
          <w:lang w:val="en-US"/>
        </w:rPr>
        <w:t>.</w:t>
      </w:r>
      <w:r>
        <w:rPr>
          <w:rFonts w:ascii="Times New Roman" w:eastAsia="Arial" w:hAnsi="Times New Roman" w:cs="Times New Roman"/>
          <w:lang w:val="en-US"/>
        </w:rPr>
        <w:t xml:space="preserve"> 2. The areas were chosen randomly but with the aim of having a reasonable distribution of across the whole of Greenland.</w:t>
      </w:r>
    </w:p>
    <w:p w14:paraId="05D23E4A" w14:textId="77777777" w:rsidR="001F7F0F" w:rsidRDefault="001F7F0F">
      <w:pPr>
        <w:rPr>
          <w:rFonts w:ascii="Times New Roman" w:eastAsia="Arial" w:hAnsi="Times New Roman" w:cs="Times New Roman"/>
          <w:lang w:val="en-US"/>
        </w:rPr>
      </w:pPr>
    </w:p>
    <w:p w14:paraId="052F3B22" w14:textId="738A450D" w:rsidR="001F7F0F" w:rsidRPr="001F7F0F" w:rsidRDefault="007858F0">
      <w:pPr>
        <w:rPr>
          <w:rFonts w:ascii="Times New Roman" w:eastAsia="Arial" w:hAnsi="Times New Roman" w:cs="Times New Roman"/>
          <w:lang w:val="en-US"/>
        </w:rPr>
      </w:pPr>
      <w:r>
        <w:rPr>
          <w:rFonts w:ascii="Times New Roman" w:eastAsia="Arial" w:hAnsi="Times New Roman" w:cs="Times New Roman"/>
          <w:noProof/>
          <w:lang w:val="en-US" w:eastAsia="en-US"/>
        </w:rPr>
        <w:drawing>
          <wp:inline distT="0" distB="0" distL="0" distR="0" wp14:anchorId="1A88062D" wp14:editId="39DFCCB2">
            <wp:extent cx="5727700" cy="7539990"/>
            <wp:effectExtent l="0" t="0" r="1270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_ROIs_2017_12_01_v2.tif"/>
                    <pic:cNvPicPr/>
                  </pic:nvPicPr>
                  <pic:blipFill>
                    <a:blip r:embed="rId7" cstate="screen">
                      <a:extLst>
                        <a:ext uri="{28A0092B-C50C-407E-A947-70E740481C1C}">
                          <a14:useLocalDpi xmlns:a14="http://schemas.microsoft.com/office/drawing/2010/main"/>
                        </a:ext>
                      </a:extLst>
                    </a:blip>
                    <a:stretch>
                      <a:fillRect/>
                    </a:stretch>
                  </pic:blipFill>
                  <pic:spPr>
                    <a:xfrm>
                      <a:off x="0" y="0"/>
                      <a:ext cx="5727700" cy="7539990"/>
                    </a:xfrm>
                    <a:prstGeom prst="rect">
                      <a:avLst/>
                    </a:prstGeom>
                  </pic:spPr>
                </pic:pic>
              </a:graphicData>
            </a:graphic>
          </wp:inline>
        </w:drawing>
      </w:r>
    </w:p>
    <w:p w14:paraId="1F195DF1" w14:textId="234BFCBF" w:rsidR="001F7F0F" w:rsidRPr="001F7F0F" w:rsidRDefault="001F7F0F">
      <w:pPr>
        <w:rPr>
          <w:rFonts w:ascii="Times New Roman" w:eastAsia="Arial" w:hAnsi="Times New Roman" w:cs="Times New Roman"/>
          <w:lang w:val="en-US"/>
        </w:rPr>
      </w:pPr>
      <w:r w:rsidRPr="00507300">
        <w:rPr>
          <w:rFonts w:ascii="Times New Roman" w:eastAsia="Arial" w:hAnsi="Times New Roman" w:cs="Times New Roman"/>
          <w:b/>
          <w:lang w:val="en-US"/>
        </w:rPr>
        <w:t xml:space="preserve">Figure </w:t>
      </w:r>
      <w:r w:rsidR="00ED2B04">
        <w:rPr>
          <w:rFonts w:ascii="Times New Roman" w:eastAsia="Arial" w:hAnsi="Times New Roman" w:cs="Times New Roman"/>
          <w:b/>
          <w:lang w:val="en-US"/>
        </w:rPr>
        <w:t>S2</w:t>
      </w:r>
      <w:r w:rsidRPr="00507300">
        <w:rPr>
          <w:rFonts w:ascii="Times New Roman" w:eastAsia="Arial" w:hAnsi="Times New Roman" w:cs="Times New Roman"/>
          <w:b/>
          <w:lang w:val="en-US"/>
        </w:rPr>
        <w:t>.</w:t>
      </w:r>
      <w:r>
        <w:rPr>
          <w:rFonts w:ascii="Times New Roman" w:eastAsia="Arial" w:hAnsi="Times New Roman" w:cs="Times New Roman"/>
          <w:b/>
          <w:lang w:val="en-US"/>
        </w:rPr>
        <w:t xml:space="preserve"> </w:t>
      </w:r>
      <w:r>
        <w:rPr>
          <w:rFonts w:ascii="Times New Roman" w:eastAsia="Arial" w:hAnsi="Times New Roman" w:cs="Times New Roman"/>
          <w:lang w:val="en-US"/>
        </w:rPr>
        <w:t xml:space="preserve">Map showing the </w:t>
      </w:r>
      <w:r w:rsidR="007858F0">
        <w:rPr>
          <w:rFonts w:ascii="Times New Roman" w:eastAsia="Arial" w:hAnsi="Times New Roman" w:cs="Times New Roman"/>
          <w:lang w:val="en-US"/>
        </w:rPr>
        <w:t xml:space="preserve">spatial locations of the </w:t>
      </w:r>
      <w:r>
        <w:rPr>
          <w:rFonts w:ascii="Times New Roman" w:eastAsia="Arial" w:hAnsi="Times New Roman" w:cs="Times New Roman"/>
          <w:lang w:val="en-US"/>
        </w:rPr>
        <w:t xml:space="preserve">pixels corresponding with the three important land cover types (likely vegetation, lakes and rock) </w:t>
      </w:r>
      <w:r w:rsidR="007858F0">
        <w:rPr>
          <w:rFonts w:ascii="Times New Roman" w:eastAsia="Arial" w:hAnsi="Times New Roman" w:cs="Times New Roman"/>
          <w:lang w:val="en-US"/>
        </w:rPr>
        <w:t xml:space="preserve">used </w:t>
      </w:r>
      <w:r>
        <w:rPr>
          <w:rFonts w:ascii="Times New Roman" w:eastAsia="Arial" w:hAnsi="Times New Roman" w:cs="Times New Roman"/>
          <w:lang w:val="en-US"/>
        </w:rPr>
        <w:t>in this study</w:t>
      </w:r>
      <w:r w:rsidR="007858F0">
        <w:rPr>
          <w:rFonts w:ascii="Times New Roman" w:eastAsia="Arial" w:hAnsi="Times New Roman" w:cs="Times New Roman"/>
          <w:lang w:val="en-US"/>
        </w:rPr>
        <w:t xml:space="preserve"> to derive the NDVI threshold for areas considered likely to be vegetated. </w:t>
      </w:r>
    </w:p>
    <w:p w14:paraId="36413BF6" w14:textId="77777777" w:rsidR="001F7F0F" w:rsidRDefault="001F7F0F"/>
    <w:p w14:paraId="0647A941" w14:textId="532EABBC" w:rsidR="00BF31D6" w:rsidRPr="00BF31D6" w:rsidRDefault="00BF31D6" w:rsidP="00BF31D6">
      <w:pPr>
        <w:rPr>
          <w:i/>
          <w:lang w:val="en-US"/>
        </w:rPr>
      </w:pPr>
      <w:r w:rsidRPr="00BF31D6">
        <w:rPr>
          <w:i/>
          <w:lang w:val="en-US"/>
        </w:rPr>
        <w:t>Evaluating the influence of seasonal snow cover thresholds</w:t>
      </w:r>
    </w:p>
    <w:p w14:paraId="0634C7EE" w14:textId="592A49F8" w:rsidR="00BF31D6" w:rsidRPr="00BF31D6" w:rsidRDefault="00BF31D6" w:rsidP="00BF31D6">
      <w:pPr>
        <w:rPr>
          <w:lang w:val="en-US"/>
        </w:rPr>
      </w:pPr>
      <w:r w:rsidRPr="00BF31D6">
        <w:rPr>
          <w:lang w:val="en-US"/>
        </w:rPr>
        <w:t xml:space="preserve">The influence that different FSC thresholds exerted on the descriptors for the snow free period dates was assessed (Fig. </w:t>
      </w:r>
      <w:r>
        <w:rPr>
          <w:lang w:val="en-US"/>
        </w:rPr>
        <w:t>S3</w:t>
      </w:r>
      <w:r w:rsidRPr="00BF31D6">
        <w:rPr>
          <w:lang w:val="en-US"/>
        </w:rPr>
        <w:t xml:space="preserve">). Fig. </w:t>
      </w:r>
      <w:r>
        <w:rPr>
          <w:lang w:val="en-US"/>
        </w:rPr>
        <w:t>S3</w:t>
      </w:r>
      <w:r w:rsidRPr="00BF31D6">
        <w:rPr>
          <w:lang w:val="en-US"/>
        </w:rPr>
        <w:t xml:space="preserve"> indicated that for FSC thresholds ranging from 0 – 20% did not substantially influence the LSP descriptor dates. In most cases, the choice of FSC thresholds only changed the SCMD and SCOD descriptors dates by 2 – 3 days. This resulted in an SFP duration that was 4-6 days longer/shorter, depending on the threshold employed. Here, a threshold of 0% FSC was used to derive both the SCMD and SCOD boundaries that identified the SFP. </w:t>
      </w:r>
    </w:p>
    <w:p w14:paraId="31E6BA79" w14:textId="77777777" w:rsidR="00BF31D6" w:rsidRPr="00BF31D6" w:rsidRDefault="00BF31D6" w:rsidP="00BF31D6">
      <w:pPr>
        <w:rPr>
          <w:lang w:val="en-US"/>
        </w:rPr>
      </w:pPr>
    </w:p>
    <w:p w14:paraId="7B8C7298" w14:textId="77777777" w:rsidR="00BF31D6" w:rsidRPr="00BF31D6" w:rsidRDefault="00BF31D6" w:rsidP="00BF31D6">
      <w:pPr>
        <w:rPr>
          <w:lang w:val="en-US"/>
        </w:rPr>
      </w:pPr>
      <w:r w:rsidRPr="00BF31D6">
        <w:rPr>
          <w:noProof/>
          <w:lang w:val="en-US" w:eastAsia="en-US"/>
        </w:rPr>
        <w:drawing>
          <wp:inline distT="0" distB="0" distL="0" distR="0" wp14:anchorId="285DD923" wp14:editId="335FD787">
            <wp:extent cx="5220673" cy="2903302"/>
            <wp:effectExtent l="0" t="0" r="0" b="0"/>
            <wp:docPr id="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 cstate="screen">
                      <a:extLst>
                        <a:ext uri="{28A0092B-C50C-407E-A947-70E740481C1C}">
                          <a14:useLocalDpi xmlns:a14="http://schemas.microsoft.com/office/drawing/2010/main"/>
                        </a:ext>
                      </a:extLst>
                    </a:blip>
                    <a:srcRect l="4293" t="4931" r="7870" b="10914"/>
                    <a:stretch>
                      <a:fillRect/>
                    </a:stretch>
                  </pic:blipFill>
                  <pic:spPr>
                    <a:xfrm>
                      <a:off x="0" y="0"/>
                      <a:ext cx="5220673" cy="2903302"/>
                    </a:xfrm>
                    <a:prstGeom prst="rect">
                      <a:avLst/>
                    </a:prstGeom>
                    <a:ln/>
                  </pic:spPr>
                </pic:pic>
              </a:graphicData>
            </a:graphic>
          </wp:inline>
        </w:drawing>
      </w:r>
    </w:p>
    <w:p w14:paraId="56152BBA" w14:textId="2870F513" w:rsidR="00BF31D6" w:rsidRPr="00BF31D6" w:rsidRDefault="00BF31D6" w:rsidP="00BF31D6">
      <w:pPr>
        <w:rPr>
          <w:lang w:val="en-US"/>
        </w:rPr>
      </w:pPr>
      <w:bookmarkStart w:id="5" w:name="_tyjcwt" w:colFirst="0" w:colLast="0"/>
      <w:bookmarkEnd w:id="5"/>
      <w:r w:rsidRPr="00BF31D6">
        <w:rPr>
          <w:b/>
          <w:lang w:val="en-US"/>
        </w:rPr>
        <w:t xml:space="preserve">Figure </w:t>
      </w:r>
      <w:r>
        <w:rPr>
          <w:b/>
          <w:lang w:val="en-US"/>
        </w:rPr>
        <w:t>S3</w:t>
      </w:r>
      <w:r w:rsidRPr="00BF31D6">
        <w:rPr>
          <w:b/>
          <w:lang w:val="en-US"/>
        </w:rPr>
        <w:t xml:space="preserve">. </w:t>
      </w:r>
      <w:r w:rsidRPr="00BF31D6">
        <w:rPr>
          <w:lang w:val="en-US"/>
        </w:rPr>
        <w:t>Influence of different fractional snow cover thresholds on the definition of a) the start of the snow free period SFP; b) the end of the SFP; and c) on the duration of the SFP from 2000–14.</w:t>
      </w:r>
    </w:p>
    <w:p w14:paraId="053B57D0" w14:textId="77777777" w:rsidR="00BF31D6" w:rsidRPr="00BF31D6" w:rsidRDefault="00BF31D6" w:rsidP="00BF31D6">
      <w:pPr>
        <w:rPr>
          <w:i/>
          <w:lang w:val="en-US"/>
        </w:rPr>
      </w:pPr>
    </w:p>
    <w:p w14:paraId="50A486DA" w14:textId="3B9B62EB" w:rsidR="00BF31D6" w:rsidRPr="00BF31D6" w:rsidRDefault="00BF31D6" w:rsidP="00BF31D6">
      <w:pPr>
        <w:rPr>
          <w:i/>
          <w:lang w:val="en-US"/>
        </w:rPr>
      </w:pPr>
      <w:r w:rsidRPr="00BF31D6">
        <w:rPr>
          <w:i/>
          <w:lang w:val="en-US"/>
        </w:rPr>
        <w:t>Assessing the influence of cloud cover</w:t>
      </w:r>
    </w:p>
    <w:p w14:paraId="52D62D30" w14:textId="77777777" w:rsidR="00BF31D6" w:rsidRDefault="00BF31D6" w:rsidP="00BF31D6">
      <w:pPr>
        <w:rPr>
          <w:lang w:val="en-US"/>
        </w:rPr>
      </w:pPr>
      <w:r w:rsidRPr="00BF31D6">
        <w:rPr>
          <w:lang w:val="en-US"/>
        </w:rPr>
        <w:t xml:space="preserve">Although snow/cloud confusion remains one of the largest uncertainties in snow detection with the MOD10A1 Snow Products (Hall and Riggs, 2007), it is difficult to assess the influence that snow/cloud confusion exerts on the snow seasonality descriptors. In their study characterizing cloud characteristics across the Arctic, Chan and </w:t>
      </w:r>
      <w:proofErr w:type="spellStart"/>
      <w:r w:rsidRPr="00BF31D6">
        <w:rPr>
          <w:lang w:val="en-US"/>
        </w:rPr>
        <w:t>Comiso</w:t>
      </w:r>
      <w:proofErr w:type="spellEnd"/>
      <w:r w:rsidRPr="00BF31D6">
        <w:rPr>
          <w:lang w:val="en-US"/>
        </w:rPr>
        <w:t xml:space="preserve"> (2013) noted that the accuracy of the MODIS cloud-mask was highly dependent on the season. As such, the seasonal influences on accuracy likely influence the derivation of both SCMD and SCOD in ways that were hard to quantify, given the lack of coincident snow and cloud cover observations along the periphery of Greenland. In this study, we assumed that seasonal biases in the cloud detection algorithm were likely to be constant from year to year, which resulted in a systematic bias that did not influence the trend analysis.</w:t>
      </w:r>
    </w:p>
    <w:p w14:paraId="4664955F" w14:textId="77777777" w:rsidR="00BF31D6" w:rsidRPr="00BF31D6" w:rsidRDefault="00BF31D6" w:rsidP="00BF31D6">
      <w:pPr>
        <w:rPr>
          <w:lang w:val="en-US"/>
        </w:rPr>
      </w:pPr>
    </w:p>
    <w:p w14:paraId="7D907C06" w14:textId="71431B93" w:rsidR="003A622B" w:rsidRDefault="00BF31D6" w:rsidP="00BF31D6">
      <w:pPr>
        <w:rPr>
          <w:lang w:val="en-US"/>
        </w:rPr>
      </w:pPr>
      <w:r w:rsidRPr="00BF31D6">
        <w:rPr>
          <w:lang w:val="en-US"/>
        </w:rPr>
        <w:t>Changes in the number of cloudy days per year could also be expected to influence trend analyses. Because each of the MODIS products required cloud-free views of the land surface, changes in the number of cloudy days would likely influence the trend analyses of each of the descriptors used in this study in ways that were also be difficult to quantify. The MOD10A1 data indicated when the MODIS cloud-mask (MOD35) identified a pixel as being cloud-covered. Per pixel estimates of the number of cloudy days were derived from these data. Trends in number of clo</w:t>
      </w:r>
      <w:r w:rsidR="0060626E">
        <w:rPr>
          <w:lang w:val="en-US"/>
        </w:rPr>
        <w:t>udy days were determined (Fig. S4</w:t>
      </w:r>
      <w:r w:rsidRPr="00BF31D6">
        <w:rPr>
          <w:lang w:val="en-US"/>
        </w:rPr>
        <w:t xml:space="preserve">) using per-pixel slopes estimated using </w:t>
      </w:r>
      <w:proofErr w:type="spellStart"/>
      <w:r w:rsidRPr="00BF31D6">
        <w:rPr>
          <w:lang w:val="en-US"/>
        </w:rPr>
        <w:t>Theil-Sen</w:t>
      </w:r>
      <w:proofErr w:type="spellEnd"/>
      <w:r w:rsidRPr="00BF31D6">
        <w:rPr>
          <w:lang w:val="en-US"/>
        </w:rPr>
        <w:t xml:space="preserve"> non-parametric regression. Fig. 5 highlighted the fact that most of the areas in western Greenland did not experience increased numbers of cloudy days across the study period. Although the maximum rate of increase w</w:t>
      </w:r>
      <w:r w:rsidR="0060626E">
        <w:rPr>
          <w:lang w:val="en-US"/>
        </w:rPr>
        <w:t>as 4 cloud-days per year (Fig. S4</w:t>
      </w:r>
      <w:r w:rsidRPr="00BF31D6">
        <w:rPr>
          <w:lang w:val="en-US"/>
        </w:rPr>
        <w:t xml:space="preserve">) much of </w:t>
      </w:r>
      <w:proofErr w:type="gramStart"/>
      <w:r w:rsidRPr="00BF31D6">
        <w:rPr>
          <w:lang w:val="en-US"/>
        </w:rPr>
        <w:t>south-western</w:t>
      </w:r>
      <w:proofErr w:type="gramEnd"/>
      <w:r w:rsidRPr="00BF31D6">
        <w:rPr>
          <w:lang w:val="en-US"/>
        </w:rPr>
        <w:t xml:space="preserve"> Greenland did not exhibit a trend towards increased cloudless, and thus we did not expect that cloud-cover impacted upon the results for western Greenland. For this reason, we limited our analysis of individual basins in Greenland to the drainage basins along the western edge of the island.</w:t>
      </w:r>
    </w:p>
    <w:p w14:paraId="3685CAFE" w14:textId="77777777" w:rsidR="003A622B" w:rsidRDefault="003A622B">
      <w:pPr>
        <w:rPr>
          <w:lang w:val="en-US"/>
        </w:rPr>
      </w:pPr>
      <w:r>
        <w:rPr>
          <w:lang w:val="en-US"/>
        </w:rPr>
        <w:br w:type="page"/>
      </w:r>
    </w:p>
    <w:p w14:paraId="2AF30078" w14:textId="77777777" w:rsidR="00BF31D6" w:rsidRPr="00BF31D6" w:rsidRDefault="00BF31D6" w:rsidP="00BF31D6">
      <w:pPr>
        <w:rPr>
          <w:lang w:val="en-US"/>
        </w:rPr>
      </w:pPr>
      <w:r w:rsidRPr="00BF31D6">
        <w:rPr>
          <w:noProof/>
          <w:lang w:val="en-US" w:eastAsia="en-US"/>
        </w:rPr>
        <w:drawing>
          <wp:inline distT="0" distB="0" distL="0" distR="0" wp14:anchorId="7EDC1847" wp14:editId="11EBE68F">
            <wp:extent cx="6121400" cy="79216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_CloudDay_Trends_2018_05_30.png"/>
                    <pic:cNvPicPr/>
                  </pic:nvPicPr>
                  <pic:blipFill>
                    <a:blip r:embed="rId9" cstate="screen">
                      <a:extLst>
                        <a:ext uri="{28A0092B-C50C-407E-A947-70E740481C1C}">
                          <a14:useLocalDpi xmlns:a14="http://schemas.microsoft.com/office/drawing/2010/main"/>
                        </a:ext>
                      </a:extLst>
                    </a:blip>
                    <a:stretch>
                      <a:fillRect/>
                    </a:stretch>
                  </pic:blipFill>
                  <pic:spPr>
                    <a:xfrm>
                      <a:off x="0" y="0"/>
                      <a:ext cx="6121400" cy="7921625"/>
                    </a:xfrm>
                    <a:prstGeom prst="rect">
                      <a:avLst/>
                    </a:prstGeom>
                  </pic:spPr>
                </pic:pic>
              </a:graphicData>
            </a:graphic>
          </wp:inline>
        </w:drawing>
      </w:r>
    </w:p>
    <w:p w14:paraId="4765D309" w14:textId="2AD62D61" w:rsidR="00BF31D6" w:rsidRPr="00BF31D6" w:rsidRDefault="00BF31D6" w:rsidP="00BF31D6">
      <w:pPr>
        <w:rPr>
          <w:lang w:val="en-US"/>
        </w:rPr>
      </w:pPr>
      <w:bookmarkStart w:id="6" w:name="_3dy6vkm" w:colFirst="0" w:colLast="0"/>
      <w:bookmarkEnd w:id="6"/>
      <w:r w:rsidRPr="00BF31D6">
        <w:rPr>
          <w:b/>
          <w:lang w:val="en-US"/>
        </w:rPr>
        <w:t xml:space="preserve">Figure </w:t>
      </w:r>
      <w:r>
        <w:rPr>
          <w:b/>
          <w:lang w:val="en-US"/>
        </w:rPr>
        <w:t>S4</w:t>
      </w:r>
      <w:r w:rsidRPr="00BF31D6">
        <w:rPr>
          <w:b/>
          <w:lang w:val="en-US"/>
        </w:rPr>
        <w:t>.</w:t>
      </w:r>
      <w:r w:rsidRPr="00BF31D6">
        <w:rPr>
          <w:lang w:val="en-US"/>
        </w:rPr>
        <w:t xml:space="preserve"> The areas in Greenland that experienced changes in the number of cloudy days from 2000–14. </w:t>
      </w:r>
    </w:p>
    <w:p w14:paraId="10BFA0D0" w14:textId="77777777" w:rsidR="00BF31D6" w:rsidRDefault="00BF31D6"/>
    <w:p w14:paraId="545D5E85" w14:textId="77777777" w:rsidR="003A622B" w:rsidRDefault="003A622B">
      <w:pPr>
        <w:rPr>
          <w:b/>
          <w:bCs/>
          <w:caps/>
        </w:rPr>
      </w:pPr>
      <w:r>
        <w:rPr>
          <w:b/>
          <w:bCs/>
          <w:caps/>
        </w:rPr>
        <w:br w:type="page"/>
      </w:r>
    </w:p>
    <w:p w14:paraId="16E8D127" w14:textId="45C93E07" w:rsidR="00A4540B" w:rsidRPr="00A20E9C" w:rsidRDefault="00A4540B">
      <w:pPr>
        <w:rPr>
          <w:b/>
          <w:bCs/>
          <w:caps/>
        </w:rPr>
      </w:pPr>
      <w:r w:rsidRPr="00A20E9C">
        <w:rPr>
          <w:b/>
          <w:bCs/>
          <w:caps/>
        </w:rPr>
        <w:t>Results</w:t>
      </w:r>
    </w:p>
    <w:p w14:paraId="3D753E80" w14:textId="1C69838F" w:rsidR="00A4540B" w:rsidRPr="00A4540B" w:rsidRDefault="00A4540B" w:rsidP="00A4540B">
      <w:pPr>
        <w:rPr>
          <w:lang w:val="en-US"/>
        </w:rPr>
      </w:pPr>
      <w:r w:rsidRPr="00A4540B">
        <w:rPr>
          <w:i/>
          <w:lang w:val="en-US"/>
        </w:rPr>
        <w:t>Basin-wide trends in trends in the snow seasonality, growing period, and vegetation phenology descriptors</w:t>
      </w:r>
    </w:p>
    <w:p w14:paraId="2E70D42B" w14:textId="588A3E0A" w:rsidR="00A4540B" w:rsidRDefault="00A4540B" w:rsidP="00A4540B">
      <w:pPr>
        <w:rPr>
          <w:lang w:val="en-US"/>
        </w:rPr>
      </w:pPr>
      <w:r w:rsidRPr="00A4540B">
        <w:rPr>
          <w:lang w:val="en-US"/>
        </w:rPr>
        <w:t>Results for the analysis of the four individual basins in western Greenland are presented in Figures</w:t>
      </w:r>
      <w:r>
        <w:rPr>
          <w:lang w:val="en-US"/>
        </w:rPr>
        <w:t xml:space="preserve"> S</w:t>
      </w:r>
      <w:r w:rsidR="00394E26">
        <w:rPr>
          <w:lang w:val="en-US"/>
        </w:rPr>
        <w:t>5</w:t>
      </w:r>
      <w:r>
        <w:rPr>
          <w:lang w:val="en-US"/>
        </w:rPr>
        <w:t xml:space="preserve"> –S</w:t>
      </w:r>
      <w:r w:rsidR="00394E26">
        <w:rPr>
          <w:lang w:val="en-US"/>
        </w:rPr>
        <w:t>7</w:t>
      </w:r>
      <w:r w:rsidRPr="00A4540B">
        <w:rPr>
          <w:lang w:val="en-US"/>
        </w:rPr>
        <w:t>. Recall that the MODIS record indicated that trends towards increased numbers of cloudy days for much of the rest of Greenland. With the exception of basin 7.2, the percentage of pixels exhibiting signs of a longer than average SFP increased, while the number of pixels showing signs of a shorter than average SFP decreased a</w:t>
      </w:r>
      <w:r>
        <w:rPr>
          <w:lang w:val="en-US"/>
        </w:rPr>
        <w:t>cross the study period (</w:t>
      </w:r>
      <w:r w:rsidR="00A20E9C">
        <w:rPr>
          <w:lang w:val="en-US"/>
        </w:rPr>
        <w:t xml:space="preserve">Fig. </w:t>
      </w:r>
      <w:r w:rsidR="00394E26">
        <w:rPr>
          <w:lang w:val="en-US"/>
        </w:rPr>
        <w:t>S5</w:t>
      </w:r>
      <w:r w:rsidRPr="00A4540B">
        <w:rPr>
          <w:lang w:val="en-US"/>
        </w:rPr>
        <w:t>). None of these results are sta</w:t>
      </w:r>
      <w:r>
        <w:rPr>
          <w:lang w:val="en-US"/>
        </w:rPr>
        <w:t xml:space="preserve">tistically significant. </w:t>
      </w:r>
      <w:r w:rsidR="00A20E9C">
        <w:rPr>
          <w:lang w:val="en-US"/>
        </w:rPr>
        <w:t xml:space="preserve">Fig. </w:t>
      </w:r>
      <w:r w:rsidR="00394E26">
        <w:rPr>
          <w:lang w:val="en-US"/>
        </w:rPr>
        <w:t>S6</w:t>
      </w:r>
      <w:r w:rsidRPr="00A4540B">
        <w:rPr>
          <w:lang w:val="en-US"/>
        </w:rPr>
        <w:t xml:space="preserve"> indicates that areas experience a greater than average number of AGDD increased universally across the study period, and t</w:t>
      </w:r>
      <w:r>
        <w:rPr>
          <w:lang w:val="en-US"/>
        </w:rPr>
        <w:t>he results for basin 5 (</w:t>
      </w:r>
      <w:r w:rsidR="00A20E9C">
        <w:rPr>
          <w:lang w:val="en-US"/>
        </w:rPr>
        <w:t xml:space="preserve">Fig. </w:t>
      </w:r>
      <w:r>
        <w:rPr>
          <w:lang w:val="en-US"/>
        </w:rPr>
        <w:t>S</w:t>
      </w:r>
      <w:r w:rsidR="00394E26">
        <w:rPr>
          <w:lang w:val="en-US"/>
        </w:rPr>
        <w:t>6</w:t>
      </w:r>
      <w:r>
        <w:rPr>
          <w:lang w:val="en-US"/>
        </w:rPr>
        <w:t xml:space="preserve"> </w:t>
      </w:r>
      <w:r w:rsidRPr="00A4540B">
        <w:rPr>
          <w:lang w:val="en-US"/>
        </w:rPr>
        <w:t xml:space="preserve">a &amp; b) are statistically significant. With the exception of basin 7.2, the remaining three basins displayed a slight decrease in the number of pixels experiencing less than average TI-NDVI, though these results are not statistically significant. </w:t>
      </w:r>
      <w:r w:rsidR="00A20E9C">
        <w:rPr>
          <w:lang w:val="en-US"/>
        </w:rPr>
        <w:t xml:space="preserve">Fig. </w:t>
      </w:r>
      <w:r w:rsidR="00394E26">
        <w:rPr>
          <w:lang w:val="en-US"/>
        </w:rPr>
        <w:t>S7</w:t>
      </w:r>
      <w:r w:rsidR="000466CF">
        <w:rPr>
          <w:lang w:val="en-US"/>
        </w:rPr>
        <w:t xml:space="preserve"> </w:t>
      </w:r>
      <w:r w:rsidR="00075B75">
        <w:rPr>
          <w:lang w:val="en-US"/>
        </w:rPr>
        <w:t xml:space="preserve">presents the results the time-integrated NDVI results for the 4 basins in western Greenland examined in this study. </w:t>
      </w:r>
      <w:r w:rsidR="00AB0E10">
        <w:rPr>
          <w:lang w:val="en-US"/>
        </w:rPr>
        <w:t>Overall, t</w:t>
      </w:r>
      <w:r w:rsidR="00075B75">
        <w:rPr>
          <w:lang w:val="en-US"/>
        </w:rPr>
        <w:t xml:space="preserve">he results </w:t>
      </w:r>
      <w:r w:rsidR="00AB0E10">
        <w:rPr>
          <w:lang w:val="en-US"/>
        </w:rPr>
        <w:t xml:space="preserve">for these four basins </w:t>
      </w:r>
      <w:r w:rsidR="00B117D8">
        <w:rPr>
          <w:lang w:val="en-US"/>
        </w:rPr>
        <w:t xml:space="preserve">indicate that there </w:t>
      </w:r>
      <w:r w:rsidR="00AB0E10">
        <w:rPr>
          <w:lang w:val="en-US"/>
        </w:rPr>
        <w:t xml:space="preserve">was neither a substantial increase or decrease in the time-integrated NDVI across the study period. </w:t>
      </w:r>
    </w:p>
    <w:p w14:paraId="33121FEA" w14:textId="77777777" w:rsidR="0088184D" w:rsidRDefault="0088184D"/>
    <w:p w14:paraId="736F69FC" w14:textId="77777777" w:rsidR="0088184D" w:rsidRPr="00507300" w:rsidRDefault="0088184D" w:rsidP="0088184D">
      <w:pPr>
        <w:rPr>
          <w:lang w:val="en-US"/>
        </w:rPr>
      </w:pPr>
      <w:r>
        <w:rPr>
          <w:noProof/>
          <w:lang w:val="en-US" w:eastAsia="en-US"/>
        </w:rPr>
        <w:drawing>
          <wp:inline distT="0" distB="0" distL="0" distR="0" wp14:anchorId="6B9F5666" wp14:editId="5AC28575">
            <wp:extent cx="6121400" cy="26898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nds_SFP_Basins_2016_06_14.eps"/>
                    <pic:cNvPicPr/>
                  </pic:nvPicPr>
                  <pic:blipFill>
                    <a:blip r:embed="rId10" cstate="screen">
                      <a:extLst>
                        <a:ext uri="{28A0092B-C50C-407E-A947-70E740481C1C}">
                          <a14:useLocalDpi xmlns:a14="http://schemas.microsoft.com/office/drawing/2010/main"/>
                        </a:ext>
                      </a:extLst>
                    </a:blip>
                    <a:stretch>
                      <a:fillRect/>
                    </a:stretch>
                  </pic:blipFill>
                  <pic:spPr>
                    <a:xfrm>
                      <a:off x="0" y="0"/>
                      <a:ext cx="6121400" cy="2689860"/>
                    </a:xfrm>
                    <a:prstGeom prst="rect">
                      <a:avLst/>
                    </a:prstGeom>
                  </pic:spPr>
                </pic:pic>
              </a:graphicData>
            </a:graphic>
          </wp:inline>
        </w:drawing>
      </w:r>
    </w:p>
    <w:p w14:paraId="1441D3C6" w14:textId="61203711" w:rsidR="0088184D" w:rsidRPr="00507300" w:rsidRDefault="0088184D" w:rsidP="0088184D">
      <w:pPr>
        <w:pStyle w:val="normal0"/>
        <w:spacing w:after="200"/>
        <w:rPr>
          <w:rFonts w:ascii="Times New Roman" w:hAnsi="Times New Roman" w:cs="Times New Roman"/>
          <w:lang w:val="en-US"/>
        </w:rPr>
      </w:pPr>
      <w:bookmarkStart w:id="7" w:name="_2s8eyo1" w:colFirst="0" w:colLast="0"/>
      <w:bookmarkEnd w:id="7"/>
      <w:r w:rsidRPr="00507300">
        <w:rPr>
          <w:rFonts w:ascii="Times New Roman" w:eastAsia="Arial" w:hAnsi="Times New Roman" w:cs="Times New Roman"/>
          <w:b/>
          <w:lang w:val="en-US"/>
        </w:rPr>
        <w:t xml:space="preserve">Figure </w:t>
      </w:r>
      <w:r w:rsidR="00D57F1F">
        <w:rPr>
          <w:rFonts w:ascii="Times New Roman" w:eastAsia="Arial" w:hAnsi="Times New Roman" w:cs="Times New Roman"/>
          <w:b/>
          <w:lang w:val="en-US"/>
        </w:rPr>
        <w:t>S5</w:t>
      </w:r>
      <w:r w:rsidRPr="00507300">
        <w:rPr>
          <w:rFonts w:ascii="Times New Roman" w:eastAsia="Arial" w:hAnsi="Times New Roman" w:cs="Times New Roman"/>
          <w:b/>
          <w:lang w:val="en-US"/>
        </w:rPr>
        <w:t>.</w:t>
      </w:r>
      <w:r w:rsidRPr="00507300">
        <w:rPr>
          <w:rFonts w:ascii="Times New Roman" w:eastAsia="Arial" w:hAnsi="Times New Roman" w:cs="Times New Roman"/>
          <w:lang w:val="en-US"/>
        </w:rPr>
        <w:t xml:space="preserve"> a) The percentage of vegetated pixels in each basin experiencing a longer than average duration of the snow free period (SFP) from </w:t>
      </w:r>
      <w:r w:rsidR="00981A96">
        <w:rPr>
          <w:rFonts w:ascii="Times New Roman" w:eastAsia="Arial" w:hAnsi="Times New Roman" w:cs="Times New Roman"/>
          <w:lang w:val="en-US"/>
        </w:rPr>
        <w:t>2000–14</w:t>
      </w:r>
      <w:r w:rsidRPr="00507300">
        <w:rPr>
          <w:rFonts w:ascii="Times New Roman" w:eastAsia="Arial" w:hAnsi="Times New Roman" w:cs="Times New Roman"/>
          <w:lang w:val="en-US"/>
        </w:rPr>
        <w:t xml:space="preserve">; b) the percentage of vegetated pixels in each basin experiencing a shorter than average duration of the snow free period (SFP) from </w:t>
      </w:r>
      <w:r w:rsidR="00981A96">
        <w:rPr>
          <w:rFonts w:ascii="Times New Roman" w:eastAsia="Arial" w:hAnsi="Times New Roman" w:cs="Times New Roman"/>
          <w:lang w:val="en-US"/>
        </w:rPr>
        <w:t>2000–14</w:t>
      </w:r>
      <w:r w:rsidRPr="00507300">
        <w:rPr>
          <w:rFonts w:ascii="Times New Roman" w:eastAsia="Arial" w:hAnsi="Times New Roman" w:cs="Times New Roman"/>
          <w:lang w:val="en-US"/>
        </w:rPr>
        <w:t>.</w:t>
      </w:r>
      <w:r w:rsidR="00DA289C">
        <w:rPr>
          <w:rFonts w:ascii="Times New Roman" w:eastAsia="Arial" w:hAnsi="Times New Roman" w:cs="Times New Roman"/>
          <w:lang w:val="en-US"/>
        </w:rPr>
        <w:t xml:space="preserve"> Solid lines represent the linear trends in the data; dashed lines represent the uncertainty associated with the modeled trends.</w:t>
      </w:r>
    </w:p>
    <w:p w14:paraId="3C6603B5" w14:textId="77777777" w:rsidR="0088184D" w:rsidRPr="00507300" w:rsidRDefault="0088184D" w:rsidP="0088184D">
      <w:pPr>
        <w:pStyle w:val="normal0"/>
        <w:rPr>
          <w:rFonts w:ascii="Times New Roman" w:hAnsi="Times New Roman" w:cs="Times New Roman"/>
          <w:lang w:val="en-US"/>
        </w:rPr>
      </w:pPr>
    </w:p>
    <w:p w14:paraId="30A91A1C" w14:textId="77777777" w:rsidR="0088184D" w:rsidRPr="00507300" w:rsidRDefault="0088184D" w:rsidP="0088184D">
      <w:pPr>
        <w:rPr>
          <w:lang w:val="en-US"/>
        </w:rPr>
      </w:pPr>
      <w:r>
        <w:rPr>
          <w:noProof/>
          <w:lang w:val="en-US" w:eastAsia="en-US"/>
        </w:rPr>
        <w:drawing>
          <wp:inline distT="0" distB="0" distL="0" distR="0" wp14:anchorId="7386C3D3" wp14:editId="14136C31">
            <wp:extent cx="6121400" cy="26968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nds_AGDD_Basins_2016_06_14.eps"/>
                    <pic:cNvPicPr/>
                  </pic:nvPicPr>
                  <pic:blipFill>
                    <a:blip r:embed="rId11" cstate="screen">
                      <a:extLst>
                        <a:ext uri="{28A0092B-C50C-407E-A947-70E740481C1C}">
                          <a14:useLocalDpi xmlns:a14="http://schemas.microsoft.com/office/drawing/2010/main"/>
                        </a:ext>
                      </a:extLst>
                    </a:blip>
                    <a:stretch>
                      <a:fillRect/>
                    </a:stretch>
                  </pic:blipFill>
                  <pic:spPr>
                    <a:xfrm>
                      <a:off x="0" y="0"/>
                      <a:ext cx="6121400" cy="2696845"/>
                    </a:xfrm>
                    <a:prstGeom prst="rect">
                      <a:avLst/>
                    </a:prstGeom>
                  </pic:spPr>
                </pic:pic>
              </a:graphicData>
            </a:graphic>
          </wp:inline>
        </w:drawing>
      </w:r>
    </w:p>
    <w:p w14:paraId="625B7877" w14:textId="4E53553E" w:rsidR="0088184D" w:rsidRPr="00507300" w:rsidRDefault="0088184D" w:rsidP="0088184D">
      <w:pPr>
        <w:pStyle w:val="normal0"/>
        <w:spacing w:after="200"/>
        <w:rPr>
          <w:rFonts w:ascii="Times New Roman" w:hAnsi="Times New Roman" w:cs="Times New Roman"/>
          <w:lang w:val="en-US"/>
        </w:rPr>
      </w:pPr>
      <w:bookmarkStart w:id="8" w:name="_17dp8vu" w:colFirst="0" w:colLast="0"/>
      <w:bookmarkEnd w:id="8"/>
      <w:r w:rsidRPr="00507300">
        <w:rPr>
          <w:rFonts w:ascii="Times New Roman" w:eastAsia="Arial" w:hAnsi="Times New Roman" w:cs="Times New Roman"/>
          <w:b/>
          <w:lang w:val="en-US"/>
        </w:rPr>
        <w:t xml:space="preserve">Figure </w:t>
      </w:r>
      <w:r w:rsidR="007858F0">
        <w:rPr>
          <w:rFonts w:ascii="Times New Roman" w:eastAsia="Arial" w:hAnsi="Times New Roman" w:cs="Times New Roman"/>
          <w:b/>
          <w:lang w:val="en-US"/>
        </w:rPr>
        <w:t>S</w:t>
      </w:r>
      <w:r w:rsidR="00D57F1F">
        <w:rPr>
          <w:rFonts w:ascii="Times New Roman" w:eastAsia="Arial" w:hAnsi="Times New Roman" w:cs="Times New Roman"/>
          <w:b/>
          <w:lang w:val="en-US"/>
        </w:rPr>
        <w:t>6</w:t>
      </w:r>
      <w:r w:rsidRPr="00507300">
        <w:rPr>
          <w:rFonts w:ascii="Times New Roman" w:eastAsia="Arial" w:hAnsi="Times New Roman" w:cs="Times New Roman"/>
          <w:b/>
          <w:lang w:val="en-US"/>
        </w:rPr>
        <w:t xml:space="preserve">. </w:t>
      </w:r>
      <w:r w:rsidRPr="00507300">
        <w:rPr>
          <w:rFonts w:ascii="Times New Roman" w:eastAsia="Arial" w:hAnsi="Times New Roman" w:cs="Times New Roman"/>
          <w:lang w:val="en-US"/>
        </w:rPr>
        <w:t xml:space="preserve">a) </w:t>
      </w:r>
      <w:r w:rsidR="000B66A5">
        <w:rPr>
          <w:rFonts w:ascii="Times New Roman" w:eastAsia="Arial" w:hAnsi="Times New Roman" w:cs="Times New Roman"/>
          <w:lang w:val="en-US"/>
        </w:rPr>
        <w:t>Changes in the</w:t>
      </w:r>
      <w:r w:rsidRPr="00507300">
        <w:rPr>
          <w:rFonts w:ascii="Times New Roman" w:eastAsia="Arial" w:hAnsi="Times New Roman" w:cs="Times New Roman"/>
          <w:lang w:val="en-US"/>
        </w:rPr>
        <w:t xml:space="preserve"> </w:t>
      </w:r>
      <w:r w:rsidR="000B66A5">
        <w:rPr>
          <w:rFonts w:ascii="Times New Roman" w:eastAsia="Arial" w:hAnsi="Times New Roman" w:cs="Times New Roman"/>
          <w:lang w:val="en-US"/>
        </w:rPr>
        <w:t xml:space="preserve">numbers </w:t>
      </w:r>
      <w:r w:rsidRPr="00507300">
        <w:rPr>
          <w:rFonts w:ascii="Times New Roman" w:eastAsia="Arial" w:hAnsi="Times New Roman" w:cs="Times New Roman"/>
          <w:lang w:val="en-US"/>
        </w:rPr>
        <w:t xml:space="preserve">of vegetated pixels in each basin experiencing </w:t>
      </w:r>
      <w:r w:rsidR="000B66A5">
        <w:rPr>
          <w:rFonts w:ascii="Times New Roman" w:eastAsia="Arial" w:hAnsi="Times New Roman" w:cs="Times New Roman"/>
          <w:lang w:val="en-US"/>
        </w:rPr>
        <w:t xml:space="preserve">an increase in the </w:t>
      </w:r>
      <w:r w:rsidRPr="00507300">
        <w:rPr>
          <w:rFonts w:ascii="Times New Roman" w:eastAsia="Arial" w:hAnsi="Times New Roman" w:cs="Times New Roman"/>
          <w:lang w:val="en-US"/>
        </w:rPr>
        <w:t xml:space="preserve">number of accumulated growing degree days (AGDD) from </w:t>
      </w:r>
      <w:r w:rsidR="00981A96">
        <w:rPr>
          <w:rFonts w:ascii="Times New Roman" w:eastAsia="Arial" w:hAnsi="Times New Roman" w:cs="Times New Roman"/>
          <w:lang w:val="en-US"/>
        </w:rPr>
        <w:t>2000–14</w:t>
      </w:r>
      <w:r w:rsidRPr="00507300">
        <w:rPr>
          <w:rFonts w:ascii="Times New Roman" w:eastAsia="Arial" w:hAnsi="Times New Roman" w:cs="Times New Roman"/>
          <w:lang w:val="en-US"/>
        </w:rPr>
        <w:t xml:space="preserve">; b) </w:t>
      </w:r>
      <w:r w:rsidR="000B66A5">
        <w:rPr>
          <w:rFonts w:ascii="Times New Roman" w:eastAsia="Arial" w:hAnsi="Times New Roman" w:cs="Times New Roman"/>
          <w:lang w:val="en-US"/>
        </w:rPr>
        <w:t xml:space="preserve">changes in the number </w:t>
      </w:r>
      <w:r w:rsidRPr="00507300">
        <w:rPr>
          <w:rFonts w:ascii="Times New Roman" w:eastAsia="Arial" w:hAnsi="Times New Roman" w:cs="Times New Roman"/>
          <w:lang w:val="en-US"/>
        </w:rPr>
        <w:t xml:space="preserve">of vegetated pixels in each basin experiencing </w:t>
      </w:r>
      <w:r w:rsidR="000B66A5">
        <w:rPr>
          <w:rFonts w:ascii="Times New Roman" w:eastAsia="Arial" w:hAnsi="Times New Roman" w:cs="Times New Roman"/>
          <w:lang w:val="en-US"/>
        </w:rPr>
        <w:t xml:space="preserve">that experienced decreasing numbers </w:t>
      </w:r>
      <w:r w:rsidRPr="00507300">
        <w:rPr>
          <w:rFonts w:ascii="Times New Roman" w:eastAsia="Arial" w:hAnsi="Times New Roman" w:cs="Times New Roman"/>
          <w:lang w:val="en-US"/>
        </w:rPr>
        <w:t xml:space="preserve">of accumulated growing degree days (AGDD) from </w:t>
      </w:r>
      <w:r w:rsidR="00981A96">
        <w:rPr>
          <w:rFonts w:ascii="Times New Roman" w:eastAsia="Arial" w:hAnsi="Times New Roman" w:cs="Times New Roman"/>
          <w:lang w:val="en-US"/>
        </w:rPr>
        <w:t>2000–14</w:t>
      </w:r>
      <w:r w:rsidR="00DA289C">
        <w:rPr>
          <w:rFonts w:ascii="Times New Roman" w:eastAsia="Arial" w:hAnsi="Times New Roman" w:cs="Times New Roman"/>
          <w:lang w:val="en-US"/>
        </w:rPr>
        <w:t>. Solid lines represent the linear trends in the data; dashed lines represent the uncertainty associated with the modeled trends</w:t>
      </w:r>
      <w:r w:rsidRPr="00507300">
        <w:rPr>
          <w:rFonts w:ascii="Times New Roman" w:eastAsia="Arial" w:hAnsi="Times New Roman" w:cs="Times New Roman"/>
          <w:lang w:val="en-US"/>
        </w:rPr>
        <w:t>.</w:t>
      </w:r>
      <w:r>
        <w:rPr>
          <w:rFonts w:ascii="Times New Roman" w:eastAsia="Arial" w:hAnsi="Times New Roman" w:cs="Times New Roman"/>
          <w:lang w:val="en-US"/>
        </w:rPr>
        <w:br/>
      </w:r>
      <w:r w:rsidRPr="00E10018">
        <w:rPr>
          <w:rFonts w:ascii="Times New Roman" w:eastAsia="Arial" w:hAnsi="Times New Roman" w:cs="Times New Roman"/>
          <w:sz w:val="22"/>
          <w:szCs w:val="22"/>
        </w:rPr>
        <w:t>Significance codes: ‘*’</w:t>
      </w:r>
      <w:r w:rsidRPr="00E10018">
        <w:rPr>
          <w:rFonts w:ascii="Times New Roman" w:eastAsia="Arial" w:hAnsi="Times New Roman" w:cs="Times New Roman"/>
          <w:i/>
          <w:sz w:val="22"/>
          <w:szCs w:val="22"/>
        </w:rPr>
        <w:t xml:space="preserve"> p</w:t>
      </w:r>
      <w:r w:rsidRPr="00E10018">
        <w:rPr>
          <w:rFonts w:ascii="Times New Roman" w:eastAsia="Arial" w:hAnsi="Times New Roman" w:cs="Times New Roman"/>
          <w:sz w:val="22"/>
          <w:szCs w:val="22"/>
        </w:rPr>
        <w:t xml:space="preserve"> ≤ 0.05</w:t>
      </w:r>
    </w:p>
    <w:p w14:paraId="6A295454" w14:textId="77777777" w:rsidR="0088184D" w:rsidRPr="00507300" w:rsidRDefault="0088184D" w:rsidP="0088184D">
      <w:pPr>
        <w:pStyle w:val="normal0"/>
        <w:rPr>
          <w:rFonts w:ascii="Times New Roman" w:hAnsi="Times New Roman" w:cs="Times New Roman"/>
          <w:lang w:val="en-US"/>
        </w:rPr>
      </w:pPr>
    </w:p>
    <w:p w14:paraId="4E951852" w14:textId="77777777" w:rsidR="0088184D" w:rsidRPr="00507300" w:rsidRDefault="0088184D" w:rsidP="0088184D">
      <w:pPr>
        <w:rPr>
          <w:lang w:val="en-US"/>
        </w:rPr>
      </w:pPr>
      <w:r>
        <w:rPr>
          <w:noProof/>
          <w:lang w:val="en-US" w:eastAsia="en-US"/>
        </w:rPr>
        <w:drawing>
          <wp:inline distT="0" distB="0" distL="0" distR="0" wp14:anchorId="482A5510" wp14:editId="1B0E28AC">
            <wp:extent cx="6121400" cy="26949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nds_TiNDVI_Basins_2016_06_14.eps"/>
                    <pic:cNvPicPr/>
                  </pic:nvPicPr>
                  <pic:blipFill>
                    <a:blip r:embed="rId12" cstate="screen">
                      <a:extLst>
                        <a:ext uri="{28A0092B-C50C-407E-A947-70E740481C1C}">
                          <a14:useLocalDpi xmlns:a14="http://schemas.microsoft.com/office/drawing/2010/main"/>
                        </a:ext>
                      </a:extLst>
                    </a:blip>
                    <a:stretch>
                      <a:fillRect/>
                    </a:stretch>
                  </pic:blipFill>
                  <pic:spPr>
                    <a:xfrm>
                      <a:off x="0" y="0"/>
                      <a:ext cx="6121400" cy="2694940"/>
                    </a:xfrm>
                    <a:prstGeom prst="rect">
                      <a:avLst/>
                    </a:prstGeom>
                  </pic:spPr>
                </pic:pic>
              </a:graphicData>
            </a:graphic>
          </wp:inline>
        </w:drawing>
      </w:r>
    </w:p>
    <w:p w14:paraId="48D2DAA7" w14:textId="2D6CFE49" w:rsidR="0088184D" w:rsidRDefault="007858F0" w:rsidP="0088184D">
      <w:pPr>
        <w:pStyle w:val="normal0"/>
        <w:spacing w:after="200"/>
        <w:rPr>
          <w:rFonts w:ascii="Times New Roman" w:eastAsia="Arial" w:hAnsi="Times New Roman" w:cs="Times New Roman"/>
          <w:lang w:val="en-US"/>
        </w:rPr>
      </w:pPr>
      <w:bookmarkStart w:id="9" w:name="_3rdcrjn" w:colFirst="0" w:colLast="0"/>
      <w:bookmarkEnd w:id="9"/>
      <w:r>
        <w:rPr>
          <w:rFonts w:ascii="Times New Roman" w:eastAsia="Arial" w:hAnsi="Times New Roman" w:cs="Times New Roman"/>
          <w:b/>
          <w:lang w:val="en-US"/>
        </w:rPr>
        <w:t>Figure S</w:t>
      </w:r>
      <w:r w:rsidR="00D57F1F">
        <w:rPr>
          <w:rFonts w:ascii="Times New Roman" w:eastAsia="Arial" w:hAnsi="Times New Roman" w:cs="Times New Roman"/>
          <w:b/>
          <w:lang w:val="en-US"/>
        </w:rPr>
        <w:t>7</w:t>
      </w:r>
      <w:r w:rsidR="0088184D" w:rsidRPr="00507300">
        <w:rPr>
          <w:rFonts w:ascii="Times New Roman" w:eastAsia="Arial" w:hAnsi="Times New Roman" w:cs="Times New Roman"/>
          <w:b/>
          <w:lang w:val="en-US"/>
        </w:rPr>
        <w:t>.</w:t>
      </w:r>
      <w:r w:rsidR="0088184D" w:rsidRPr="00507300">
        <w:rPr>
          <w:rFonts w:ascii="Times New Roman" w:eastAsia="Arial" w:hAnsi="Times New Roman" w:cs="Times New Roman"/>
          <w:lang w:val="en-US"/>
        </w:rPr>
        <w:t xml:space="preserve"> a) The percentage of vegetated pixels in each basin exhibiting above average time-integrated NDVI (TI-NDVI) from </w:t>
      </w:r>
      <w:r w:rsidR="00981A96">
        <w:rPr>
          <w:rFonts w:ascii="Times New Roman" w:eastAsia="Arial" w:hAnsi="Times New Roman" w:cs="Times New Roman"/>
          <w:lang w:val="en-US"/>
        </w:rPr>
        <w:t>2000–14</w:t>
      </w:r>
      <w:r w:rsidR="0088184D" w:rsidRPr="00507300">
        <w:rPr>
          <w:rFonts w:ascii="Times New Roman" w:eastAsia="Arial" w:hAnsi="Times New Roman" w:cs="Times New Roman"/>
          <w:lang w:val="en-US"/>
        </w:rPr>
        <w:t>; b) the percentage of vegetated pixels in each basin exhibiting lower than average time-inte</w:t>
      </w:r>
      <w:r w:rsidR="00981A96">
        <w:rPr>
          <w:rFonts w:ascii="Times New Roman" w:eastAsia="Arial" w:hAnsi="Times New Roman" w:cs="Times New Roman"/>
          <w:lang w:val="en-US"/>
        </w:rPr>
        <w:t>grated NDVI (TI-NDVI) from 2000</w:t>
      </w:r>
      <w:r w:rsidR="0088184D" w:rsidRPr="00507300">
        <w:rPr>
          <w:rFonts w:ascii="Times New Roman" w:eastAsia="Arial" w:hAnsi="Times New Roman" w:cs="Times New Roman"/>
          <w:lang w:val="en-US"/>
        </w:rPr>
        <w:t>–14.</w:t>
      </w:r>
    </w:p>
    <w:p w14:paraId="57C401CE" w14:textId="422023DC" w:rsidR="00A4540B" w:rsidRPr="00A4540B" w:rsidRDefault="00A4540B" w:rsidP="00A4540B">
      <w:pPr>
        <w:rPr>
          <w:lang w:val="en-US"/>
        </w:rPr>
      </w:pPr>
      <w:r w:rsidRPr="00A4540B">
        <w:rPr>
          <w:lang w:val="en-US"/>
        </w:rPr>
        <w:t>The results of the combined analysis for the individual basins are presented in Figures</w:t>
      </w:r>
      <w:r w:rsidR="00394E26">
        <w:rPr>
          <w:lang w:val="en-US"/>
        </w:rPr>
        <w:t xml:space="preserve"> S8</w:t>
      </w:r>
      <w:r>
        <w:rPr>
          <w:lang w:val="en-US"/>
        </w:rPr>
        <w:t xml:space="preserve"> –S</w:t>
      </w:r>
      <w:r w:rsidR="00394E26">
        <w:rPr>
          <w:lang w:val="en-US"/>
        </w:rPr>
        <w:t>10</w:t>
      </w:r>
      <w:r w:rsidRPr="00A4540B">
        <w:rPr>
          <w:lang w:val="en-US"/>
        </w:rPr>
        <w:t xml:space="preserve">. In response to a longer than average SFP, some areas in southern Greenland (basins 5 – 6, </w:t>
      </w:r>
      <w:r w:rsidR="00A20E9C">
        <w:rPr>
          <w:lang w:val="en-US"/>
        </w:rPr>
        <w:t xml:space="preserve">Fig. </w:t>
      </w:r>
      <w:r w:rsidR="006D5002">
        <w:rPr>
          <w:lang w:val="en-US"/>
        </w:rPr>
        <w:t>S</w:t>
      </w:r>
      <w:r w:rsidR="00394E26">
        <w:rPr>
          <w:lang w:val="en-US"/>
        </w:rPr>
        <w:t>8</w:t>
      </w:r>
      <w:r w:rsidRPr="00A4540B">
        <w:rPr>
          <w:lang w:val="en-US"/>
        </w:rPr>
        <w:t xml:space="preserve">a) exhibited an above average TI-NDVI, while other areas displayed reduced TI-NDVI (basins 5 – 6; </w:t>
      </w:r>
      <w:r w:rsidR="00A20E9C">
        <w:rPr>
          <w:lang w:val="en-US"/>
        </w:rPr>
        <w:t xml:space="preserve">Fig. </w:t>
      </w:r>
      <w:r w:rsidR="00394E26">
        <w:rPr>
          <w:lang w:val="en-US"/>
        </w:rPr>
        <w:t>S8</w:t>
      </w:r>
      <w:r w:rsidRPr="00A4540B">
        <w:rPr>
          <w:lang w:val="en-US"/>
        </w:rPr>
        <w:t>b). Th</w:t>
      </w:r>
      <w:r>
        <w:rPr>
          <w:lang w:val="en-US"/>
        </w:rPr>
        <w:t>e results for basin 5 (</w:t>
      </w:r>
      <w:r w:rsidR="00A20E9C">
        <w:rPr>
          <w:lang w:val="en-US"/>
        </w:rPr>
        <w:t xml:space="preserve">Fig. </w:t>
      </w:r>
      <w:r>
        <w:rPr>
          <w:lang w:val="en-US"/>
        </w:rPr>
        <w:t>S</w:t>
      </w:r>
      <w:r w:rsidR="00394E26">
        <w:rPr>
          <w:lang w:val="en-US"/>
        </w:rPr>
        <w:t>8</w:t>
      </w:r>
      <w:r w:rsidRPr="00A4540B">
        <w:rPr>
          <w:lang w:val="en-US"/>
        </w:rPr>
        <w:t xml:space="preserve">a – b) were statistically significant. As also noted above, </w:t>
      </w:r>
      <w:r w:rsidRPr="00A4540B">
        <w:t>throughout the study period most basins experienced both above average SFP and an above average number of AGDDs. Th</w:t>
      </w:r>
      <w:r>
        <w:t>e results for basin 5 (</w:t>
      </w:r>
      <w:r w:rsidR="00A20E9C">
        <w:t xml:space="preserve">Fig. </w:t>
      </w:r>
      <w:r w:rsidR="00394E26">
        <w:t>S9</w:t>
      </w:r>
      <w:r w:rsidRPr="00A4540B">
        <w:t xml:space="preserve">a – b) are statistically significant. </w:t>
      </w:r>
      <w:r w:rsidR="00A20E9C">
        <w:rPr>
          <w:lang w:val="en-US"/>
        </w:rPr>
        <w:t xml:space="preserve">Fig. </w:t>
      </w:r>
      <w:r>
        <w:rPr>
          <w:lang w:val="en-US"/>
        </w:rPr>
        <w:t>S</w:t>
      </w:r>
      <w:r w:rsidR="00394E26">
        <w:rPr>
          <w:lang w:val="en-US"/>
        </w:rPr>
        <w:t>10</w:t>
      </w:r>
      <w:r w:rsidRPr="00A4540B">
        <w:rPr>
          <w:lang w:val="en-US"/>
        </w:rPr>
        <w:t xml:space="preserve">a indicates that most basins, except for the northern most </w:t>
      </w:r>
      <w:proofErr w:type="gramStart"/>
      <w:r w:rsidRPr="00A4540B">
        <w:rPr>
          <w:lang w:val="en-US"/>
        </w:rPr>
        <w:t>basin</w:t>
      </w:r>
      <w:proofErr w:type="gramEnd"/>
      <w:r w:rsidRPr="00A4540B">
        <w:rPr>
          <w:lang w:val="en-US"/>
        </w:rPr>
        <w:t xml:space="preserve"> (8) experienced an increase in the proportion of pixels experiencing both an increase in the number of AGDDs and also exhibiting </w:t>
      </w:r>
      <w:r>
        <w:rPr>
          <w:lang w:val="en-US"/>
        </w:rPr>
        <w:t xml:space="preserve">above average TI-NDVI. </w:t>
      </w:r>
      <w:r w:rsidR="00A20E9C">
        <w:rPr>
          <w:lang w:val="en-US"/>
        </w:rPr>
        <w:t xml:space="preserve">Fig. </w:t>
      </w:r>
      <w:r w:rsidR="00394E26">
        <w:rPr>
          <w:lang w:val="en-US"/>
        </w:rPr>
        <w:t>S10</w:t>
      </w:r>
      <w:r w:rsidRPr="00A4540B">
        <w:rPr>
          <w:lang w:val="en-US"/>
        </w:rPr>
        <w:t xml:space="preserve">b indicates that all of the basins experienced an increase in the number of pixels that experienced an above average number of AGDDs while also experiencing a below average TI-NDVI. </w:t>
      </w:r>
      <w:r w:rsidR="00DA289C">
        <w:rPr>
          <w:lang w:val="en-US"/>
        </w:rPr>
        <w:t xml:space="preserve"> </w:t>
      </w:r>
      <w:r w:rsidR="00DA289C">
        <w:rPr>
          <w:rFonts w:ascii="Times New Roman" w:eastAsia="Arial" w:hAnsi="Times New Roman" w:cs="Times New Roman"/>
          <w:lang w:val="en-US"/>
        </w:rPr>
        <w:t>Solid lines represent the linear trends in the data; dashed lines represent the uncertainty associated with the modeled trends</w:t>
      </w:r>
    </w:p>
    <w:p w14:paraId="3988FFA4" w14:textId="77777777" w:rsidR="00A4540B" w:rsidRPr="00507300" w:rsidRDefault="00A4540B" w:rsidP="0088184D">
      <w:pPr>
        <w:pStyle w:val="normal0"/>
        <w:spacing w:after="200"/>
        <w:rPr>
          <w:rFonts w:ascii="Times New Roman" w:hAnsi="Times New Roman" w:cs="Times New Roman"/>
          <w:lang w:val="en-US"/>
        </w:rPr>
      </w:pPr>
    </w:p>
    <w:p w14:paraId="5C1B22D7" w14:textId="77777777" w:rsidR="0088184D" w:rsidRPr="00507300" w:rsidRDefault="0088184D" w:rsidP="0088184D">
      <w:pPr>
        <w:rPr>
          <w:lang w:val="en-US"/>
        </w:rPr>
      </w:pPr>
      <w:r>
        <w:rPr>
          <w:noProof/>
          <w:lang w:val="en-US" w:eastAsia="en-US"/>
        </w:rPr>
        <w:drawing>
          <wp:inline distT="0" distB="0" distL="0" distR="0" wp14:anchorId="093B0A81" wp14:editId="390EBD4C">
            <wp:extent cx="6121400" cy="27044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_neg_sfp_ndvi_basins_2016_06_10.eps"/>
                    <pic:cNvPicPr/>
                  </pic:nvPicPr>
                  <pic:blipFill>
                    <a:blip r:embed="rId13" cstate="screen">
                      <a:extLst>
                        <a:ext uri="{28A0092B-C50C-407E-A947-70E740481C1C}">
                          <a14:useLocalDpi xmlns:a14="http://schemas.microsoft.com/office/drawing/2010/main"/>
                        </a:ext>
                      </a:extLst>
                    </a:blip>
                    <a:stretch>
                      <a:fillRect/>
                    </a:stretch>
                  </pic:blipFill>
                  <pic:spPr>
                    <a:xfrm>
                      <a:off x="0" y="0"/>
                      <a:ext cx="6121400" cy="2704465"/>
                    </a:xfrm>
                    <a:prstGeom prst="rect">
                      <a:avLst/>
                    </a:prstGeom>
                  </pic:spPr>
                </pic:pic>
              </a:graphicData>
            </a:graphic>
          </wp:inline>
        </w:drawing>
      </w:r>
    </w:p>
    <w:p w14:paraId="18147AB5" w14:textId="1A6D9DCB" w:rsidR="0088184D" w:rsidRPr="005358E2" w:rsidRDefault="00D57F1F" w:rsidP="0088184D">
      <w:pPr>
        <w:pStyle w:val="normal0"/>
        <w:spacing w:after="200"/>
        <w:rPr>
          <w:rFonts w:ascii="Times New Roman" w:eastAsia="Arial" w:hAnsi="Times New Roman" w:cs="Times New Roman"/>
          <w:lang w:val="en-US"/>
        </w:rPr>
      </w:pPr>
      <w:bookmarkStart w:id="10" w:name="_26in1rg" w:colFirst="0" w:colLast="0"/>
      <w:bookmarkEnd w:id="10"/>
      <w:r>
        <w:rPr>
          <w:rFonts w:ascii="Times New Roman" w:eastAsia="Arial" w:hAnsi="Times New Roman" w:cs="Times New Roman"/>
          <w:b/>
          <w:lang w:val="en-US"/>
        </w:rPr>
        <w:t>Figure S8</w:t>
      </w:r>
      <w:r w:rsidR="0088184D" w:rsidRPr="00507300">
        <w:rPr>
          <w:rFonts w:ascii="Times New Roman" w:eastAsia="Arial" w:hAnsi="Times New Roman" w:cs="Times New Roman"/>
          <w:b/>
          <w:lang w:val="en-US"/>
        </w:rPr>
        <w:t>.</w:t>
      </w:r>
      <w:r w:rsidR="0088184D" w:rsidRPr="00507300">
        <w:rPr>
          <w:rFonts w:ascii="Times New Roman" w:eastAsia="Arial" w:hAnsi="Times New Roman" w:cs="Times New Roman"/>
          <w:lang w:val="en-US"/>
        </w:rPr>
        <w:t xml:space="preserve"> a) Percentage of vegetation pixels in each basin above average duration of the snow free period (SFP) and exhibiting above average time-integrated NDVI (TI-NDVI); b) percentage of vegetation pixels in each basin above average duration of the SFP and exhibiting below average TI-NDVI</w:t>
      </w:r>
      <w:r w:rsidR="0088184D">
        <w:rPr>
          <w:rFonts w:ascii="Times New Roman" w:eastAsia="Arial" w:hAnsi="Times New Roman" w:cs="Times New Roman"/>
          <w:lang w:val="en-US"/>
        </w:rPr>
        <w:t>.</w:t>
      </w:r>
      <w:r w:rsidR="00DA289C">
        <w:rPr>
          <w:rFonts w:ascii="Times New Roman" w:eastAsia="Arial" w:hAnsi="Times New Roman" w:cs="Times New Roman"/>
          <w:lang w:val="en-US"/>
        </w:rPr>
        <w:t xml:space="preserve"> Solid lines represent the linear trends in the data; dashed lines represent the uncertainty associated with the modeled trends</w:t>
      </w:r>
      <w:r w:rsidR="0088184D">
        <w:rPr>
          <w:rFonts w:ascii="Times New Roman" w:eastAsia="Arial" w:hAnsi="Times New Roman" w:cs="Times New Roman"/>
          <w:lang w:val="en-US"/>
        </w:rPr>
        <w:br/>
      </w:r>
      <w:r w:rsidR="0088184D" w:rsidRPr="00E10018">
        <w:rPr>
          <w:rFonts w:ascii="Times New Roman" w:eastAsia="Arial" w:hAnsi="Times New Roman" w:cs="Times New Roman"/>
          <w:sz w:val="22"/>
          <w:szCs w:val="22"/>
        </w:rPr>
        <w:t>Significance codes: ‘*’</w:t>
      </w:r>
      <w:r w:rsidR="0088184D" w:rsidRPr="00E10018">
        <w:rPr>
          <w:rFonts w:ascii="Times New Roman" w:eastAsia="Arial" w:hAnsi="Times New Roman" w:cs="Times New Roman"/>
          <w:i/>
          <w:sz w:val="22"/>
          <w:szCs w:val="22"/>
        </w:rPr>
        <w:t xml:space="preserve"> p</w:t>
      </w:r>
      <w:r w:rsidR="0088184D" w:rsidRPr="00E10018">
        <w:rPr>
          <w:rFonts w:ascii="Times New Roman" w:eastAsia="Arial" w:hAnsi="Times New Roman" w:cs="Times New Roman"/>
          <w:sz w:val="22"/>
          <w:szCs w:val="22"/>
        </w:rPr>
        <w:t xml:space="preserve"> ≤ 0.05</w:t>
      </w:r>
    </w:p>
    <w:p w14:paraId="64B43B1B" w14:textId="77777777" w:rsidR="0088184D" w:rsidRPr="00507300" w:rsidRDefault="0088184D" w:rsidP="0088184D">
      <w:pPr>
        <w:pStyle w:val="normal0"/>
        <w:rPr>
          <w:rFonts w:ascii="Times New Roman" w:hAnsi="Times New Roman" w:cs="Times New Roman"/>
          <w:lang w:val="en-US"/>
        </w:rPr>
      </w:pPr>
    </w:p>
    <w:p w14:paraId="714C7457" w14:textId="77777777" w:rsidR="0088184D" w:rsidRPr="00507300" w:rsidRDefault="0088184D" w:rsidP="001B58D6">
      <w:pPr>
        <w:rPr>
          <w:lang w:val="en-US"/>
        </w:rPr>
      </w:pPr>
      <w:r>
        <w:rPr>
          <w:noProof/>
          <w:lang w:val="en-US" w:eastAsia="en-US"/>
        </w:rPr>
        <w:drawing>
          <wp:inline distT="0" distB="0" distL="0" distR="0" wp14:anchorId="0580DC90" wp14:editId="3B9A2C85">
            <wp:extent cx="6121400" cy="27247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_neg_sfp_agdd_basins_2016_06_10.eps"/>
                    <pic:cNvPicPr/>
                  </pic:nvPicPr>
                  <pic:blipFill>
                    <a:blip r:embed="rId14" cstate="screen">
                      <a:extLst>
                        <a:ext uri="{28A0092B-C50C-407E-A947-70E740481C1C}">
                          <a14:useLocalDpi xmlns:a14="http://schemas.microsoft.com/office/drawing/2010/main"/>
                        </a:ext>
                      </a:extLst>
                    </a:blip>
                    <a:stretch>
                      <a:fillRect/>
                    </a:stretch>
                  </pic:blipFill>
                  <pic:spPr>
                    <a:xfrm>
                      <a:off x="0" y="0"/>
                      <a:ext cx="6121400" cy="2724785"/>
                    </a:xfrm>
                    <a:prstGeom prst="rect">
                      <a:avLst/>
                    </a:prstGeom>
                  </pic:spPr>
                </pic:pic>
              </a:graphicData>
            </a:graphic>
          </wp:inline>
        </w:drawing>
      </w:r>
    </w:p>
    <w:p w14:paraId="1D181F46" w14:textId="30E29DEA" w:rsidR="0088184D" w:rsidRPr="00507300" w:rsidRDefault="003245EC" w:rsidP="0088184D">
      <w:pPr>
        <w:pStyle w:val="normal0"/>
        <w:spacing w:after="200"/>
        <w:rPr>
          <w:rFonts w:ascii="Times New Roman" w:hAnsi="Times New Roman" w:cs="Times New Roman"/>
          <w:lang w:val="en-US"/>
        </w:rPr>
      </w:pPr>
      <w:bookmarkStart w:id="11" w:name="_lnxbz9" w:colFirst="0" w:colLast="0"/>
      <w:bookmarkEnd w:id="11"/>
      <w:r>
        <w:rPr>
          <w:rFonts w:ascii="Times New Roman" w:eastAsia="Arial" w:hAnsi="Times New Roman" w:cs="Times New Roman"/>
          <w:b/>
          <w:lang w:val="en-US"/>
        </w:rPr>
        <w:t>Figure S</w:t>
      </w:r>
      <w:r w:rsidR="00D57F1F">
        <w:rPr>
          <w:rFonts w:ascii="Times New Roman" w:eastAsia="Arial" w:hAnsi="Times New Roman" w:cs="Times New Roman"/>
          <w:b/>
          <w:lang w:val="en-US"/>
        </w:rPr>
        <w:t>9</w:t>
      </w:r>
      <w:r w:rsidR="0088184D" w:rsidRPr="00507300">
        <w:rPr>
          <w:rFonts w:ascii="Times New Roman" w:eastAsia="Arial" w:hAnsi="Times New Roman" w:cs="Times New Roman"/>
          <w:b/>
          <w:lang w:val="en-US"/>
        </w:rPr>
        <w:t xml:space="preserve">. </w:t>
      </w:r>
      <w:r w:rsidR="0088184D" w:rsidRPr="00507300">
        <w:rPr>
          <w:rFonts w:ascii="Times New Roman" w:eastAsia="Arial" w:hAnsi="Times New Roman" w:cs="Times New Roman"/>
          <w:lang w:val="en-US"/>
        </w:rPr>
        <w:t>a) Percentage of vegetation pixels in each basin experiencing both above average SFP and above average accumulated growing degree days (AGDD); b) percentage of vegetation pixels in each basin experiencing both above average SFP and below average AGDD.</w:t>
      </w:r>
      <w:r w:rsidR="00DA289C">
        <w:rPr>
          <w:rFonts w:ascii="Times New Roman" w:eastAsia="Arial" w:hAnsi="Times New Roman" w:cs="Times New Roman"/>
          <w:lang w:val="en-US"/>
        </w:rPr>
        <w:t xml:space="preserve"> Solid lines represent the linear trends in the data; dashed lines represent the uncertainty associated with the modeled trends</w:t>
      </w:r>
      <w:r w:rsidR="0088184D">
        <w:rPr>
          <w:rFonts w:ascii="Times New Roman" w:eastAsia="Arial" w:hAnsi="Times New Roman" w:cs="Times New Roman"/>
          <w:lang w:val="en-US"/>
        </w:rPr>
        <w:br/>
      </w:r>
      <w:r w:rsidR="0088184D" w:rsidRPr="00E10018">
        <w:rPr>
          <w:rFonts w:ascii="Times New Roman" w:eastAsia="Arial" w:hAnsi="Times New Roman" w:cs="Times New Roman"/>
          <w:sz w:val="22"/>
          <w:szCs w:val="22"/>
        </w:rPr>
        <w:t>Significance codes: ‘*’</w:t>
      </w:r>
      <w:r w:rsidR="0088184D" w:rsidRPr="00E10018">
        <w:rPr>
          <w:rFonts w:ascii="Times New Roman" w:eastAsia="Arial" w:hAnsi="Times New Roman" w:cs="Times New Roman"/>
          <w:i/>
          <w:sz w:val="22"/>
          <w:szCs w:val="22"/>
        </w:rPr>
        <w:t xml:space="preserve"> p</w:t>
      </w:r>
      <w:r w:rsidR="0088184D" w:rsidRPr="00E10018">
        <w:rPr>
          <w:rFonts w:ascii="Times New Roman" w:eastAsia="Arial" w:hAnsi="Times New Roman" w:cs="Times New Roman"/>
          <w:sz w:val="22"/>
          <w:szCs w:val="22"/>
        </w:rPr>
        <w:t xml:space="preserve"> ≤ 0.05</w:t>
      </w:r>
    </w:p>
    <w:p w14:paraId="5C8E4BBB" w14:textId="77777777" w:rsidR="001B58D6" w:rsidRPr="00507300" w:rsidRDefault="001B58D6" w:rsidP="001B58D6">
      <w:pPr>
        <w:rPr>
          <w:lang w:val="en-US"/>
        </w:rPr>
      </w:pPr>
      <w:r>
        <w:rPr>
          <w:noProof/>
          <w:lang w:val="en-US" w:eastAsia="en-US"/>
        </w:rPr>
        <w:drawing>
          <wp:inline distT="0" distB="0" distL="0" distR="0" wp14:anchorId="38ED5B53" wp14:editId="04D55D57">
            <wp:extent cx="6121400" cy="27266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_neg_agdd_gpp_basins_2016_06_10.eps"/>
                    <pic:cNvPicPr/>
                  </pic:nvPicPr>
                  <pic:blipFill>
                    <a:blip r:embed="rId15" cstate="screen">
                      <a:extLst>
                        <a:ext uri="{28A0092B-C50C-407E-A947-70E740481C1C}">
                          <a14:useLocalDpi xmlns:a14="http://schemas.microsoft.com/office/drawing/2010/main"/>
                        </a:ext>
                      </a:extLst>
                    </a:blip>
                    <a:stretch>
                      <a:fillRect/>
                    </a:stretch>
                  </pic:blipFill>
                  <pic:spPr>
                    <a:xfrm>
                      <a:off x="0" y="0"/>
                      <a:ext cx="6121400" cy="2726690"/>
                    </a:xfrm>
                    <a:prstGeom prst="rect">
                      <a:avLst/>
                    </a:prstGeom>
                  </pic:spPr>
                </pic:pic>
              </a:graphicData>
            </a:graphic>
          </wp:inline>
        </w:drawing>
      </w:r>
    </w:p>
    <w:p w14:paraId="59FC2391" w14:textId="68F436D9" w:rsidR="001B58D6" w:rsidRPr="00507300" w:rsidRDefault="00D57F1F" w:rsidP="001B58D6">
      <w:pPr>
        <w:pStyle w:val="normal0"/>
        <w:spacing w:after="200"/>
        <w:rPr>
          <w:rFonts w:ascii="Times New Roman" w:hAnsi="Times New Roman" w:cs="Times New Roman"/>
          <w:lang w:val="en-US"/>
        </w:rPr>
      </w:pPr>
      <w:bookmarkStart w:id="12" w:name="_35nkun2" w:colFirst="0" w:colLast="0"/>
      <w:bookmarkEnd w:id="12"/>
      <w:r>
        <w:rPr>
          <w:rFonts w:ascii="Times New Roman" w:eastAsia="Arial" w:hAnsi="Times New Roman" w:cs="Times New Roman"/>
          <w:b/>
          <w:lang w:val="en-US"/>
        </w:rPr>
        <w:t>Figure S10</w:t>
      </w:r>
      <w:r w:rsidR="001B58D6" w:rsidRPr="00507300">
        <w:rPr>
          <w:rFonts w:ascii="Times New Roman" w:eastAsia="Arial" w:hAnsi="Times New Roman" w:cs="Times New Roman"/>
          <w:b/>
          <w:lang w:val="en-US"/>
        </w:rPr>
        <w:t xml:space="preserve">. </w:t>
      </w:r>
      <w:r w:rsidR="001B58D6" w:rsidRPr="00507300">
        <w:rPr>
          <w:rFonts w:ascii="Times New Roman" w:eastAsia="Arial" w:hAnsi="Times New Roman" w:cs="Times New Roman"/>
          <w:lang w:val="en-US"/>
        </w:rPr>
        <w:t>a) Percentage of vegetation pixels in each basin experiencing above average AGDD and exhibiting above average TI-NDVI; b) percentage of vegetation pixels in each basin experiencing above average AGDD and exhibiting b</w:t>
      </w:r>
      <w:r w:rsidR="001B58D6">
        <w:rPr>
          <w:rFonts w:ascii="Times New Roman" w:eastAsia="Arial" w:hAnsi="Times New Roman" w:cs="Times New Roman"/>
          <w:lang w:val="en-US"/>
        </w:rPr>
        <w:t>e</w:t>
      </w:r>
      <w:r w:rsidR="001B58D6" w:rsidRPr="00507300">
        <w:rPr>
          <w:rFonts w:ascii="Times New Roman" w:eastAsia="Arial" w:hAnsi="Times New Roman" w:cs="Times New Roman"/>
          <w:lang w:val="en-US"/>
        </w:rPr>
        <w:t>low average TI-NDVI.</w:t>
      </w:r>
      <w:r w:rsidR="00DA289C">
        <w:rPr>
          <w:rFonts w:ascii="Times New Roman" w:eastAsia="Arial" w:hAnsi="Times New Roman" w:cs="Times New Roman"/>
          <w:lang w:val="en-US"/>
        </w:rPr>
        <w:t xml:space="preserve"> Solid lines represent the linear trends in the data; dashed lines represent the uncertainty associated with the modeled trends</w:t>
      </w:r>
      <w:r w:rsidR="001B58D6">
        <w:rPr>
          <w:rFonts w:ascii="Times New Roman" w:eastAsia="Arial" w:hAnsi="Times New Roman" w:cs="Times New Roman"/>
          <w:lang w:val="en-US"/>
        </w:rPr>
        <w:br/>
      </w:r>
      <w:r w:rsidR="001B58D6" w:rsidRPr="00E10018">
        <w:rPr>
          <w:rFonts w:ascii="Times New Roman" w:eastAsia="Arial" w:hAnsi="Times New Roman" w:cs="Times New Roman"/>
          <w:sz w:val="22"/>
          <w:szCs w:val="22"/>
        </w:rPr>
        <w:t>Significance codes: ‘**’</w:t>
      </w:r>
      <w:r w:rsidR="001B58D6" w:rsidRPr="00E10018">
        <w:rPr>
          <w:rFonts w:ascii="Times New Roman" w:eastAsia="Arial" w:hAnsi="Times New Roman" w:cs="Times New Roman"/>
          <w:i/>
          <w:sz w:val="22"/>
          <w:szCs w:val="22"/>
        </w:rPr>
        <w:t xml:space="preserve"> p</w:t>
      </w:r>
      <w:r w:rsidR="001B58D6" w:rsidRPr="00E10018">
        <w:rPr>
          <w:rFonts w:ascii="Times New Roman" w:eastAsia="Arial" w:hAnsi="Times New Roman" w:cs="Times New Roman"/>
          <w:sz w:val="22"/>
          <w:szCs w:val="22"/>
        </w:rPr>
        <w:t xml:space="preserve"> ≤ 0.01; ‘*’</w:t>
      </w:r>
      <w:r w:rsidR="001B58D6" w:rsidRPr="00E10018">
        <w:rPr>
          <w:rFonts w:ascii="Times New Roman" w:eastAsia="Arial" w:hAnsi="Times New Roman" w:cs="Times New Roman"/>
          <w:i/>
          <w:sz w:val="22"/>
          <w:szCs w:val="22"/>
        </w:rPr>
        <w:t xml:space="preserve"> p</w:t>
      </w:r>
      <w:r w:rsidR="001B58D6" w:rsidRPr="00E10018">
        <w:rPr>
          <w:rFonts w:ascii="Times New Roman" w:eastAsia="Arial" w:hAnsi="Times New Roman" w:cs="Times New Roman"/>
          <w:sz w:val="22"/>
          <w:szCs w:val="22"/>
        </w:rPr>
        <w:t xml:space="preserve"> ≤ 0.05</w:t>
      </w:r>
    </w:p>
    <w:p w14:paraId="41748909" w14:textId="77777777" w:rsidR="0088184D" w:rsidRDefault="0088184D"/>
    <w:p w14:paraId="2EB9F87C" w14:textId="77777777" w:rsidR="0088184D" w:rsidRDefault="0088184D"/>
    <w:p w14:paraId="61E488B9" w14:textId="77777777" w:rsidR="007E6891" w:rsidRDefault="007E6891">
      <w:pPr>
        <w:sectPr w:rsidR="007E6891" w:rsidSect="0088184D">
          <w:pgSz w:w="11900" w:h="16840"/>
          <w:pgMar w:top="1440" w:right="1440" w:bottom="1440" w:left="1440" w:header="709" w:footer="709" w:gutter="0"/>
          <w:cols w:space="708"/>
        </w:sectPr>
      </w:pPr>
    </w:p>
    <w:p w14:paraId="22491850" w14:textId="2A31881A" w:rsidR="0088184D" w:rsidRDefault="00800914">
      <w:r>
        <w:rPr>
          <w:noProof/>
          <w:lang w:val="en-US" w:eastAsia="en-US"/>
        </w:rPr>
        <w:drawing>
          <wp:inline distT="0" distB="0" distL="0" distR="0" wp14:anchorId="0D8E63FA" wp14:editId="0EEB9738">
            <wp:extent cx="7878174" cy="1296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1_A3.tif"/>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7878174" cy="12960000"/>
                    </a:xfrm>
                    <a:prstGeom prst="rect">
                      <a:avLst/>
                    </a:prstGeom>
                    <a:ln>
                      <a:noFill/>
                    </a:ln>
                    <a:extLst>
                      <a:ext uri="{53640926-AAD7-44d8-BBD7-CCE9431645EC}">
                        <a14:shadowObscured xmlns:a14="http://schemas.microsoft.com/office/drawing/2010/main"/>
                      </a:ext>
                    </a:extLst>
                  </pic:spPr>
                </pic:pic>
              </a:graphicData>
            </a:graphic>
          </wp:inline>
        </w:drawing>
      </w:r>
    </w:p>
    <w:p w14:paraId="69368529" w14:textId="7E12349F" w:rsidR="00C402B6" w:rsidRPr="00800914" w:rsidRDefault="007E6891">
      <w:pPr>
        <w:rPr>
          <w:rFonts w:ascii="Times New Roman" w:eastAsia="Arial" w:hAnsi="Times New Roman" w:cs="Times New Roman"/>
          <w:lang w:val="en-US"/>
        </w:rPr>
      </w:pPr>
      <w:r>
        <w:rPr>
          <w:rFonts w:ascii="Times New Roman" w:eastAsia="Arial" w:hAnsi="Times New Roman" w:cs="Times New Roman"/>
          <w:b/>
          <w:lang w:val="en-US"/>
        </w:rPr>
        <w:t xml:space="preserve">Figure S11. </w:t>
      </w:r>
      <w:proofErr w:type="gramStart"/>
      <w:r w:rsidR="00800914">
        <w:rPr>
          <w:rFonts w:ascii="Times New Roman" w:eastAsia="Arial" w:hAnsi="Times New Roman" w:cs="Times New Roman"/>
          <w:lang w:val="en-US"/>
        </w:rPr>
        <w:t xml:space="preserve">The enlarged version of Figure 6 from the </w:t>
      </w:r>
      <w:r>
        <w:rPr>
          <w:rFonts w:ascii="Times New Roman" w:eastAsia="Arial" w:hAnsi="Times New Roman" w:cs="Times New Roman"/>
          <w:lang w:val="en-US"/>
        </w:rPr>
        <w:t>manuscript.</w:t>
      </w:r>
      <w:proofErr w:type="gramEnd"/>
      <w:r>
        <w:rPr>
          <w:rFonts w:ascii="Times New Roman" w:eastAsia="Arial" w:hAnsi="Times New Roman" w:cs="Times New Roman"/>
          <w:lang w:val="en-US"/>
        </w:rPr>
        <w:t xml:space="preserve"> </w:t>
      </w:r>
      <w:r w:rsidRPr="007E6891">
        <w:rPr>
          <w:rFonts w:ascii="Times New Roman" w:eastAsia="Arial" w:hAnsi="Times New Roman" w:cs="Times New Roman"/>
          <w:lang w:val="en-US"/>
        </w:rPr>
        <w:t>Mapped results for the combined analysis representing the: a) descriptors for time-integrated NDVI (TI-NDVI) and duration of the snow-free period (SFP); b) accumulated growing degree-days (AGDD) and duration of the snow-free period (SFP); and c) accumulated growing degree-days (AGDD) and time-integrated NDVI (TI-NDVI). Patterns were representative of a cool (2000), an average (2004) and a warm year (2010) within the time-series. A larger version of this map is included in the Supplementary Materials</w:t>
      </w:r>
    </w:p>
    <w:sectPr w:rsidR="00C402B6" w:rsidRPr="00800914" w:rsidSect="00800914">
      <w:pgSz w:w="16840" w:h="23820"/>
      <w:pgMar w:top="1134" w:right="1134" w:bottom="1134" w:left="1134" w:header="284" w:footer="284"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0A6A2D"/>
    <w:multiLevelType w:val="multilevel"/>
    <w:tmpl w:val="2DCC731A"/>
    <w:lvl w:ilvl="0">
      <w:start w:val="1"/>
      <w:numFmt w:val="decimal"/>
      <w:pStyle w:val="Heading1"/>
      <w:lvlText w:val="Chapter %1 - "/>
      <w:lvlJc w:val="left"/>
      <w:pPr>
        <w:ind w:left="357" w:hanging="357"/>
      </w:pPr>
      <w:rPr>
        <w:rFonts w:hint="default"/>
      </w:rPr>
    </w:lvl>
    <w:lvl w:ilvl="1">
      <w:start w:val="1"/>
      <w:numFmt w:val="decimal"/>
      <w:pStyle w:val="Heading2"/>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60DE"/>
    <w:rsid w:val="000466CF"/>
    <w:rsid w:val="00075B75"/>
    <w:rsid w:val="000B66A5"/>
    <w:rsid w:val="00101F4E"/>
    <w:rsid w:val="00150DE7"/>
    <w:rsid w:val="001B58D6"/>
    <w:rsid w:val="001C60DE"/>
    <w:rsid w:val="001D473F"/>
    <w:rsid w:val="001F7F0F"/>
    <w:rsid w:val="00321FB2"/>
    <w:rsid w:val="003245EC"/>
    <w:rsid w:val="00394E26"/>
    <w:rsid w:val="003A622B"/>
    <w:rsid w:val="0052560E"/>
    <w:rsid w:val="005360F4"/>
    <w:rsid w:val="00557D6F"/>
    <w:rsid w:val="0060626E"/>
    <w:rsid w:val="00651983"/>
    <w:rsid w:val="006A4CC4"/>
    <w:rsid w:val="006D5002"/>
    <w:rsid w:val="006D61AF"/>
    <w:rsid w:val="006E447D"/>
    <w:rsid w:val="00704F23"/>
    <w:rsid w:val="007858F0"/>
    <w:rsid w:val="007E6891"/>
    <w:rsid w:val="00800914"/>
    <w:rsid w:val="00810F7D"/>
    <w:rsid w:val="00825880"/>
    <w:rsid w:val="0088184D"/>
    <w:rsid w:val="008B15FB"/>
    <w:rsid w:val="00981A96"/>
    <w:rsid w:val="00A20E9C"/>
    <w:rsid w:val="00A21ED4"/>
    <w:rsid w:val="00A4540B"/>
    <w:rsid w:val="00AB0E10"/>
    <w:rsid w:val="00B117D8"/>
    <w:rsid w:val="00B25112"/>
    <w:rsid w:val="00BF31D6"/>
    <w:rsid w:val="00C3783A"/>
    <w:rsid w:val="00C402B6"/>
    <w:rsid w:val="00CA3A8D"/>
    <w:rsid w:val="00D37B8C"/>
    <w:rsid w:val="00D57F1F"/>
    <w:rsid w:val="00DA289C"/>
    <w:rsid w:val="00DE14DB"/>
    <w:rsid w:val="00EA36FD"/>
    <w:rsid w:val="00ED2B04"/>
    <w:rsid w:val="00F00E82"/>
    <w:rsid w:val="00F4758F"/>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472B39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A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next w:val="Normal"/>
    <w:link w:val="Heading1Char"/>
    <w:uiPriority w:val="9"/>
    <w:qFormat/>
    <w:rsid w:val="00101F4E"/>
    <w:pPr>
      <w:keepNext/>
      <w:keepLines/>
      <w:numPr>
        <w:numId w:val="2"/>
      </w:numPr>
      <w:tabs>
        <w:tab w:val="left" w:pos="0"/>
        <w:tab w:val="left" w:pos="641"/>
        <w:tab w:val="left" w:pos="1276"/>
        <w:tab w:val="left" w:pos="1843"/>
      </w:tabs>
      <w:spacing w:after="240"/>
      <w:outlineLvl w:val="0"/>
    </w:pPr>
    <w:rPr>
      <w:rFonts w:asciiTheme="majorHAnsi" w:eastAsiaTheme="majorEastAsia" w:hAnsiTheme="majorHAnsi" w:cstheme="majorBidi"/>
      <w:b/>
      <w:bCs/>
      <w:color w:val="000000" w:themeColor="text1"/>
      <w:sz w:val="32"/>
      <w:szCs w:val="28"/>
      <w:lang w:eastAsia="en-US"/>
    </w:rPr>
  </w:style>
  <w:style w:type="paragraph" w:styleId="Heading2">
    <w:name w:val="heading 2"/>
    <w:basedOn w:val="Heading1"/>
    <w:next w:val="Normal"/>
    <w:link w:val="Heading2Char"/>
    <w:uiPriority w:val="9"/>
    <w:unhideWhenUsed/>
    <w:qFormat/>
    <w:rsid w:val="00101F4E"/>
    <w:pPr>
      <w:numPr>
        <w:ilvl w:val="1"/>
      </w:numPr>
      <w:tabs>
        <w:tab w:val="clear" w:pos="641"/>
        <w:tab w:val="clear" w:pos="1276"/>
        <w:tab w:val="left" w:pos="284"/>
        <w:tab w:val="left" w:pos="851"/>
      </w:tabs>
      <w:spacing w:before="120" w:after="120"/>
      <w:outlineLvl w:val="1"/>
    </w:pPr>
    <w:rPr>
      <w:bCs w:val="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4E"/>
    <w:rPr>
      <w:rFonts w:asciiTheme="majorHAnsi" w:eastAsiaTheme="majorEastAsia" w:hAnsiTheme="majorHAnsi" w:cstheme="majorBidi"/>
      <w:b/>
      <w:bCs/>
      <w:color w:val="000000" w:themeColor="text1"/>
      <w:sz w:val="32"/>
      <w:szCs w:val="28"/>
      <w:lang w:eastAsia="en-US"/>
    </w:rPr>
  </w:style>
  <w:style w:type="character" w:customStyle="1" w:styleId="Heading2Char">
    <w:name w:val="Heading 2 Char"/>
    <w:basedOn w:val="DefaultParagraphFont"/>
    <w:link w:val="Heading2"/>
    <w:uiPriority w:val="9"/>
    <w:rsid w:val="00101F4E"/>
    <w:rPr>
      <w:rFonts w:asciiTheme="majorHAnsi" w:eastAsiaTheme="majorEastAsia" w:hAnsiTheme="majorHAnsi" w:cstheme="majorBidi"/>
      <w:b/>
      <w:color w:val="000000" w:themeColor="text1"/>
      <w:sz w:val="26"/>
      <w:szCs w:val="26"/>
      <w:lang w:eastAsia="en-US"/>
    </w:rPr>
  </w:style>
  <w:style w:type="paragraph" w:customStyle="1" w:styleId="normal0">
    <w:name w:val="normal"/>
    <w:rsid w:val="0088184D"/>
    <w:rPr>
      <w:rFonts w:ascii="Cambria" w:eastAsia="Cambria" w:hAnsi="Cambria" w:cs="Cambria"/>
      <w:color w:val="000000"/>
      <w:sz w:val="24"/>
      <w:szCs w:val="24"/>
      <w:lang w:eastAsia="en-US"/>
    </w:rPr>
  </w:style>
  <w:style w:type="paragraph" w:styleId="BalloonText">
    <w:name w:val="Balloon Text"/>
    <w:basedOn w:val="Normal"/>
    <w:link w:val="BalloonTextChar"/>
    <w:uiPriority w:val="99"/>
    <w:semiHidden/>
    <w:unhideWhenUsed/>
    <w:rsid w:val="008818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8184D"/>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A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next w:val="Normal"/>
    <w:link w:val="Heading1Char"/>
    <w:uiPriority w:val="9"/>
    <w:qFormat/>
    <w:rsid w:val="00101F4E"/>
    <w:pPr>
      <w:keepNext/>
      <w:keepLines/>
      <w:numPr>
        <w:numId w:val="2"/>
      </w:numPr>
      <w:tabs>
        <w:tab w:val="left" w:pos="0"/>
        <w:tab w:val="left" w:pos="641"/>
        <w:tab w:val="left" w:pos="1276"/>
        <w:tab w:val="left" w:pos="1843"/>
      </w:tabs>
      <w:spacing w:after="240"/>
      <w:outlineLvl w:val="0"/>
    </w:pPr>
    <w:rPr>
      <w:rFonts w:asciiTheme="majorHAnsi" w:eastAsiaTheme="majorEastAsia" w:hAnsiTheme="majorHAnsi" w:cstheme="majorBidi"/>
      <w:b/>
      <w:bCs/>
      <w:color w:val="000000" w:themeColor="text1"/>
      <w:sz w:val="32"/>
      <w:szCs w:val="28"/>
      <w:lang w:eastAsia="en-US"/>
    </w:rPr>
  </w:style>
  <w:style w:type="paragraph" w:styleId="Heading2">
    <w:name w:val="heading 2"/>
    <w:basedOn w:val="Heading1"/>
    <w:next w:val="Normal"/>
    <w:link w:val="Heading2Char"/>
    <w:uiPriority w:val="9"/>
    <w:unhideWhenUsed/>
    <w:qFormat/>
    <w:rsid w:val="00101F4E"/>
    <w:pPr>
      <w:numPr>
        <w:ilvl w:val="1"/>
      </w:numPr>
      <w:tabs>
        <w:tab w:val="clear" w:pos="641"/>
        <w:tab w:val="clear" w:pos="1276"/>
        <w:tab w:val="left" w:pos="284"/>
        <w:tab w:val="left" w:pos="851"/>
      </w:tabs>
      <w:spacing w:before="120" w:after="120"/>
      <w:outlineLvl w:val="1"/>
    </w:pPr>
    <w:rPr>
      <w:bCs w:val="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4E"/>
    <w:rPr>
      <w:rFonts w:asciiTheme="majorHAnsi" w:eastAsiaTheme="majorEastAsia" w:hAnsiTheme="majorHAnsi" w:cstheme="majorBidi"/>
      <w:b/>
      <w:bCs/>
      <w:color w:val="000000" w:themeColor="text1"/>
      <w:sz w:val="32"/>
      <w:szCs w:val="28"/>
      <w:lang w:eastAsia="en-US"/>
    </w:rPr>
  </w:style>
  <w:style w:type="character" w:customStyle="1" w:styleId="Heading2Char">
    <w:name w:val="Heading 2 Char"/>
    <w:basedOn w:val="DefaultParagraphFont"/>
    <w:link w:val="Heading2"/>
    <w:uiPriority w:val="9"/>
    <w:rsid w:val="00101F4E"/>
    <w:rPr>
      <w:rFonts w:asciiTheme="majorHAnsi" w:eastAsiaTheme="majorEastAsia" w:hAnsiTheme="majorHAnsi" w:cstheme="majorBidi"/>
      <w:b/>
      <w:color w:val="000000" w:themeColor="text1"/>
      <w:sz w:val="26"/>
      <w:szCs w:val="26"/>
      <w:lang w:eastAsia="en-US"/>
    </w:rPr>
  </w:style>
  <w:style w:type="paragraph" w:customStyle="1" w:styleId="normal0">
    <w:name w:val="normal"/>
    <w:rsid w:val="0088184D"/>
    <w:rPr>
      <w:rFonts w:ascii="Cambria" w:eastAsia="Cambria" w:hAnsi="Cambria" w:cs="Cambria"/>
      <w:color w:val="000000"/>
      <w:sz w:val="24"/>
      <w:szCs w:val="24"/>
      <w:lang w:eastAsia="en-US"/>
    </w:rPr>
  </w:style>
  <w:style w:type="paragraph" w:styleId="BalloonText">
    <w:name w:val="Balloon Text"/>
    <w:basedOn w:val="Normal"/>
    <w:link w:val="BalloonTextChar"/>
    <w:uiPriority w:val="99"/>
    <w:semiHidden/>
    <w:unhideWhenUsed/>
    <w:rsid w:val="008818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8184D"/>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emf"/><Relationship Id="rId12" Type="http://schemas.openxmlformats.org/officeDocument/2006/relationships/image" Target="media/image7.emf"/><Relationship Id="rId13" Type="http://schemas.openxmlformats.org/officeDocument/2006/relationships/image" Target="media/image8.emf"/><Relationship Id="rId14" Type="http://schemas.openxmlformats.org/officeDocument/2006/relationships/image" Target="media/image9.emf"/><Relationship Id="rId15" Type="http://schemas.openxmlformats.org/officeDocument/2006/relationships/image" Target="media/image10.emf"/><Relationship Id="rId16" Type="http://schemas.openxmlformats.org/officeDocument/2006/relationships/image" Target="media/image11.tiff"/><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tiff"/><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2260</Words>
  <Characters>12884</Characters>
  <Application>Microsoft Macintosh Word</Application>
  <DocSecurity>0</DocSecurity>
  <Lines>107</Lines>
  <Paragraphs>30</Paragraphs>
  <ScaleCrop>false</ScaleCrop>
  <Company/>
  <LinksUpToDate>false</LinksUpToDate>
  <CharactersWithSpaces>15114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Thompson</dc:creator>
  <cp:keywords/>
  <dc:description/>
  <cp:lastModifiedBy>Jeff Thompson</cp:lastModifiedBy>
  <cp:revision>2</cp:revision>
  <cp:lastPrinted>2018-09-03T19:52:00Z</cp:lastPrinted>
  <dcterms:created xsi:type="dcterms:W3CDTF">2018-09-19T02:15:00Z</dcterms:created>
  <dcterms:modified xsi:type="dcterms:W3CDTF">2018-09-19T02:15:00Z</dcterms:modified>
</cp:coreProperties>
</file>