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53" w:rsidRDefault="00770E0B" w:rsidP="002F2053">
      <w:pPr>
        <w:jc w:val="center"/>
        <w:rPr>
          <w:rFonts w:ascii="Gill Sans MT" w:hAnsi="Gill Sans MT"/>
          <w:color w:val="000000" w:themeColor="text1"/>
        </w:rPr>
      </w:pPr>
      <w:r>
        <w:rPr>
          <w:rFonts w:ascii="Gill Sans MT" w:hAnsi="Gill Sans MT"/>
          <w:color w:val="000000" w:themeColor="text1"/>
        </w:rPr>
        <w:t xml:space="preserve">ONLINE </w:t>
      </w:r>
      <w:r w:rsidR="00921F9B" w:rsidRPr="001C48D2">
        <w:rPr>
          <w:rFonts w:ascii="Gill Sans MT" w:hAnsi="Gill Sans MT"/>
          <w:color w:val="000000" w:themeColor="text1"/>
        </w:rPr>
        <w:t xml:space="preserve">APPENDIX </w:t>
      </w:r>
      <w:r w:rsidR="00652557" w:rsidRPr="001C48D2">
        <w:rPr>
          <w:rFonts w:ascii="Gill Sans MT" w:hAnsi="Gill Sans MT"/>
          <w:color w:val="000000" w:themeColor="text1"/>
        </w:rPr>
        <w:t>A</w:t>
      </w:r>
    </w:p>
    <w:p w:rsidR="00921F9B" w:rsidRPr="001C48D2" w:rsidRDefault="00921F9B" w:rsidP="002F2053">
      <w:pPr>
        <w:jc w:val="center"/>
        <w:rPr>
          <w:rFonts w:ascii="Gill Sans MT" w:hAnsi="Gill Sans MT"/>
          <w:color w:val="000000" w:themeColor="text1"/>
        </w:rPr>
      </w:pPr>
      <w:r w:rsidRPr="001C48D2">
        <w:rPr>
          <w:rFonts w:ascii="Gill Sans MT" w:hAnsi="Gill Sans MT"/>
          <w:color w:val="000000" w:themeColor="text1"/>
        </w:rPr>
        <w:t xml:space="preserve">Estimates of the </w:t>
      </w:r>
      <w:r w:rsidR="00564FDD" w:rsidRPr="001C48D2">
        <w:rPr>
          <w:rFonts w:ascii="Gill Sans MT" w:hAnsi="Gill Sans MT"/>
          <w:color w:val="000000" w:themeColor="text1"/>
        </w:rPr>
        <w:t xml:space="preserve">coinage, net seigniorage income, and </w:t>
      </w:r>
      <w:r w:rsidRPr="001C48D2">
        <w:rPr>
          <w:rFonts w:ascii="Gill Sans MT" w:hAnsi="Gill Sans MT"/>
          <w:color w:val="000000" w:themeColor="text1"/>
        </w:rPr>
        <w:t>potential return to cheating at the M</w:t>
      </w:r>
      <w:r w:rsidR="00564FDD" w:rsidRPr="001C48D2">
        <w:rPr>
          <w:rFonts w:ascii="Gill Sans MT" w:hAnsi="Gill Sans MT"/>
          <w:color w:val="000000" w:themeColor="text1"/>
        </w:rPr>
        <w:t>assachusetts</w:t>
      </w:r>
      <w:r w:rsidRPr="001C48D2">
        <w:rPr>
          <w:rFonts w:ascii="Gill Sans MT" w:hAnsi="Gill Sans MT"/>
          <w:color w:val="000000" w:themeColor="text1"/>
        </w:rPr>
        <w:t xml:space="preserve"> mint</w:t>
      </w:r>
    </w:p>
    <w:p w:rsidR="00921F9B" w:rsidRPr="001C48D2" w:rsidRDefault="00921F9B" w:rsidP="00921F9B">
      <w:pPr>
        <w:jc w:val="both"/>
        <w:rPr>
          <w:rFonts w:ascii="Gill Sans MT" w:hAnsi="Gill Sans MT"/>
          <w:color w:val="000000" w:themeColor="text1"/>
        </w:rPr>
      </w:pPr>
    </w:p>
    <w:p w:rsidR="00564FDD" w:rsidRPr="001C48D2" w:rsidRDefault="003222B3" w:rsidP="00564FDD">
      <w:pPr>
        <w:jc w:val="both"/>
        <w:rPr>
          <w:rFonts w:ascii="Gill Sans MT" w:hAnsi="Gill Sans MT"/>
          <w:color w:val="000000" w:themeColor="text1"/>
          <w:u w:val="single"/>
        </w:rPr>
      </w:pPr>
      <w:r w:rsidRPr="001C48D2">
        <w:rPr>
          <w:rFonts w:ascii="Gill Sans MT" w:hAnsi="Gill Sans MT"/>
          <w:color w:val="000000" w:themeColor="text1"/>
          <w:u w:val="single"/>
        </w:rPr>
        <w:t>Coinage size estimates</w:t>
      </w:r>
    </w:p>
    <w:p w:rsidR="00564FDD" w:rsidRPr="001C48D2" w:rsidRDefault="00564FDD" w:rsidP="00564FDD">
      <w:pPr>
        <w:jc w:val="both"/>
        <w:rPr>
          <w:rFonts w:ascii="Gill Sans MT" w:hAnsi="Gill Sans MT"/>
          <w:color w:val="000000" w:themeColor="text1"/>
          <w:u w:val="single"/>
        </w:rPr>
      </w:pPr>
    </w:p>
    <w:p w:rsidR="00564FDD" w:rsidRPr="001C48D2" w:rsidRDefault="00564FDD" w:rsidP="00564FDD">
      <w:pPr>
        <w:jc w:val="both"/>
        <w:rPr>
          <w:rFonts w:ascii="Gill Sans MT" w:hAnsi="Gill Sans MT"/>
          <w:color w:val="000000" w:themeColor="text1"/>
        </w:rPr>
      </w:pPr>
      <w:r w:rsidRPr="001C48D2">
        <w:rPr>
          <w:rFonts w:ascii="Gill Sans MT" w:hAnsi="Gill Sans MT"/>
          <w:color w:val="000000" w:themeColor="text1"/>
        </w:rPr>
        <w:t>Jordan (2002) provides information on the volume of silver consigned for 1671-80, the last decade of the Mint’s operations, a period of unusually low silver coinage (75,000 shillings for the entire decade) because of the Colony’s decision to increase the official rating of the piece of eight from 5 s to 6 s. Jordan estimates that when operating at maximum productive capacity in the 1670s, the MA mint could work up 600 troy ounces of sterling silver into coins over a nine day period. In the 1670s, the constraint on production was the volume of silver consigned; on average, the Mint operated only 18 days a year.</w:t>
      </w:r>
      <w:r w:rsidRPr="001C48D2">
        <w:rPr>
          <w:rStyle w:val="FootnoteReference"/>
          <w:rFonts w:ascii="Gill Sans MT" w:hAnsi="Gill Sans MT"/>
          <w:color w:val="000000" w:themeColor="text1"/>
        </w:rPr>
        <w:footnoteReference w:id="1"/>
      </w:r>
    </w:p>
    <w:p w:rsidR="00564FDD" w:rsidRPr="001C48D2" w:rsidRDefault="00564FDD" w:rsidP="00564FDD">
      <w:pPr>
        <w:jc w:val="both"/>
        <w:rPr>
          <w:rFonts w:ascii="Gill Sans MT" w:hAnsi="Gill Sans MT"/>
          <w:color w:val="000000" w:themeColor="text1"/>
        </w:rPr>
      </w:pPr>
    </w:p>
    <w:p w:rsidR="00564FDD" w:rsidRPr="001C48D2" w:rsidRDefault="00564FDD" w:rsidP="00564FDD">
      <w:pPr>
        <w:jc w:val="both"/>
        <w:rPr>
          <w:rFonts w:ascii="Gill Sans MT" w:hAnsi="Gill Sans MT"/>
          <w:color w:val="000000" w:themeColor="text1"/>
        </w:rPr>
      </w:pPr>
      <w:r w:rsidRPr="001C48D2">
        <w:rPr>
          <w:rFonts w:ascii="Gill Sans MT" w:hAnsi="Gill Sans MT"/>
          <w:color w:val="000000" w:themeColor="text1"/>
        </w:rPr>
        <w:t>One approach is to build our estimate of the coin stock on productive capacity. If we assume that the mint operated 50 weeks a year at this full capacity output in the 1660s, and at 50% of this full capacity output in the 1650s, we arrive at a 1680 stock of M</w:t>
      </w:r>
      <w:r w:rsidR="00030FDD" w:rsidRPr="001C48D2">
        <w:rPr>
          <w:rFonts w:ascii="Gill Sans MT" w:hAnsi="Gill Sans MT"/>
          <w:color w:val="000000" w:themeColor="text1"/>
        </w:rPr>
        <w:t>assachusetts</w:t>
      </w:r>
      <w:r w:rsidRPr="001C48D2">
        <w:rPr>
          <w:rFonts w:ascii="Gill Sans MT" w:hAnsi="Gill Sans MT"/>
          <w:color w:val="000000" w:themeColor="text1"/>
        </w:rPr>
        <w:t xml:space="preserve"> coinage of 2.5 m shillings, or 125,400 M</w:t>
      </w:r>
      <w:r w:rsidR="00030FDD" w:rsidRPr="001C48D2">
        <w:rPr>
          <w:rFonts w:ascii="Gill Sans MT" w:hAnsi="Gill Sans MT"/>
          <w:color w:val="000000" w:themeColor="text1"/>
        </w:rPr>
        <w:t>assachusetts</w:t>
      </w:r>
      <w:r w:rsidRPr="001C48D2">
        <w:rPr>
          <w:rFonts w:ascii="Gill Sans MT" w:hAnsi="Gill Sans MT"/>
          <w:color w:val="000000" w:themeColor="text1"/>
        </w:rPr>
        <w:t xml:space="preserve"> pounds. The population of New England in 1670 was 52,000, yielding a per capita coinage of 2.4 pounds M</w:t>
      </w:r>
      <w:r w:rsidR="007F75E0" w:rsidRPr="001C48D2">
        <w:rPr>
          <w:rFonts w:ascii="Gill Sans MT" w:hAnsi="Gill Sans MT"/>
          <w:color w:val="000000" w:themeColor="text1"/>
        </w:rPr>
        <w:t>assachusetts</w:t>
      </w:r>
      <w:r w:rsidRPr="001C48D2">
        <w:rPr>
          <w:rFonts w:ascii="Gill Sans MT" w:hAnsi="Gill Sans MT"/>
          <w:color w:val="000000" w:themeColor="text1"/>
        </w:rPr>
        <w:t>, which would have, unrealistically, been the same as England’s.</w:t>
      </w:r>
      <w:r w:rsidRPr="001C48D2">
        <w:rPr>
          <w:rStyle w:val="FootnoteReference"/>
          <w:rFonts w:ascii="Gill Sans MT" w:hAnsi="Gill Sans MT"/>
          <w:color w:val="000000" w:themeColor="text1"/>
        </w:rPr>
        <w:footnoteReference w:id="2"/>
      </w:r>
      <w:r w:rsidRPr="001C48D2">
        <w:rPr>
          <w:rFonts w:ascii="Gill Sans MT" w:hAnsi="Gill Sans MT"/>
          <w:color w:val="000000" w:themeColor="text1"/>
        </w:rPr>
        <w:t xml:space="preserve"> </w:t>
      </w:r>
    </w:p>
    <w:p w:rsidR="00564FDD" w:rsidRPr="001C48D2" w:rsidRDefault="00564FDD" w:rsidP="00564FDD">
      <w:pPr>
        <w:jc w:val="both"/>
        <w:rPr>
          <w:rFonts w:ascii="Gill Sans MT" w:hAnsi="Gill Sans MT"/>
          <w:color w:val="000000" w:themeColor="text1"/>
        </w:rPr>
      </w:pPr>
    </w:p>
    <w:p w:rsidR="00564FDD" w:rsidRPr="001C48D2" w:rsidRDefault="00564FDD" w:rsidP="00564FDD">
      <w:pPr>
        <w:jc w:val="both"/>
        <w:rPr>
          <w:rFonts w:ascii="Gill Sans MT" w:hAnsi="Gill Sans MT"/>
          <w:color w:val="000000" w:themeColor="text1"/>
        </w:rPr>
      </w:pPr>
      <w:r w:rsidRPr="001C48D2">
        <w:rPr>
          <w:rFonts w:ascii="Gill Sans MT" w:hAnsi="Gill Sans MT"/>
          <w:color w:val="000000" w:themeColor="text1"/>
        </w:rPr>
        <w:t>Alternatively, we build up a more realistic estimate of the size of the coinage from an assumption that per capita coinage in M</w:t>
      </w:r>
      <w:r w:rsidR="007F75E0" w:rsidRPr="001C48D2">
        <w:rPr>
          <w:rFonts w:ascii="Gill Sans MT" w:hAnsi="Gill Sans MT"/>
          <w:color w:val="000000" w:themeColor="text1"/>
        </w:rPr>
        <w:t>assachusetts</w:t>
      </w:r>
      <w:r w:rsidRPr="001C48D2">
        <w:rPr>
          <w:rFonts w:ascii="Gill Sans MT" w:hAnsi="Gill Sans MT"/>
          <w:color w:val="000000" w:themeColor="text1"/>
        </w:rPr>
        <w:t xml:space="preserve"> was one half of England’s in 1670, or 1.2 pounds, producing an estimate of the 1680 M</w:t>
      </w:r>
      <w:r w:rsidR="007F75E0" w:rsidRPr="001C48D2">
        <w:rPr>
          <w:rFonts w:ascii="Gill Sans MT" w:hAnsi="Gill Sans MT"/>
          <w:color w:val="000000" w:themeColor="text1"/>
        </w:rPr>
        <w:t>assachusetts</w:t>
      </w:r>
      <w:r w:rsidRPr="001C48D2">
        <w:rPr>
          <w:rFonts w:ascii="Gill Sans MT" w:hAnsi="Gill Sans MT"/>
          <w:color w:val="000000" w:themeColor="text1"/>
        </w:rPr>
        <w:t xml:space="preserve"> stock of coin of 82,200 pounds, or 1,644,000 shillings, or 54,800 shillings coined on an average annual basis. This would roughly correspond to an output of 75,000 shillings in the 1670s, 940,000 shillings in the 1660s (if the Mint operated at full capacity 200 days in the year), and 628,000 shillings in the 1650s (two-thirds of the 1660s, in the start-up, learning-by-doing phase). This may be on the high side, which biases our estimates</w:t>
      </w:r>
      <w:r w:rsidR="00692A42" w:rsidRPr="001C48D2">
        <w:rPr>
          <w:rFonts w:ascii="Gill Sans MT" w:hAnsi="Gill Sans MT"/>
          <w:color w:val="000000" w:themeColor="text1"/>
        </w:rPr>
        <w:t xml:space="preserve"> of net seigniorage and the return to cheating</w:t>
      </w:r>
      <w:r w:rsidRPr="001C48D2">
        <w:rPr>
          <w:rFonts w:ascii="Gill Sans MT" w:hAnsi="Gill Sans MT"/>
          <w:color w:val="000000" w:themeColor="text1"/>
        </w:rPr>
        <w:t xml:space="preserve"> in the right direction (gives an upward bia</w:t>
      </w:r>
      <w:r w:rsidR="00692A42" w:rsidRPr="001C48D2">
        <w:rPr>
          <w:rFonts w:ascii="Gill Sans MT" w:hAnsi="Gill Sans MT"/>
          <w:color w:val="000000" w:themeColor="text1"/>
        </w:rPr>
        <w:t>s</w:t>
      </w:r>
      <w:r w:rsidRPr="001C48D2">
        <w:rPr>
          <w:rFonts w:ascii="Gill Sans MT" w:hAnsi="Gill Sans MT"/>
          <w:color w:val="000000" w:themeColor="text1"/>
        </w:rPr>
        <w:t>).</w:t>
      </w:r>
      <w:r w:rsidR="00692A42" w:rsidRPr="001C48D2">
        <w:rPr>
          <w:rFonts w:ascii="Gill Sans MT" w:hAnsi="Gill Sans MT"/>
          <w:color w:val="000000" w:themeColor="text1"/>
        </w:rPr>
        <w:t xml:space="preserve"> Estimates of net seigniorage and the potential return to ch</w:t>
      </w:r>
      <w:r w:rsidR="000010D4" w:rsidRPr="001C48D2">
        <w:rPr>
          <w:rFonts w:ascii="Gill Sans MT" w:hAnsi="Gill Sans MT"/>
          <w:color w:val="000000" w:themeColor="text1"/>
        </w:rPr>
        <w:t>e</w:t>
      </w:r>
      <w:r w:rsidR="00692A42" w:rsidRPr="001C48D2">
        <w:rPr>
          <w:rFonts w:ascii="Gill Sans MT" w:hAnsi="Gill Sans MT"/>
          <w:color w:val="000000" w:themeColor="text1"/>
        </w:rPr>
        <w:t>ating are based on an average annual mint output of 55,000 shillings.</w:t>
      </w:r>
    </w:p>
    <w:p w:rsidR="00564FDD" w:rsidRPr="001C48D2" w:rsidRDefault="00564FDD" w:rsidP="00921F9B">
      <w:pPr>
        <w:jc w:val="both"/>
        <w:rPr>
          <w:rFonts w:ascii="Gill Sans MT" w:hAnsi="Gill Sans MT"/>
          <w:color w:val="000000" w:themeColor="text1"/>
        </w:rPr>
      </w:pPr>
    </w:p>
    <w:p w:rsidR="00921F9B" w:rsidRPr="001C48D2" w:rsidRDefault="00692A42" w:rsidP="00921F9B">
      <w:pPr>
        <w:jc w:val="both"/>
        <w:rPr>
          <w:rFonts w:ascii="Gill Sans MT" w:hAnsi="Gill Sans MT"/>
          <w:color w:val="000000" w:themeColor="text1"/>
          <w:u w:val="single"/>
        </w:rPr>
      </w:pPr>
      <w:r w:rsidRPr="001C48D2">
        <w:rPr>
          <w:rFonts w:ascii="Gill Sans MT" w:hAnsi="Gill Sans MT"/>
          <w:color w:val="000000" w:themeColor="text1"/>
          <w:u w:val="single"/>
        </w:rPr>
        <w:t>N</w:t>
      </w:r>
      <w:r w:rsidR="00921F9B" w:rsidRPr="001C48D2">
        <w:rPr>
          <w:rFonts w:ascii="Gill Sans MT" w:hAnsi="Gill Sans MT"/>
          <w:color w:val="000000" w:themeColor="text1"/>
          <w:u w:val="single"/>
        </w:rPr>
        <w:t>et seigniorage</w:t>
      </w:r>
      <w:r w:rsidRPr="001C48D2">
        <w:rPr>
          <w:rFonts w:ascii="Gill Sans MT" w:hAnsi="Gill Sans MT"/>
          <w:color w:val="000000" w:themeColor="text1"/>
          <w:u w:val="single"/>
        </w:rPr>
        <w:t xml:space="preserve"> estimates</w:t>
      </w:r>
    </w:p>
    <w:p w:rsidR="00692A42" w:rsidRPr="001C48D2" w:rsidRDefault="00692A42" w:rsidP="00921F9B">
      <w:pPr>
        <w:jc w:val="both"/>
        <w:rPr>
          <w:rFonts w:ascii="Gill Sans MT" w:hAnsi="Gill Sans MT"/>
          <w:color w:val="000000" w:themeColor="text1"/>
          <w:u w:val="single"/>
        </w:rPr>
      </w:pPr>
    </w:p>
    <w:p w:rsidR="00692A42" w:rsidRPr="001C48D2" w:rsidRDefault="00692A42" w:rsidP="00692A42">
      <w:pPr>
        <w:jc w:val="both"/>
        <w:rPr>
          <w:rFonts w:ascii="Gill Sans MT" w:hAnsi="Gill Sans MT"/>
          <w:color w:val="000000" w:themeColor="text1"/>
        </w:rPr>
      </w:pPr>
      <w:r w:rsidRPr="001C48D2">
        <w:rPr>
          <w:rFonts w:ascii="Gill Sans MT" w:hAnsi="Gill Sans MT"/>
          <w:color w:val="000000" w:themeColor="text1"/>
        </w:rPr>
        <w:t xml:space="preserve">Net </w:t>
      </w:r>
      <w:proofErr w:type="spellStart"/>
      <w:r w:rsidRPr="001C48D2">
        <w:rPr>
          <w:rFonts w:ascii="Gill Sans MT" w:hAnsi="Gill Sans MT"/>
          <w:color w:val="000000" w:themeColor="text1"/>
        </w:rPr>
        <w:t>seigniorage</w:t>
      </w:r>
      <w:proofErr w:type="spellEnd"/>
      <w:r w:rsidRPr="001C48D2">
        <w:rPr>
          <w:rFonts w:ascii="Gill Sans MT" w:hAnsi="Gill Sans MT"/>
          <w:color w:val="000000" w:themeColor="text1"/>
        </w:rPr>
        <w:t xml:space="preserve"> is the </w:t>
      </w:r>
      <w:proofErr w:type="spellStart"/>
      <w:r w:rsidRPr="001C48D2">
        <w:rPr>
          <w:rFonts w:ascii="Gill Sans MT" w:hAnsi="Gill Sans MT"/>
          <w:color w:val="000000" w:themeColor="text1"/>
        </w:rPr>
        <w:t>mintmaster’s</w:t>
      </w:r>
      <w:proofErr w:type="spellEnd"/>
      <w:r w:rsidRPr="001C48D2">
        <w:rPr>
          <w:rFonts w:ascii="Gill Sans MT" w:hAnsi="Gill Sans MT"/>
          <w:color w:val="000000" w:themeColor="text1"/>
        </w:rPr>
        <w:t xml:space="preserve"> income after minting costs. We have no data on production costs, so we estimate three scenarios, one in which production costs were 45% of gross seigniorage (the same as Potosi’s), one at 60% (assuming </w:t>
      </w:r>
      <w:r w:rsidR="007F75E0" w:rsidRPr="001C48D2">
        <w:rPr>
          <w:rFonts w:ascii="Gill Sans MT" w:hAnsi="Gill Sans MT"/>
          <w:color w:val="000000" w:themeColor="text1"/>
        </w:rPr>
        <w:t>the Massachusetts</w:t>
      </w:r>
      <w:r w:rsidRPr="001C48D2">
        <w:rPr>
          <w:rFonts w:ascii="Gill Sans MT" w:hAnsi="Gill Sans MT"/>
          <w:color w:val="000000" w:themeColor="text1"/>
        </w:rPr>
        <w:t xml:space="preserve"> mint was less efficient than Potosi), one (even less efficient) at 80%.</w:t>
      </w:r>
      <w:r w:rsidRPr="001C48D2">
        <w:rPr>
          <w:rStyle w:val="FootnoteReference"/>
          <w:rFonts w:ascii="Gill Sans MT" w:hAnsi="Gill Sans MT"/>
          <w:color w:val="000000" w:themeColor="text1"/>
        </w:rPr>
        <w:footnoteReference w:id="3"/>
      </w:r>
      <w:r w:rsidRPr="001C48D2">
        <w:rPr>
          <w:rFonts w:ascii="Gill Sans MT" w:hAnsi="Gill Sans MT"/>
          <w:color w:val="000000" w:themeColor="text1"/>
        </w:rPr>
        <w:t xml:space="preserve"> The net seigniorage rate in these three scenarios is 4.125%, 3%, and 1.5% respectively. Table A.1 provides estimates of Hull’s net </w:t>
      </w:r>
      <w:r w:rsidRPr="001C48D2">
        <w:rPr>
          <w:rFonts w:ascii="Gill Sans MT" w:hAnsi="Gill Sans MT"/>
          <w:color w:val="000000" w:themeColor="text1"/>
        </w:rPr>
        <w:lastRenderedPageBreak/>
        <w:t xml:space="preserve">seigniorage per year in these three scenarios, assuming net seigniorage on the coinage was shared equally between Hull and his partner. </w:t>
      </w:r>
    </w:p>
    <w:p w:rsidR="00692A42" w:rsidRPr="001C48D2" w:rsidRDefault="00692A42" w:rsidP="00692A42">
      <w:pPr>
        <w:jc w:val="both"/>
        <w:rPr>
          <w:rFonts w:ascii="Gill Sans MT" w:hAnsi="Gill Sans MT"/>
          <w:color w:val="000000" w:themeColor="text1"/>
        </w:rPr>
      </w:pPr>
    </w:p>
    <w:p w:rsidR="00692A42" w:rsidRPr="001C48D2" w:rsidRDefault="003222B3" w:rsidP="00692A42">
      <w:pPr>
        <w:jc w:val="both"/>
        <w:rPr>
          <w:rFonts w:ascii="Gill Sans MT" w:hAnsi="Gill Sans MT"/>
          <w:color w:val="000000" w:themeColor="text1"/>
          <w:u w:val="single"/>
        </w:rPr>
      </w:pPr>
      <w:r w:rsidRPr="001C48D2">
        <w:rPr>
          <w:rFonts w:ascii="Gill Sans MT" w:hAnsi="Gill Sans MT"/>
          <w:color w:val="000000" w:themeColor="text1"/>
          <w:u w:val="single"/>
        </w:rPr>
        <w:t>Estimates of t</w:t>
      </w:r>
      <w:r w:rsidR="00692A42" w:rsidRPr="001C48D2">
        <w:rPr>
          <w:rFonts w:ascii="Gill Sans MT" w:hAnsi="Gill Sans MT"/>
          <w:color w:val="000000" w:themeColor="text1"/>
          <w:u w:val="single"/>
        </w:rPr>
        <w:t>he potential return to cheating</w:t>
      </w:r>
    </w:p>
    <w:p w:rsidR="00692A42" w:rsidRPr="001C48D2" w:rsidRDefault="00692A42" w:rsidP="00692A42">
      <w:pPr>
        <w:jc w:val="both"/>
        <w:rPr>
          <w:rFonts w:ascii="Gill Sans MT" w:hAnsi="Gill Sans MT"/>
          <w:color w:val="000000" w:themeColor="text1"/>
        </w:rPr>
      </w:pPr>
    </w:p>
    <w:p w:rsidR="00692A42" w:rsidRPr="001C48D2" w:rsidRDefault="00D32AFE" w:rsidP="00692A42">
      <w:pPr>
        <w:jc w:val="both"/>
        <w:rPr>
          <w:rFonts w:ascii="Gill Sans MT" w:hAnsi="Gill Sans MT"/>
          <w:color w:val="000000" w:themeColor="text1"/>
        </w:rPr>
      </w:pPr>
      <w:r w:rsidRPr="001C48D2">
        <w:rPr>
          <w:rFonts w:ascii="Gill Sans MT" w:hAnsi="Gill Sans MT"/>
          <w:color w:val="000000" w:themeColor="text1"/>
        </w:rPr>
        <w:t xml:space="preserve">The return to cheating depended on net seigniorage, since the additional cost of minting “surplus” coins (see below) must be taken into account. </w:t>
      </w:r>
      <w:r w:rsidR="00692A42" w:rsidRPr="001C48D2">
        <w:rPr>
          <w:rFonts w:ascii="Gill Sans MT" w:hAnsi="Gill Sans MT"/>
          <w:color w:val="000000" w:themeColor="text1"/>
        </w:rPr>
        <w:t xml:space="preserve">Table A.2 provides estimates of the return to cheating for the three scenarios about minting costs in A.1, each with two scenarios on the degree of debasement, and two scenarios for the percentage of coinage debased. </w:t>
      </w:r>
    </w:p>
    <w:p w:rsidR="00692A42" w:rsidRPr="001C48D2" w:rsidRDefault="00692A42" w:rsidP="00921F9B">
      <w:pPr>
        <w:jc w:val="both"/>
        <w:rPr>
          <w:rFonts w:ascii="Gill Sans MT" w:hAnsi="Gill Sans MT"/>
          <w:color w:val="000000" w:themeColor="text1"/>
          <w:u w:val="single"/>
        </w:rPr>
      </w:pPr>
    </w:p>
    <w:p w:rsidR="00921F9B" w:rsidRPr="001C48D2" w:rsidRDefault="00921F9B" w:rsidP="00921F9B">
      <w:pPr>
        <w:jc w:val="both"/>
        <w:rPr>
          <w:rFonts w:ascii="Gill Sans MT" w:hAnsi="Gill Sans MT"/>
          <w:i/>
          <w:iCs/>
          <w:color w:val="000000" w:themeColor="text1"/>
        </w:rPr>
      </w:pPr>
      <w:r w:rsidRPr="001C48D2">
        <w:rPr>
          <w:rFonts w:ascii="Gill Sans MT" w:hAnsi="Gill Sans MT"/>
          <w:i/>
          <w:iCs/>
          <w:color w:val="000000" w:themeColor="text1"/>
        </w:rPr>
        <w:t>Degree of debasement</w:t>
      </w:r>
    </w:p>
    <w:p w:rsidR="00921F9B" w:rsidRPr="001C48D2" w:rsidRDefault="00921F9B" w:rsidP="00921F9B">
      <w:pPr>
        <w:jc w:val="both"/>
        <w:rPr>
          <w:rFonts w:ascii="Gill Sans MT" w:hAnsi="Gill Sans MT"/>
          <w:color w:val="000000" w:themeColor="text1"/>
          <w:u w:val="single"/>
        </w:rPr>
      </w:pPr>
    </w:p>
    <w:p w:rsidR="00921F9B" w:rsidRPr="001C48D2" w:rsidRDefault="00D32AFE" w:rsidP="00921F9B">
      <w:pPr>
        <w:jc w:val="both"/>
        <w:rPr>
          <w:rFonts w:ascii="Gill Sans MT" w:hAnsi="Gill Sans MT"/>
          <w:color w:val="000000" w:themeColor="text1"/>
        </w:rPr>
      </w:pPr>
      <w:r w:rsidRPr="001C48D2">
        <w:rPr>
          <w:rFonts w:ascii="Gill Sans MT" w:hAnsi="Gill Sans MT"/>
          <w:color w:val="000000" w:themeColor="text1"/>
        </w:rPr>
        <w:t xml:space="preserve">We assume that the coins would have been debased up to the limit recognizable by sight, that is from 92.5% to 80% fine silver. </w:t>
      </w:r>
      <w:r w:rsidR="00921F9B" w:rsidRPr="001C48D2">
        <w:rPr>
          <w:rFonts w:ascii="Gill Sans MT" w:hAnsi="Gill Sans MT"/>
          <w:color w:val="000000" w:themeColor="text1"/>
        </w:rPr>
        <w:t>Reducing fineness boosts the net seigniorage return by increasing the amount of money, valued in the unit of account, that is produced from each ounce of fine silver. In M</w:t>
      </w:r>
      <w:r w:rsidRPr="001C48D2">
        <w:rPr>
          <w:rFonts w:ascii="Gill Sans MT" w:hAnsi="Gill Sans MT"/>
          <w:color w:val="000000" w:themeColor="text1"/>
        </w:rPr>
        <w:t>assachusetts</w:t>
      </w:r>
      <w:r w:rsidR="00921F9B" w:rsidRPr="001C48D2">
        <w:rPr>
          <w:rFonts w:ascii="Gill Sans MT" w:hAnsi="Gill Sans MT"/>
          <w:color w:val="000000" w:themeColor="text1"/>
        </w:rPr>
        <w:t xml:space="preserve">, the </w:t>
      </w:r>
      <w:r w:rsidRPr="001C48D2">
        <w:rPr>
          <w:rFonts w:ascii="Gill Sans MT" w:hAnsi="Gill Sans MT"/>
          <w:color w:val="000000" w:themeColor="text1"/>
        </w:rPr>
        <w:t>Court</w:t>
      </w:r>
      <w:r w:rsidR="00921F9B" w:rsidRPr="001C48D2">
        <w:rPr>
          <w:rFonts w:ascii="Gill Sans MT" w:hAnsi="Gill Sans MT"/>
          <w:color w:val="000000" w:themeColor="text1"/>
        </w:rPr>
        <w:t xml:space="preserve"> authorized the mint master to coin one shilling with 72 grains sterling silver and 66.6 grains fine silver (at the 92.5% sterling standard), which equates to coining 6.67 shillings from one ounce of sterling silver and 7.2 shillings from one ounce of fine silver. If instead the 72 grain shilling coin was only 80% fine, then each coin would contain only 57.6 grains of fine silver, and each ounce of fine silver would coin 8.3 shillings: a gain of 1 shilling 1 pence (13 pence) for a 13.5% debasement (from 92.5% to 80%). This produces an approximate rule of thumb that is used in the estimates: for every 1% debasement in fineness, an additional 1 </w:t>
      </w:r>
      <w:proofErr w:type="gramStart"/>
      <w:r w:rsidR="00921F9B" w:rsidRPr="001C48D2">
        <w:rPr>
          <w:rFonts w:ascii="Gill Sans MT" w:hAnsi="Gill Sans MT"/>
          <w:color w:val="000000" w:themeColor="text1"/>
        </w:rPr>
        <w:t>pence</w:t>
      </w:r>
      <w:proofErr w:type="gramEnd"/>
      <w:r w:rsidR="00921F9B" w:rsidRPr="001C48D2">
        <w:rPr>
          <w:rFonts w:ascii="Gill Sans MT" w:hAnsi="Gill Sans MT"/>
          <w:color w:val="000000" w:themeColor="text1"/>
        </w:rPr>
        <w:t xml:space="preserve"> of value is created per ounce of fine silver.</w:t>
      </w:r>
    </w:p>
    <w:p w:rsidR="00921F9B" w:rsidRPr="001C48D2" w:rsidRDefault="00921F9B" w:rsidP="00921F9B">
      <w:pPr>
        <w:jc w:val="both"/>
        <w:rPr>
          <w:rFonts w:ascii="Gill Sans MT" w:hAnsi="Gill Sans MT"/>
          <w:color w:val="000000" w:themeColor="text1"/>
        </w:rPr>
      </w:pPr>
    </w:p>
    <w:p w:rsidR="00921F9B" w:rsidRPr="001C48D2" w:rsidRDefault="00921F9B" w:rsidP="00921F9B">
      <w:pPr>
        <w:jc w:val="both"/>
        <w:rPr>
          <w:rFonts w:ascii="Gill Sans MT" w:hAnsi="Gill Sans MT"/>
          <w:i/>
          <w:iCs/>
          <w:color w:val="000000" w:themeColor="text1"/>
        </w:rPr>
      </w:pPr>
      <w:r w:rsidRPr="001C48D2">
        <w:rPr>
          <w:rFonts w:ascii="Gill Sans MT" w:hAnsi="Gill Sans MT"/>
          <w:i/>
          <w:iCs/>
          <w:color w:val="000000" w:themeColor="text1"/>
        </w:rPr>
        <w:t>Percentage of coin debased</w:t>
      </w:r>
    </w:p>
    <w:p w:rsidR="00921F9B" w:rsidRPr="001C48D2" w:rsidRDefault="00921F9B" w:rsidP="00921F9B">
      <w:pPr>
        <w:jc w:val="both"/>
        <w:rPr>
          <w:rFonts w:ascii="Gill Sans MT" w:hAnsi="Gill Sans MT"/>
          <w:color w:val="000000" w:themeColor="text1"/>
          <w:u w:val="single"/>
        </w:rPr>
      </w:pPr>
    </w:p>
    <w:p w:rsidR="00921F9B" w:rsidRPr="001C48D2" w:rsidRDefault="00921F9B" w:rsidP="00921F9B">
      <w:pPr>
        <w:jc w:val="both"/>
        <w:rPr>
          <w:rFonts w:ascii="Gill Sans MT" w:hAnsi="Gill Sans MT"/>
          <w:color w:val="000000" w:themeColor="text1"/>
        </w:rPr>
      </w:pPr>
      <w:r w:rsidRPr="001C48D2">
        <w:rPr>
          <w:rFonts w:ascii="Gill Sans MT" w:hAnsi="Gill Sans MT"/>
          <w:color w:val="000000" w:themeColor="text1"/>
        </w:rPr>
        <w:t>If the mint master were to cheat, he would need to decide whether to debase all</w:t>
      </w:r>
      <w:r w:rsidR="002321F0" w:rsidRPr="001C48D2">
        <w:rPr>
          <w:rFonts w:ascii="Gill Sans MT" w:hAnsi="Gill Sans MT"/>
          <w:color w:val="000000" w:themeColor="text1"/>
        </w:rPr>
        <w:t xml:space="preserve"> </w:t>
      </w:r>
      <w:r w:rsidRPr="001C48D2">
        <w:rPr>
          <w:rFonts w:ascii="Gill Sans MT" w:hAnsi="Gill Sans MT"/>
          <w:color w:val="000000" w:themeColor="text1"/>
        </w:rPr>
        <w:t>of the coin, or just some of the coin. Debasing only some of the batches, so that bad coin is mixed in with predominantly good coin, might reduce the probability of detection. Two scenarios are considered, one in which all coin is debased, and one in which only 25% of the coin is debased.</w:t>
      </w:r>
    </w:p>
    <w:p w:rsidR="00921F9B" w:rsidRPr="001C48D2" w:rsidRDefault="00921F9B" w:rsidP="00921F9B">
      <w:pPr>
        <w:jc w:val="both"/>
        <w:rPr>
          <w:rFonts w:ascii="Gill Sans MT" w:hAnsi="Gill Sans MT"/>
          <w:color w:val="000000" w:themeColor="text1"/>
          <w:sz w:val="20"/>
          <w:szCs w:val="20"/>
        </w:rPr>
      </w:pPr>
    </w:p>
    <w:p w:rsidR="002373C0" w:rsidRPr="001C48D2" w:rsidRDefault="002373C0">
      <w:pPr>
        <w:rPr>
          <w:rFonts w:ascii="Gill Sans MT" w:hAnsi="Gill Sans MT"/>
          <w:color w:val="000000" w:themeColor="text1"/>
        </w:rPr>
      </w:pPr>
      <w:r w:rsidRPr="001C48D2">
        <w:rPr>
          <w:rFonts w:ascii="Gill Sans MT" w:hAnsi="Gill Sans MT"/>
          <w:color w:val="000000" w:themeColor="text1"/>
        </w:rPr>
        <w:br w:type="page"/>
      </w:r>
    </w:p>
    <w:p w:rsidR="00EF7A54" w:rsidRPr="001C48D2" w:rsidRDefault="00EF7A54" w:rsidP="00EF7A54">
      <w:pPr>
        <w:tabs>
          <w:tab w:val="left" w:pos="3320"/>
        </w:tabs>
        <w:rPr>
          <w:rFonts w:ascii="Gill Sans MT" w:hAnsi="Gill Sans MT"/>
          <w:color w:val="000000" w:themeColor="text1"/>
        </w:rPr>
      </w:pPr>
    </w:p>
    <w:p w:rsidR="00EF7A54" w:rsidRPr="001C48D2" w:rsidRDefault="00EF7A54" w:rsidP="005538EB">
      <w:pPr>
        <w:jc w:val="center"/>
        <w:rPr>
          <w:rFonts w:ascii="Gill Sans MT" w:hAnsi="Gill Sans MT"/>
          <w:color w:val="000000" w:themeColor="text1"/>
        </w:rPr>
      </w:pPr>
      <w:r w:rsidRPr="001C48D2">
        <w:rPr>
          <w:rFonts w:ascii="Gill Sans MT" w:hAnsi="Gill Sans MT"/>
          <w:color w:val="000000" w:themeColor="text1"/>
          <w:sz w:val="22"/>
          <w:szCs w:val="22"/>
        </w:rPr>
        <w:t xml:space="preserve">TABLE </w:t>
      </w:r>
      <w:r w:rsidR="00652557" w:rsidRPr="001C48D2">
        <w:rPr>
          <w:rFonts w:ascii="Gill Sans MT" w:hAnsi="Gill Sans MT"/>
          <w:color w:val="000000" w:themeColor="text1"/>
          <w:sz w:val="22"/>
          <w:szCs w:val="22"/>
        </w:rPr>
        <w:t>A</w:t>
      </w:r>
      <w:r w:rsidRPr="001C48D2">
        <w:rPr>
          <w:rFonts w:ascii="Gill Sans MT" w:hAnsi="Gill Sans MT"/>
          <w:color w:val="000000" w:themeColor="text1"/>
          <w:sz w:val="22"/>
          <w:szCs w:val="22"/>
        </w:rPr>
        <w:t>.1</w:t>
      </w:r>
    </w:p>
    <w:p w:rsidR="00EF7A54" w:rsidRPr="001C48D2" w:rsidRDefault="00EF7A54" w:rsidP="00EF7A54">
      <w:pPr>
        <w:jc w:val="center"/>
        <w:rPr>
          <w:rFonts w:ascii="Gill Sans MT" w:hAnsi="Gill Sans MT"/>
          <w:color w:val="000000" w:themeColor="text1"/>
          <w:sz w:val="22"/>
          <w:szCs w:val="22"/>
        </w:rPr>
      </w:pPr>
      <w:r w:rsidRPr="001C48D2">
        <w:rPr>
          <w:rFonts w:ascii="Gill Sans MT" w:hAnsi="Gill Sans MT"/>
          <w:color w:val="000000" w:themeColor="text1"/>
          <w:sz w:val="22"/>
          <w:szCs w:val="22"/>
        </w:rPr>
        <w:t xml:space="preserve">Net </w:t>
      </w:r>
      <w:r w:rsidR="0063791F" w:rsidRPr="001C48D2">
        <w:rPr>
          <w:rFonts w:ascii="Gill Sans MT" w:hAnsi="Gill Sans MT"/>
          <w:color w:val="000000" w:themeColor="text1"/>
          <w:sz w:val="22"/>
          <w:szCs w:val="22"/>
        </w:rPr>
        <w:t>s</w:t>
      </w:r>
      <w:r w:rsidRPr="001C48D2">
        <w:rPr>
          <w:rFonts w:ascii="Gill Sans MT" w:hAnsi="Gill Sans MT"/>
          <w:color w:val="000000" w:themeColor="text1"/>
          <w:sz w:val="22"/>
          <w:szCs w:val="22"/>
        </w:rPr>
        <w:t>eigniorage estimates under different assumptions about minting costs</w:t>
      </w:r>
    </w:p>
    <w:p w:rsidR="00EF7A54" w:rsidRPr="001C48D2" w:rsidRDefault="00EF7A54" w:rsidP="00EF7A54">
      <w:pPr>
        <w:rPr>
          <w:rFonts w:ascii="Gill Sans MT" w:hAnsi="Gill Sans MT"/>
          <w:color w:val="000000" w:themeColor="text1"/>
          <w:sz w:val="22"/>
          <w:szCs w:val="22"/>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340"/>
        <w:gridCol w:w="2175"/>
        <w:gridCol w:w="2620"/>
      </w:tblGrid>
      <w:tr w:rsidR="001C48D2" w:rsidRPr="001C48D2" w:rsidTr="000D483C">
        <w:trPr>
          <w:trHeight w:val="1880"/>
        </w:trPr>
        <w:tc>
          <w:tcPr>
            <w:tcW w:w="2605" w:type="dxa"/>
            <w:shd w:val="clear" w:color="auto" w:fill="auto"/>
            <w:vAlign w:val="bottom"/>
            <w:hideMark/>
          </w:tcPr>
          <w:p w:rsidR="00EF7A54" w:rsidRPr="001C48D2" w:rsidRDefault="00EF7A54" w:rsidP="00673C66">
            <w:pPr>
              <w:rPr>
                <w:rFonts w:ascii="Gill Sans MT" w:eastAsia="Times New Roman" w:hAnsi="Gill Sans MT" w:cs="Calibri"/>
                <w:color w:val="000000" w:themeColor="text1"/>
                <w:sz w:val="22"/>
                <w:szCs w:val="22"/>
              </w:rPr>
            </w:pPr>
          </w:p>
        </w:tc>
        <w:tc>
          <w:tcPr>
            <w:tcW w:w="2340" w:type="dxa"/>
            <w:shd w:val="clear" w:color="auto" w:fill="auto"/>
            <w:vAlign w:val="bottom"/>
            <w:hideMark/>
          </w:tcPr>
          <w:p w:rsidR="00EF7A54" w:rsidRPr="001C48D2" w:rsidRDefault="00EF7A54" w:rsidP="00673C66">
            <w:pPr>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Total net seigniorage over 1652-1682 (MA pounds)</w:t>
            </w:r>
          </w:p>
        </w:tc>
        <w:tc>
          <w:tcPr>
            <w:tcW w:w="2175" w:type="dxa"/>
            <w:shd w:val="clear" w:color="auto" w:fill="auto"/>
            <w:vAlign w:val="bottom"/>
            <w:hideMark/>
          </w:tcPr>
          <w:p w:rsidR="00EF7A54" w:rsidRPr="001C48D2" w:rsidRDefault="00EF7A54" w:rsidP="00673C66">
            <w:pPr>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Hull's net seigniorage income accumulated over 1652-82 (MA pounds)</w:t>
            </w:r>
          </w:p>
        </w:tc>
        <w:tc>
          <w:tcPr>
            <w:tcW w:w="2620" w:type="dxa"/>
            <w:shd w:val="clear" w:color="auto" w:fill="auto"/>
            <w:vAlign w:val="bottom"/>
            <w:hideMark/>
          </w:tcPr>
          <w:p w:rsidR="00EF7A54" w:rsidRPr="001C48D2" w:rsidRDefault="00EF7A54" w:rsidP="00673C66">
            <w:pPr>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Hull's net seigniorage income accumulated over 1652-82 as % of personal wealth at death</w:t>
            </w:r>
          </w:p>
        </w:tc>
      </w:tr>
      <w:tr w:rsidR="001C48D2" w:rsidRPr="001C48D2" w:rsidTr="000D483C">
        <w:trPr>
          <w:trHeight w:val="680"/>
        </w:trPr>
        <w:tc>
          <w:tcPr>
            <w:tcW w:w="2605" w:type="dxa"/>
            <w:shd w:val="clear" w:color="auto" w:fill="auto"/>
            <w:vAlign w:val="bottom"/>
            <w:hideMark/>
          </w:tcPr>
          <w:p w:rsidR="00EF7A54" w:rsidRPr="001C48D2" w:rsidRDefault="00EF7A54" w:rsidP="00673C66">
            <w:pPr>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Net seigniorage rate = 4.125%</w:t>
            </w:r>
          </w:p>
        </w:tc>
        <w:tc>
          <w:tcPr>
            <w:tcW w:w="2340" w:type="dxa"/>
            <w:shd w:val="clear" w:color="auto" w:fill="auto"/>
            <w:noWrap/>
            <w:vAlign w:val="bottom"/>
            <w:hideMark/>
          </w:tcPr>
          <w:p w:rsidR="00EF7A54" w:rsidRPr="001C48D2" w:rsidRDefault="00EF7A54" w:rsidP="00673C66">
            <w:pPr>
              <w:jc w:val="right"/>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3391</w:t>
            </w:r>
          </w:p>
        </w:tc>
        <w:tc>
          <w:tcPr>
            <w:tcW w:w="2175" w:type="dxa"/>
            <w:shd w:val="clear" w:color="auto" w:fill="auto"/>
            <w:noWrap/>
            <w:vAlign w:val="bottom"/>
            <w:hideMark/>
          </w:tcPr>
          <w:p w:rsidR="00EF7A54" w:rsidRPr="001C48D2" w:rsidRDefault="00EF7A54" w:rsidP="00673C66">
            <w:pPr>
              <w:jc w:val="right"/>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1695</w:t>
            </w:r>
          </w:p>
        </w:tc>
        <w:tc>
          <w:tcPr>
            <w:tcW w:w="2620" w:type="dxa"/>
            <w:shd w:val="clear" w:color="auto" w:fill="auto"/>
            <w:noWrap/>
            <w:vAlign w:val="bottom"/>
            <w:hideMark/>
          </w:tcPr>
          <w:p w:rsidR="00EF7A54" w:rsidRPr="001C48D2" w:rsidRDefault="00EF7A54" w:rsidP="00673C66">
            <w:pPr>
              <w:jc w:val="right"/>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0.28</w:t>
            </w:r>
          </w:p>
        </w:tc>
      </w:tr>
      <w:tr w:rsidR="001C48D2" w:rsidRPr="001C48D2" w:rsidTr="000D483C">
        <w:trPr>
          <w:trHeight w:val="320"/>
        </w:trPr>
        <w:tc>
          <w:tcPr>
            <w:tcW w:w="2605" w:type="dxa"/>
            <w:shd w:val="clear" w:color="auto" w:fill="auto"/>
            <w:vAlign w:val="bottom"/>
            <w:hideMark/>
          </w:tcPr>
          <w:p w:rsidR="00EF7A54" w:rsidRPr="001C48D2" w:rsidRDefault="00EF7A54" w:rsidP="00673C66">
            <w:pPr>
              <w:jc w:val="right"/>
              <w:rPr>
                <w:rFonts w:ascii="Gill Sans MT" w:eastAsia="Times New Roman" w:hAnsi="Gill Sans MT" w:cs="Calibri"/>
                <w:color w:val="000000" w:themeColor="text1"/>
                <w:sz w:val="22"/>
                <w:szCs w:val="22"/>
              </w:rPr>
            </w:pPr>
          </w:p>
        </w:tc>
        <w:tc>
          <w:tcPr>
            <w:tcW w:w="2340" w:type="dxa"/>
            <w:shd w:val="clear" w:color="auto" w:fill="auto"/>
            <w:noWrap/>
            <w:vAlign w:val="bottom"/>
            <w:hideMark/>
          </w:tcPr>
          <w:p w:rsidR="00EF7A54" w:rsidRPr="001C48D2" w:rsidRDefault="00EF7A54" w:rsidP="00673C66">
            <w:pPr>
              <w:rPr>
                <w:rFonts w:ascii="Gill Sans MT" w:eastAsia="Times New Roman" w:hAnsi="Gill Sans MT"/>
                <w:color w:val="000000" w:themeColor="text1"/>
                <w:sz w:val="22"/>
                <w:szCs w:val="22"/>
              </w:rPr>
            </w:pPr>
          </w:p>
        </w:tc>
        <w:tc>
          <w:tcPr>
            <w:tcW w:w="2175" w:type="dxa"/>
            <w:shd w:val="clear" w:color="auto" w:fill="auto"/>
            <w:noWrap/>
            <w:vAlign w:val="bottom"/>
            <w:hideMark/>
          </w:tcPr>
          <w:p w:rsidR="00EF7A54" w:rsidRPr="001C48D2" w:rsidRDefault="00EF7A54" w:rsidP="00673C66">
            <w:pPr>
              <w:rPr>
                <w:rFonts w:ascii="Gill Sans MT" w:eastAsia="Times New Roman" w:hAnsi="Gill Sans MT"/>
                <w:color w:val="000000" w:themeColor="text1"/>
                <w:sz w:val="22"/>
                <w:szCs w:val="22"/>
              </w:rPr>
            </w:pPr>
          </w:p>
        </w:tc>
        <w:tc>
          <w:tcPr>
            <w:tcW w:w="2620" w:type="dxa"/>
            <w:shd w:val="clear" w:color="auto" w:fill="auto"/>
            <w:noWrap/>
            <w:vAlign w:val="bottom"/>
            <w:hideMark/>
          </w:tcPr>
          <w:p w:rsidR="00EF7A54" w:rsidRPr="001C48D2" w:rsidRDefault="00EF7A54" w:rsidP="00673C66">
            <w:pPr>
              <w:rPr>
                <w:rFonts w:ascii="Gill Sans MT" w:eastAsia="Times New Roman" w:hAnsi="Gill Sans MT"/>
                <w:color w:val="000000" w:themeColor="text1"/>
                <w:sz w:val="22"/>
                <w:szCs w:val="22"/>
              </w:rPr>
            </w:pPr>
          </w:p>
        </w:tc>
      </w:tr>
      <w:tr w:rsidR="001C48D2" w:rsidRPr="001C48D2" w:rsidTr="000D483C">
        <w:trPr>
          <w:trHeight w:val="680"/>
        </w:trPr>
        <w:tc>
          <w:tcPr>
            <w:tcW w:w="2605" w:type="dxa"/>
            <w:shd w:val="clear" w:color="auto" w:fill="auto"/>
            <w:vAlign w:val="bottom"/>
            <w:hideMark/>
          </w:tcPr>
          <w:p w:rsidR="00EF7A54" w:rsidRPr="001C48D2" w:rsidRDefault="00EF7A54" w:rsidP="00673C66">
            <w:pPr>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Net seigniorage = 3.0%</w:t>
            </w:r>
          </w:p>
        </w:tc>
        <w:tc>
          <w:tcPr>
            <w:tcW w:w="2340" w:type="dxa"/>
            <w:shd w:val="clear" w:color="auto" w:fill="auto"/>
            <w:noWrap/>
            <w:vAlign w:val="bottom"/>
            <w:hideMark/>
          </w:tcPr>
          <w:p w:rsidR="00EF7A54" w:rsidRPr="001C48D2" w:rsidRDefault="00EF7A54" w:rsidP="00673C66">
            <w:pPr>
              <w:jc w:val="right"/>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2466</w:t>
            </w:r>
          </w:p>
        </w:tc>
        <w:tc>
          <w:tcPr>
            <w:tcW w:w="2175" w:type="dxa"/>
            <w:shd w:val="clear" w:color="auto" w:fill="auto"/>
            <w:noWrap/>
            <w:vAlign w:val="bottom"/>
            <w:hideMark/>
          </w:tcPr>
          <w:p w:rsidR="00EF7A54" w:rsidRPr="001C48D2" w:rsidRDefault="00EF7A54" w:rsidP="00673C66">
            <w:pPr>
              <w:jc w:val="right"/>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1233</w:t>
            </w:r>
          </w:p>
        </w:tc>
        <w:tc>
          <w:tcPr>
            <w:tcW w:w="2620" w:type="dxa"/>
            <w:shd w:val="clear" w:color="auto" w:fill="auto"/>
            <w:noWrap/>
            <w:vAlign w:val="bottom"/>
            <w:hideMark/>
          </w:tcPr>
          <w:p w:rsidR="00EF7A54" w:rsidRPr="001C48D2" w:rsidRDefault="00EF7A54" w:rsidP="00673C66">
            <w:pPr>
              <w:jc w:val="right"/>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0.21</w:t>
            </w:r>
          </w:p>
        </w:tc>
      </w:tr>
      <w:tr w:rsidR="001C48D2" w:rsidRPr="001C48D2" w:rsidTr="000D483C">
        <w:trPr>
          <w:trHeight w:val="320"/>
        </w:trPr>
        <w:tc>
          <w:tcPr>
            <w:tcW w:w="2605" w:type="dxa"/>
            <w:shd w:val="clear" w:color="auto" w:fill="auto"/>
            <w:vAlign w:val="bottom"/>
            <w:hideMark/>
          </w:tcPr>
          <w:p w:rsidR="00EF7A54" w:rsidRPr="001C48D2" w:rsidRDefault="00EF7A54" w:rsidP="00673C66">
            <w:pPr>
              <w:jc w:val="right"/>
              <w:rPr>
                <w:rFonts w:ascii="Gill Sans MT" w:eastAsia="Times New Roman" w:hAnsi="Gill Sans MT" w:cs="Calibri"/>
                <w:color w:val="000000" w:themeColor="text1"/>
                <w:sz w:val="22"/>
                <w:szCs w:val="22"/>
              </w:rPr>
            </w:pPr>
          </w:p>
        </w:tc>
        <w:tc>
          <w:tcPr>
            <w:tcW w:w="2340" w:type="dxa"/>
            <w:shd w:val="clear" w:color="auto" w:fill="auto"/>
            <w:noWrap/>
            <w:vAlign w:val="bottom"/>
            <w:hideMark/>
          </w:tcPr>
          <w:p w:rsidR="00EF7A54" w:rsidRPr="001C48D2" w:rsidRDefault="00EF7A54" w:rsidP="00673C66">
            <w:pPr>
              <w:rPr>
                <w:rFonts w:ascii="Gill Sans MT" w:eastAsia="Times New Roman" w:hAnsi="Gill Sans MT"/>
                <w:color w:val="000000" w:themeColor="text1"/>
                <w:sz w:val="22"/>
                <w:szCs w:val="22"/>
              </w:rPr>
            </w:pPr>
          </w:p>
        </w:tc>
        <w:tc>
          <w:tcPr>
            <w:tcW w:w="2175" w:type="dxa"/>
            <w:shd w:val="clear" w:color="auto" w:fill="auto"/>
            <w:noWrap/>
            <w:vAlign w:val="bottom"/>
            <w:hideMark/>
          </w:tcPr>
          <w:p w:rsidR="00EF7A54" w:rsidRPr="001C48D2" w:rsidRDefault="00EF7A54" w:rsidP="00673C66">
            <w:pPr>
              <w:rPr>
                <w:rFonts w:ascii="Gill Sans MT" w:eastAsia="Times New Roman" w:hAnsi="Gill Sans MT"/>
                <w:color w:val="000000" w:themeColor="text1"/>
                <w:sz w:val="22"/>
                <w:szCs w:val="22"/>
              </w:rPr>
            </w:pPr>
          </w:p>
        </w:tc>
        <w:tc>
          <w:tcPr>
            <w:tcW w:w="2620" w:type="dxa"/>
            <w:shd w:val="clear" w:color="auto" w:fill="auto"/>
            <w:noWrap/>
            <w:vAlign w:val="bottom"/>
            <w:hideMark/>
          </w:tcPr>
          <w:p w:rsidR="00EF7A54" w:rsidRPr="001C48D2" w:rsidRDefault="00EF7A54" w:rsidP="00673C66">
            <w:pPr>
              <w:rPr>
                <w:rFonts w:ascii="Gill Sans MT" w:eastAsia="Times New Roman" w:hAnsi="Gill Sans MT"/>
                <w:color w:val="000000" w:themeColor="text1"/>
                <w:sz w:val="22"/>
                <w:szCs w:val="22"/>
              </w:rPr>
            </w:pPr>
          </w:p>
        </w:tc>
      </w:tr>
      <w:tr w:rsidR="00EF7A54" w:rsidRPr="001C48D2" w:rsidTr="000D483C">
        <w:trPr>
          <w:trHeight w:val="680"/>
        </w:trPr>
        <w:tc>
          <w:tcPr>
            <w:tcW w:w="2605" w:type="dxa"/>
            <w:shd w:val="clear" w:color="auto" w:fill="auto"/>
            <w:vAlign w:val="bottom"/>
            <w:hideMark/>
          </w:tcPr>
          <w:p w:rsidR="00EF7A54" w:rsidRPr="001C48D2" w:rsidRDefault="00EF7A54" w:rsidP="00673C66">
            <w:pPr>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Net seigniorage = 1.5%</w:t>
            </w:r>
          </w:p>
        </w:tc>
        <w:tc>
          <w:tcPr>
            <w:tcW w:w="2340" w:type="dxa"/>
            <w:shd w:val="clear" w:color="auto" w:fill="auto"/>
            <w:noWrap/>
            <w:vAlign w:val="bottom"/>
            <w:hideMark/>
          </w:tcPr>
          <w:p w:rsidR="00EF7A54" w:rsidRPr="001C48D2" w:rsidRDefault="00EF7A54" w:rsidP="00673C66">
            <w:pPr>
              <w:jc w:val="right"/>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1233</w:t>
            </w:r>
          </w:p>
        </w:tc>
        <w:tc>
          <w:tcPr>
            <w:tcW w:w="2175" w:type="dxa"/>
            <w:shd w:val="clear" w:color="auto" w:fill="auto"/>
            <w:noWrap/>
            <w:vAlign w:val="bottom"/>
            <w:hideMark/>
          </w:tcPr>
          <w:p w:rsidR="00EF7A54" w:rsidRPr="001C48D2" w:rsidRDefault="00EF7A54" w:rsidP="00673C66">
            <w:pPr>
              <w:jc w:val="right"/>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616.5</w:t>
            </w:r>
          </w:p>
        </w:tc>
        <w:tc>
          <w:tcPr>
            <w:tcW w:w="2620" w:type="dxa"/>
            <w:shd w:val="clear" w:color="auto" w:fill="auto"/>
            <w:noWrap/>
            <w:vAlign w:val="bottom"/>
            <w:hideMark/>
          </w:tcPr>
          <w:p w:rsidR="00EF7A54" w:rsidRPr="001C48D2" w:rsidRDefault="00EF7A54" w:rsidP="00673C66">
            <w:pPr>
              <w:jc w:val="right"/>
              <w:rPr>
                <w:rFonts w:ascii="Gill Sans MT" w:eastAsia="Times New Roman" w:hAnsi="Gill Sans MT" w:cs="Calibri"/>
                <w:color w:val="000000" w:themeColor="text1"/>
                <w:sz w:val="22"/>
                <w:szCs w:val="22"/>
              </w:rPr>
            </w:pPr>
            <w:r w:rsidRPr="001C48D2">
              <w:rPr>
                <w:rFonts w:ascii="Gill Sans MT" w:eastAsia="Times New Roman" w:hAnsi="Gill Sans MT" w:cs="Calibri"/>
                <w:color w:val="000000" w:themeColor="text1"/>
                <w:sz w:val="22"/>
                <w:szCs w:val="22"/>
              </w:rPr>
              <w:t>0.10</w:t>
            </w:r>
          </w:p>
        </w:tc>
      </w:tr>
    </w:tbl>
    <w:p w:rsidR="00EF7A54" w:rsidRPr="001C48D2" w:rsidRDefault="00EF7A54" w:rsidP="00EF7A54">
      <w:pPr>
        <w:rPr>
          <w:rFonts w:ascii="Gill Sans MT" w:hAnsi="Gill Sans MT"/>
          <w:color w:val="000000" w:themeColor="text1"/>
          <w:sz w:val="22"/>
          <w:szCs w:val="22"/>
        </w:rPr>
      </w:pPr>
    </w:p>
    <w:p w:rsidR="00EF7A54" w:rsidRPr="001C48D2" w:rsidRDefault="00EF7A54" w:rsidP="00EF7A54">
      <w:pPr>
        <w:rPr>
          <w:rFonts w:ascii="Gill Sans MT" w:hAnsi="Gill Sans MT"/>
          <w:color w:val="000000" w:themeColor="text1"/>
          <w:sz w:val="20"/>
          <w:szCs w:val="20"/>
        </w:rPr>
      </w:pPr>
      <w:r w:rsidRPr="001C48D2">
        <w:rPr>
          <w:rFonts w:ascii="Gill Sans MT" w:hAnsi="Gill Sans MT"/>
          <w:color w:val="000000" w:themeColor="text1"/>
          <w:sz w:val="20"/>
          <w:szCs w:val="20"/>
        </w:rPr>
        <w:t xml:space="preserve">Notes: </w:t>
      </w:r>
      <w:r w:rsidRPr="001C48D2">
        <w:rPr>
          <w:rFonts w:ascii="Gill Sans MT" w:eastAsia="Times New Roman" w:hAnsi="Gill Sans MT" w:cs="Calibri"/>
          <w:color w:val="000000" w:themeColor="text1"/>
          <w:sz w:val="20"/>
          <w:szCs w:val="20"/>
        </w:rPr>
        <w:t>For each minting cost scenarios, average annual coinage output is 54,800 shillings and average annual gross seigniorage is 4,100 shillings. It is assumed that Hull and Sanderson shared net revenue equally. Hull’s personal wealth at death is 6,000 pounds.</w:t>
      </w:r>
    </w:p>
    <w:p w:rsidR="004B475B" w:rsidRPr="001C48D2" w:rsidRDefault="004B475B">
      <w:pPr>
        <w:rPr>
          <w:rFonts w:ascii="Gill Sans MT" w:hAnsi="Gill Sans MT"/>
          <w:color w:val="000000" w:themeColor="text1"/>
          <w:sz w:val="20"/>
          <w:szCs w:val="20"/>
        </w:rPr>
      </w:pPr>
      <w:r w:rsidRPr="001C48D2">
        <w:rPr>
          <w:rFonts w:ascii="Gill Sans MT" w:hAnsi="Gill Sans MT"/>
          <w:color w:val="000000" w:themeColor="text1"/>
          <w:sz w:val="20"/>
          <w:szCs w:val="20"/>
        </w:rPr>
        <w:br w:type="page"/>
      </w:r>
    </w:p>
    <w:p w:rsidR="004B475B" w:rsidRPr="001C48D2" w:rsidRDefault="004B475B" w:rsidP="004B475B">
      <w:pPr>
        <w:jc w:val="center"/>
        <w:rPr>
          <w:rFonts w:ascii="Gill Sans MT" w:hAnsi="Gill Sans MT"/>
          <w:color w:val="000000" w:themeColor="text1"/>
        </w:rPr>
      </w:pPr>
      <w:r w:rsidRPr="001C48D2">
        <w:rPr>
          <w:rFonts w:ascii="Gill Sans MT" w:hAnsi="Gill Sans MT"/>
          <w:color w:val="000000" w:themeColor="text1"/>
        </w:rPr>
        <w:lastRenderedPageBreak/>
        <w:t xml:space="preserve">TABLE </w:t>
      </w:r>
      <w:r w:rsidR="00652557" w:rsidRPr="001C48D2">
        <w:rPr>
          <w:rFonts w:ascii="Gill Sans MT" w:hAnsi="Gill Sans MT"/>
          <w:color w:val="000000" w:themeColor="text1"/>
        </w:rPr>
        <w:t>A</w:t>
      </w:r>
      <w:r w:rsidRPr="001C48D2">
        <w:rPr>
          <w:rFonts w:ascii="Gill Sans MT" w:hAnsi="Gill Sans MT"/>
          <w:color w:val="000000" w:themeColor="text1"/>
        </w:rPr>
        <w:t xml:space="preserve">.2 </w:t>
      </w:r>
    </w:p>
    <w:p w:rsidR="004B475B" w:rsidRPr="001C48D2" w:rsidRDefault="00AC7056" w:rsidP="004B475B">
      <w:pPr>
        <w:jc w:val="center"/>
        <w:rPr>
          <w:rFonts w:ascii="Gill Sans MT" w:hAnsi="Gill Sans MT"/>
          <w:color w:val="000000" w:themeColor="text1"/>
        </w:rPr>
      </w:pPr>
      <w:r>
        <w:rPr>
          <w:noProof/>
        </w:rPr>
        <w:pict>
          <v:line id="Straight Connector 3" o:spid="_x0000_s1027" alt="" style="position:absolute;left:0;text-align:left;z-index:251659264;visibility:visible;mso-wrap-edited:f;mso-wrap-distance-left:3.17261mm;mso-wrap-distance-top:.29769mm;mso-wrap-distance-right:3.17261mm;mso-wrap-distance-bottom:.29769mm" from="537pt,25.1pt" to="537pt,25.1pt" strokecolor="#4472c4" strokeweight=".5pt">
            <v:stroke joinstyle="miter"/>
          </v:line>
        </w:pict>
      </w:r>
      <w:r w:rsidR="004B475B" w:rsidRPr="001C48D2">
        <w:rPr>
          <w:rFonts w:ascii="Gill Sans MT" w:hAnsi="Gill Sans MT"/>
          <w:color w:val="000000" w:themeColor="text1"/>
        </w:rPr>
        <w:t xml:space="preserve">The </w:t>
      </w:r>
      <w:r w:rsidR="0063791F" w:rsidRPr="001C48D2">
        <w:rPr>
          <w:rFonts w:ascii="Gill Sans MT" w:hAnsi="Gill Sans MT"/>
          <w:color w:val="000000" w:themeColor="text1"/>
        </w:rPr>
        <w:t>r</w:t>
      </w:r>
      <w:r w:rsidR="004B475B" w:rsidRPr="001C48D2">
        <w:rPr>
          <w:rFonts w:ascii="Gill Sans MT" w:hAnsi="Gill Sans MT"/>
          <w:color w:val="000000" w:themeColor="text1"/>
        </w:rPr>
        <w:t>eturn to cheating</w:t>
      </w:r>
    </w:p>
    <w:p w:rsidR="004B475B" w:rsidRPr="001C48D2" w:rsidRDefault="004B475B" w:rsidP="004B475B">
      <w:pPr>
        <w:rPr>
          <w:rFonts w:ascii="Gill Sans MT" w:hAnsi="Gill Sans MT"/>
          <w:color w:val="000000" w:themeColor="text1"/>
          <w:sz w:val="20"/>
          <w:szCs w:val="20"/>
        </w:rPr>
      </w:pPr>
    </w:p>
    <w:tbl>
      <w:tblPr>
        <w:tblW w:w="1530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409"/>
        <w:gridCol w:w="1710"/>
        <w:gridCol w:w="1890"/>
        <w:gridCol w:w="1710"/>
        <w:gridCol w:w="1710"/>
        <w:gridCol w:w="1440"/>
        <w:gridCol w:w="10"/>
        <w:gridCol w:w="4406"/>
      </w:tblGrid>
      <w:tr w:rsidR="001C48D2" w:rsidRPr="001C48D2" w:rsidTr="00821235">
        <w:trPr>
          <w:trHeight w:val="467"/>
        </w:trPr>
        <w:tc>
          <w:tcPr>
            <w:tcW w:w="1021" w:type="dxa"/>
            <w:shd w:val="clear" w:color="auto" w:fill="auto"/>
            <w:vAlign w:val="bottom"/>
            <w:hideMark/>
          </w:tcPr>
          <w:p w:rsidR="00821235" w:rsidRPr="001C48D2" w:rsidRDefault="00821235" w:rsidP="00673C66">
            <w:pPr>
              <w:rPr>
                <w:rFonts w:ascii="Gill Sans MT" w:eastAsia="Times New Roman" w:hAnsi="Gill Sans MT"/>
                <w:color w:val="000000" w:themeColor="text1"/>
                <w:sz w:val="20"/>
                <w:szCs w:val="20"/>
              </w:rPr>
            </w:pPr>
          </w:p>
        </w:tc>
        <w:tc>
          <w:tcPr>
            <w:tcW w:w="3119" w:type="dxa"/>
            <w:gridSpan w:val="2"/>
            <w:shd w:val="clear" w:color="auto" w:fill="auto"/>
            <w:noWrap/>
            <w:vAlign w:val="bottom"/>
            <w:hideMark/>
          </w:tcPr>
          <w:p w:rsidR="00821235" w:rsidRPr="001C48D2" w:rsidRDefault="00821235" w:rsidP="00673C66">
            <w:pPr>
              <w:jc w:val="center"/>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Net seigniorage return = 4.125%</w:t>
            </w:r>
          </w:p>
        </w:tc>
        <w:tc>
          <w:tcPr>
            <w:tcW w:w="3600" w:type="dxa"/>
            <w:gridSpan w:val="2"/>
            <w:shd w:val="clear" w:color="auto" w:fill="auto"/>
            <w:noWrap/>
            <w:vAlign w:val="bottom"/>
            <w:hideMark/>
          </w:tcPr>
          <w:p w:rsidR="00821235" w:rsidRPr="001C48D2" w:rsidRDefault="00821235" w:rsidP="00673C66">
            <w:pPr>
              <w:jc w:val="center"/>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Net seigniorage return = 3.0%</w:t>
            </w:r>
          </w:p>
        </w:tc>
        <w:tc>
          <w:tcPr>
            <w:tcW w:w="3160" w:type="dxa"/>
            <w:gridSpan w:val="3"/>
            <w:shd w:val="clear" w:color="auto" w:fill="auto"/>
            <w:noWrap/>
            <w:vAlign w:val="bottom"/>
            <w:hideMark/>
          </w:tcPr>
          <w:p w:rsidR="00821235" w:rsidRPr="001C48D2" w:rsidRDefault="00821235" w:rsidP="004B475B">
            <w:pPr>
              <w:rPr>
                <w:rFonts w:ascii="Gill Sans MT" w:eastAsia="Times New Roman" w:hAnsi="Gill Sans MT" w:cs="Calibri"/>
                <w:color w:val="000000" w:themeColor="text1"/>
                <w:sz w:val="20"/>
                <w:szCs w:val="20"/>
              </w:rPr>
            </w:pPr>
          </w:p>
          <w:p w:rsidR="00821235" w:rsidRPr="001C48D2" w:rsidRDefault="00AC7056" w:rsidP="004B475B">
            <w:pPr>
              <w:rPr>
                <w:rFonts w:ascii="Gill Sans MT" w:eastAsia="Times New Roman" w:hAnsi="Gill Sans MT" w:cs="Calibri"/>
                <w:color w:val="000000" w:themeColor="text1"/>
                <w:sz w:val="20"/>
                <w:szCs w:val="20"/>
              </w:rPr>
            </w:pPr>
            <w:r>
              <w:rPr>
                <w:noProof/>
              </w:rPr>
              <w:pict>
                <v:line id="Straight Connector 4" o:spid="_x0000_s1028" alt="" style="position:absolute;z-index:251662336;visibility:visible;mso-wrap-edited:f;mso-wrap-distance-left:3.17211mm;mso-wrap-distance-right:3.17211mm;mso-width-relative:margin;mso-height-relative:margin" from="188.85pt,.1pt" to="188.85pt,19.1pt" strokecolor="windowText" strokeweight=".5pt">
                  <v:stroke joinstyle="miter"/>
                </v:line>
              </w:pict>
            </w:r>
            <w:r w:rsidR="00821235" w:rsidRPr="001C48D2">
              <w:rPr>
                <w:rFonts w:ascii="Gill Sans MT" w:eastAsia="Times New Roman" w:hAnsi="Gill Sans MT" w:cs="Calibri"/>
                <w:color w:val="000000" w:themeColor="text1"/>
                <w:sz w:val="20"/>
                <w:szCs w:val="20"/>
              </w:rPr>
              <w:t xml:space="preserve">Net seigniorage return = 1.5% </w:t>
            </w:r>
          </w:p>
        </w:tc>
        <w:tc>
          <w:tcPr>
            <w:tcW w:w="4406" w:type="dxa"/>
            <w:tcBorders>
              <w:top w:val="nil"/>
              <w:bottom w:val="nil"/>
            </w:tcBorders>
            <w:shd w:val="clear" w:color="auto" w:fill="auto"/>
            <w:vAlign w:val="bottom"/>
          </w:tcPr>
          <w:p w:rsidR="00821235" w:rsidRPr="001C48D2" w:rsidRDefault="00821235">
            <w:pPr>
              <w:rPr>
                <w:rFonts w:ascii="Gill Sans MT" w:eastAsia="Times New Roman" w:hAnsi="Gill Sans MT" w:cs="Calibri"/>
                <w:color w:val="000000" w:themeColor="text1"/>
                <w:sz w:val="20"/>
                <w:szCs w:val="20"/>
              </w:rPr>
            </w:pPr>
          </w:p>
          <w:p w:rsidR="00821235" w:rsidRPr="001C48D2" w:rsidRDefault="00821235" w:rsidP="004B475B">
            <w:pPr>
              <w:rPr>
                <w:rFonts w:ascii="Gill Sans MT" w:eastAsia="Times New Roman" w:hAnsi="Gill Sans MT" w:cs="Calibri"/>
                <w:color w:val="000000" w:themeColor="text1"/>
                <w:sz w:val="20"/>
                <w:szCs w:val="20"/>
              </w:rPr>
            </w:pPr>
          </w:p>
        </w:tc>
      </w:tr>
      <w:tr w:rsidR="001C48D2" w:rsidRPr="001C48D2" w:rsidTr="000D483C">
        <w:trPr>
          <w:gridAfter w:val="2"/>
          <w:wAfter w:w="4416" w:type="dxa"/>
          <w:trHeight w:val="1600"/>
        </w:trPr>
        <w:tc>
          <w:tcPr>
            <w:tcW w:w="1021" w:type="dxa"/>
            <w:shd w:val="clear" w:color="auto" w:fill="auto"/>
            <w:noWrap/>
            <w:vAlign w:val="bottom"/>
            <w:hideMark/>
          </w:tcPr>
          <w:p w:rsidR="004B475B" w:rsidRPr="001C48D2" w:rsidRDefault="004B475B" w:rsidP="00673C66">
            <w:pPr>
              <w:jc w:val="center"/>
              <w:rPr>
                <w:rFonts w:ascii="Gill Sans MT" w:eastAsia="Times New Roman" w:hAnsi="Gill Sans MT" w:cs="Calibri"/>
                <w:color w:val="000000" w:themeColor="text1"/>
                <w:sz w:val="20"/>
                <w:szCs w:val="20"/>
              </w:rPr>
            </w:pPr>
          </w:p>
        </w:tc>
        <w:tc>
          <w:tcPr>
            <w:tcW w:w="1409" w:type="dxa"/>
            <w:shd w:val="clear" w:color="auto" w:fill="auto"/>
            <w:vAlign w:val="bottom"/>
            <w:hideMark/>
          </w:tcPr>
          <w:p w:rsidR="004B475B" w:rsidRPr="001C48D2" w:rsidRDefault="004B475B" w:rsidP="00673C66">
            <w:pPr>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Hull's return to cheating accumulated over 1652-</w:t>
            </w:r>
            <w:r w:rsidR="007F75E0" w:rsidRPr="001C48D2">
              <w:rPr>
                <w:rFonts w:ascii="Gill Sans MT" w:eastAsia="Times New Roman" w:hAnsi="Gill Sans MT" w:cs="Calibri"/>
                <w:color w:val="000000" w:themeColor="text1"/>
                <w:sz w:val="20"/>
                <w:szCs w:val="20"/>
              </w:rPr>
              <w:t>8</w:t>
            </w:r>
            <w:r w:rsidRPr="001C48D2">
              <w:rPr>
                <w:rFonts w:ascii="Gill Sans MT" w:eastAsia="Times New Roman" w:hAnsi="Gill Sans MT" w:cs="Calibri"/>
                <w:color w:val="000000" w:themeColor="text1"/>
                <w:sz w:val="20"/>
                <w:szCs w:val="20"/>
              </w:rPr>
              <w:t>2 (MA pounds)</w:t>
            </w:r>
          </w:p>
        </w:tc>
        <w:tc>
          <w:tcPr>
            <w:tcW w:w="1710" w:type="dxa"/>
            <w:shd w:val="clear" w:color="auto" w:fill="auto"/>
            <w:vAlign w:val="bottom"/>
            <w:hideMark/>
          </w:tcPr>
          <w:p w:rsidR="004B475B" w:rsidRPr="001C48D2" w:rsidRDefault="004B475B" w:rsidP="00673C66">
            <w:pPr>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Hull's return to cheating as % of 1652-82 net seigniorage on honest coinage</w:t>
            </w:r>
          </w:p>
        </w:tc>
        <w:tc>
          <w:tcPr>
            <w:tcW w:w="1890" w:type="dxa"/>
            <w:shd w:val="clear" w:color="auto" w:fill="auto"/>
            <w:vAlign w:val="bottom"/>
            <w:hideMark/>
          </w:tcPr>
          <w:p w:rsidR="004B475B" w:rsidRPr="001C48D2" w:rsidRDefault="004B475B" w:rsidP="00673C66">
            <w:pPr>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Hull's return to cheating accumulated over 1652-</w:t>
            </w:r>
            <w:r w:rsidR="007F75E0" w:rsidRPr="001C48D2">
              <w:rPr>
                <w:rFonts w:ascii="Gill Sans MT" w:eastAsia="Times New Roman" w:hAnsi="Gill Sans MT" w:cs="Calibri"/>
                <w:color w:val="000000" w:themeColor="text1"/>
                <w:sz w:val="20"/>
                <w:szCs w:val="20"/>
              </w:rPr>
              <w:t>8</w:t>
            </w:r>
            <w:r w:rsidRPr="001C48D2">
              <w:rPr>
                <w:rFonts w:ascii="Gill Sans MT" w:eastAsia="Times New Roman" w:hAnsi="Gill Sans MT" w:cs="Calibri"/>
                <w:color w:val="000000" w:themeColor="text1"/>
                <w:sz w:val="20"/>
                <w:szCs w:val="20"/>
              </w:rPr>
              <w:t>2 (MA pounds)</w:t>
            </w:r>
          </w:p>
        </w:tc>
        <w:tc>
          <w:tcPr>
            <w:tcW w:w="1710" w:type="dxa"/>
            <w:shd w:val="clear" w:color="auto" w:fill="auto"/>
            <w:vAlign w:val="bottom"/>
            <w:hideMark/>
          </w:tcPr>
          <w:p w:rsidR="004B475B" w:rsidRPr="001C48D2" w:rsidRDefault="004B475B" w:rsidP="00673C66">
            <w:pPr>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Hull's return to cheating as % of 1652-82 net seigniorage on honest coinage</w:t>
            </w:r>
          </w:p>
        </w:tc>
        <w:tc>
          <w:tcPr>
            <w:tcW w:w="1710" w:type="dxa"/>
            <w:shd w:val="clear" w:color="auto" w:fill="auto"/>
            <w:vAlign w:val="bottom"/>
            <w:hideMark/>
          </w:tcPr>
          <w:p w:rsidR="004B475B" w:rsidRPr="001C48D2" w:rsidRDefault="004B475B" w:rsidP="00673C66">
            <w:pPr>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Hull's return to cheating accumulated over 1652-</w:t>
            </w:r>
            <w:r w:rsidR="007F75E0" w:rsidRPr="001C48D2">
              <w:rPr>
                <w:rFonts w:ascii="Gill Sans MT" w:eastAsia="Times New Roman" w:hAnsi="Gill Sans MT" w:cs="Calibri"/>
                <w:color w:val="000000" w:themeColor="text1"/>
                <w:sz w:val="20"/>
                <w:szCs w:val="20"/>
              </w:rPr>
              <w:t>8</w:t>
            </w:r>
            <w:r w:rsidRPr="001C48D2">
              <w:rPr>
                <w:rFonts w:ascii="Gill Sans MT" w:eastAsia="Times New Roman" w:hAnsi="Gill Sans MT" w:cs="Calibri"/>
                <w:color w:val="000000" w:themeColor="text1"/>
                <w:sz w:val="20"/>
                <w:szCs w:val="20"/>
              </w:rPr>
              <w:t>2 (MA pounds)</w:t>
            </w:r>
          </w:p>
        </w:tc>
        <w:tc>
          <w:tcPr>
            <w:tcW w:w="1440" w:type="dxa"/>
            <w:shd w:val="clear" w:color="auto" w:fill="auto"/>
            <w:vAlign w:val="bottom"/>
            <w:hideMark/>
          </w:tcPr>
          <w:p w:rsidR="004B475B" w:rsidRPr="001C48D2" w:rsidRDefault="004B475B" w:rsidP="00673C66">
            <w:pPr>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Hull's return to cheating as % of 1652-82 net seigniorage on honest coinage</w:t>
            </w:r>
          </w:p>
        </w:tc>
      </w:tr>
      <w:tr w:rsidR="001C48D2" w:rsidRPr="001C48D2" w:rsidTr="000D483C">
        <w:trPr>
          <w:gridAfter w:val="2"/>
          <w:wAfter w:w="4416" w:type="dxa"/>
          <w:trHeight w:val="320"/>
        </w:trPr>
        <w:tc>
          <w:tcPr>
            <w:tcW w:w="1021" w:type="dxa"/>
            <w:shd w:val="clear" w:color="auto" w:fill="auto"/>
            <w:noWrap/>
            <w:vAlign w:val="bottom"/>
            <w:hideMark/>
          </w:tcPr>
          <w:p w:rsidR="004B475B" w:rsidRPr="001C48D2" w:rsidRDefault="004B475B" w:rsidP="00673C66">
            <w:pPr>
              <w:rPr>
                <w:rFonts w:ascii="Gill Sans MT" w:eastAsia="Times New Roman" w:hAnsi="Gill Sans MT" w:cs="Calibri"/>
                <w:color w:val="000000" w:themeColor="text1"/>
                <w:sz w:val="20"/>
                <w:szCs w:val="20"/>
              </w:rPr>
            </w:pPr>
          </w:p>
        </w:tc>
        <w:tc>
          <w:tcPr>
            <w:tcW w:w="1409"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c>
          <w:tcPr>
            <w:tcW w:w="1710"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c>
          <w:tcPr>
            <w:tcW w:w="1890"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c>
          <w:tcPr>
            <w:tcW w:w="1710"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c>
          <w:tcPr>
            <w:tcW w:w="1710"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c>
          <w:tcPr>
            <w:tcW w:w="1440"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r>
      <w:tr w:rsidR="001C48D2" w:rsidRPr="001C48D2" w:rsidTr="000D483C">
        <w:trPr>
          <w:gridAfter w:val="2"/>
          <w:wAfter w:w="4416" w:type="dxa"/>
          <w:trHeight w:val="640"/>
        </w:trPr>
        <w:tc>
          <w:tcPr>
            <w:tcW w:w="1021" w:type="dxa"/>
            <w:shd w:val="clear" w:color="auto" w:fill="auto"/>
            <w:vAlign w:val="bottom"/>
            <w:hideMark/>
          </w:tcPr>
          <w:p w:rsidR="004B475B" w:rsidRPr="001C48D2" w:rsidRDefault="004B475B" w:rsidP="00673C66">
            <w:pPr>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100% of coinage debased 13.5%</w:t>
            </w:r>
          </w:p>
        </w:tc>
        <w:tc>
          <w:tcPr>
            <w:tcW w:w="1409"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3396</w:t>
            </w:r>
          </w:p>
        </w:tc>
        <w:tc>
          <w:tcPr>
            <w:tcW w:w="1710"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2.00</w:t>
            </w:r>
          </w:p>
        </w:tc>
        <w:tc>
          <w:tcPr>
            <w:tcW w:w="1890"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2470</w:t>
            </w:r>
          </w:p>
        </w:tc>
        <w:tc>
          <w:tcPr>
            <w:tcW w:w="1710"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2.00</w:t>
            </w:r>
          </w:p>
        </w:tc>
        <w:tc>
          <w:tcPr>
            <w:tcW w:w="1710"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1235</w:t>
            </w:r>
          </w:p>
        </w:tc>
        <w:tc>
          <w:tcPr>
            <w:tcW w:w="1440"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2.00</w:t>
            </w:r>
          </w:p>
        </w:tc>
      </w:tr>
      <w:tr w:rsidR="001C48D2" w:rsidRPr="001C48D2" w:rsidTr="000D483C">
        <w:trPr>
          <w:gridAfter w:val="2"/>
          <w:wAfter w:w="4416" w:type="dxa"/>
          <w:trHeight w:val="320"/>
        </w:trPr>
        <w:tc>
          <w:tcPr>
            <w:tcW w:w="1021" w:type="dxa"/>
            <w:shd w:val="clear" w:color="auto" w:fill="auto"/>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p>
        </w:tc>
        <w:tc>
          <w:tcPr>
            <w:tcW w:w="1409"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c>
          <w:tcPr>
            <w:tcW w:w="1710"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c>
          <w:tcPr>
            <w:tcW w:w="1890"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c>
          <w:tcPr>
            <w:tcW w:w="1710"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c>
          <w:tcPr>
            <w:tcW w:w="1710"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c>
          <w:tcPr>
            <w:tcW w:w="1440" w:type="dxa"/>
            <w:shd w:val="clear" w:color="auto" w:fill="auto"/>
            <w:noWrap/>
            <w:vAlign w:val="bottom"/>
            <w:hideMark/>
          </w:tcPr>
          <w:p w:rsidR="004B475B" w:rsidRPr="001C48D2" w:rsidRDefault="004B475B" w:rsidP="00673C66">
            <w:pPr>
              <w:rPr>
                <w:rFonts w:ascii="Gill Sans MT" w:eastAsia="Times New Roman" w:hAnsi="Gill Sans MT"/>
                <w:color w:val="000000" w:themeColor="text1"/>
                <w:sz w:val="20"/>
                <w:szCs w:val="20"/>
              </w:rPr>
            </w:pPr>
          </w:p>
        </w:tc>
      </w:tr>
      <w:tr w:rsidR="001C48D2" w:rsidRPr="001C48D2" w:rsidTr="000D483C">
        <w:trPr>
          <w:gridAfter w:val="2"/>
          <w:wAfter w:w="4416" w:type="dxa"/>
          <w:trHeight w:val="640"/>
        </w:trPr>
        <w:tc>
          <w:tcPr>
            <w:tcW w:w="1021" w:type="dxa"/>
            <w:shd w:val="clear" w:color="auto" w:fill="auto"/>
            <w:vAlign w:val="bottom"/>
            <w:hideMark/>
          </w:tcPr>
          <w:p w:rsidR="004B475B" w:rsidRPr="001C48D2" w:rsidRDefault="004B475B" w:rsidP="00673C66">
            <w:pPr>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25% of coinage debased 13.5%</w:t>
            </w:r>
          </w:p>
        </w:tc>
        <w:tc>
          <w:tcPr>
            <w:tcW w:w="1409"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849</w:t>
            </w:r>
          </w:p>
        </w:tc>
        <w:tc>
          <w:tcPr>
            <w:tcW w:w="1710"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0.50</w:t>
            </w:r>
          </w:p>
        </w:tc>
        <w:tc>
          <w:tcPr>
            <w:tcW w:w="1890"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617</w:t>
            </w:r>
          </w:p>
        </w:tc>
        <w:tc>
          <w:tcPr>
            <w:tcW w:w="1710"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0.50</w:t>
            </w:r>
          </w:p>
        </w:tc>
        <w:tc>
          <w:tcPr>
            <w:tcW w:w="1710"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309</w:t>
            </w:r>
          </w:p>
        </w:tc>
        <w:tc>
          <w:tcPr>
            <w:tcW w:w="1440" w:type="dxa"/>
            <w:shd w:val="clear" w:color="auto" w:fill="auto"/>
            <w:noWrap/>
            <w:vAlign w:val="bottom"/>
            <w:hideMark/>
          </w:tcPr>
          <w:p w:rsidR="004B475B" w:rsidRPr="001C48D2" w:rsidRDefault="004B475B" w:rsidP="00673C66">
            <w:pPr>
              <w:jc w:val="right"/>
              <w:rPr>
                <w:rFonts w:ascii="Gill Sans MT" w:eastAsia="Times New Roman" w:hAnsi="Gill Sans MT" w:cs="Calibri"/>
                <w:color w:val="000000" w:themeColor="text1"/>
                <w:sz w:val="20"/>
                <w:szCs w:val="20"/>
              </w:rPr>
            </w:pPr>
            <w:r w:rsidRPr="001C48D2">
              <w:rPr>
                <w:rFonts w:ascii="Gill Sans MT" w:eastAsia="Times New Roman" w:hAnsi="Gill Sans MT" w:cs="Calibri"/>
                <w:color w:val="000000" w:themeColor="text1"/>
                <w:sz w:val="20"/>
                <w:szCs w:val="20"/>
              </w:rPr>
              <w:t>0.50</w:t>
            </w:r>
          </w:p>
        </w:tc>
      </w:tr>
    </w:tbl>
    <w:p w:rsidR="001D009F" w:rsidRDefault="001D009F" w:rsidP="002F2053">
      <w:pPr>
        <w:rPr>
          <w:rFonts w:ascii="Gill Sans MT" w:hAnsi="Gill Sans MT"/>
          <w:color w:val="000000" w:themeColor="text1"/>
          <w:sz w:val="20"/>
          <w:szCs w:val="20"/>
        </w:rPr>
      </w:pPr>
    </w:p>
    <w:p w:rsidR="00461F54" w:rsidRDefault="00461F54" w:rsidP="002F2053">
      <w:pPr>
        <w:rPr>
          <w:rFonts w:ascii="Gill Sans MT" w:hAnsi="Gill Sans MT"/>
          <w:color w:val="000000" w:themeColor="text1"/>
          <w:sz w:val="20"/>
          <w:szCs w:val="20"/>
        </w:rPr>
      </w:pPr>
    </w:p>
    <w:p w:rsidR="00461F54" w:rsidRDefault="00461F54" w:rsidP="002F2053">
      <w:pPr>
        <w:rPr>
          <w:rFonts w:ascii="Gill Sans MT" w:hAnsi="Gill Sans MT"/>
          <w:b/>
          <w:color w:val="000000" w:themeColor="text1"/>
          <w:sz w:val="20"/>
          <w:szCs w:val="20"/>
        </w:rPr>
      </w:pPr>
      <w:r w:rsidRPr="00461F54">
        <w:rPr>
          <w:rFonts w:ascii="Gill Sans MT" w:hAnsi="Gill Sans MT"/>
          <w:b/>
          <w:color w:val="000000" w:themeColor="text1"/>
          <w:sz w:val="20"/>
          <w:szCs w:val="20"/>
        </w:rPr>
        <w:t>References</w:t>
      </w:r>
    </w:p>
    <w:p w:rsidR="005E75B6" w:rsidRDefault="005E75B6" w:rsidP="002F2053">
      <w:pPr>
        <w:rPr>
          <w:rFonts w:ascii="Gill Sans MT" w:hAnsi="Gill Sans MT"/>
          <w:b/>
          <w:color w:val="000000" w:themeColor="text1"/>
          <w:sz w:val="20"/>
          <w:szCs w:val="20"/>
        </w:rPr>
      </w:pPr>
    </w:p>
    <w:p w:rsidR="00461F54" w:rsidRPr="005E75B6" w:rsidRDefault="00461F54" w:rsidP="00461F54">
      <w:pPr>
        <w:autoSpaceDE w:val="0"/>
        <w:autoSpaceDN w:val="0"/>
        <w:adjustRightInd w:val="0"/>
        <w:rPr>
          <w:rFonts w:ascii="Gill Sans MT" w:hAnsi="Gill Sans MT" w:cs="AdvOTa9562f96"/>
          <w:lang w:val="en-IN"/>
        </w:rPr>
      </w:pPr>
      <w:r w:rsidRPr="005E75B6">
        <w:rPr>
          <w:rFonts w:ascii="Gill Sans MT" w:hAnsi="Gill Sans MT" w:cs="AdvOTa9562f96"/>
          <w:lang w:val="en-IN"/>
        </w:rPr>
        <w:t>J</w:t>
      </w:r>
      <w:r w:rsidRPr="005E75B6">
        <w:rPr>
          <w:rFonts w:ascii="Gill Sans MT" w:hAnsi="Gill Sans MT" w:cs="AdvOTa9562f96"/>
          <w:lang w:val="en-IN"/>
        </w:rPr>
        <w:t>ordan</w:t>
      </w:r>
      <w:r w:rsidRPr="005E75B6">
        <w:rPr>
          <w:rFonts w:ascii="Gill Sans MT" w:hAnsi="Gill Sans MT" w:cs="AdvOTa9562f96"/>
          <w:lang w:val="en-IN"/>
        </w:rPr>
        <w:t>, L. «Massachusetts Bay Silver: General Introduction, 1652-1682». https://coins.</w:t>
      </w:r>
    </w:p>
    <w:p w:rsidR="00461F54" w:rsidRDefault="00461F54" w:rsidP="00461F54">
      <w:pPr>
        <w:rPr>
          <w:rFonts w:ascii="Gill Sans MT" w:hAnsi="Gill Sans MT" w:cs="AdvOTa9562f96"/>
          <w:lang w:val="en-IN"/>
        </w:rPr>
      </w:pPr>
      <w:r w:rsidRPr="005E75B6">
        <w:rPr>
          <w:rFonts w:ascii="Gill Sans MT" w:hAnsi="Gill Sans MT" w:cs="AdvOTa9562f96"/>
          <w:lang w:val="en-IN"/>
        </w:rPr>
        <w:t>nd.edu/</w:t>
      </w:r>
      <w:proofErr w:type="spellStart"/>
      <w:r w:rsidRPr="005E75B6">
        <w:rPr>
          <w:rFonts w:ascii="Gill Sans MT" w:hAnsi="Gill Sans MT" w:cs="AdvOTa9562f96"/>
          <w:lang w:val="en-IN"/>
        </w:rPr>
        <w:t>ColCoin</w:t>
      </w:r>
      <w:proofErr w:type="spellEnd"/>
      <w:r w:rsidRPr="005E75B6">
        <w:rPr>
          <w:rFonts w:ascii="Gill Sans MT" w:hAnsi="Gill Sans MT" w:cs="AdvOTa9562f96"/>
          <w:lang w:val="en-IN"/>
        </w:rPr>
        <w:t>/</w:t>
      </w:r>
      <w:proofErr w:type="spellStart"/>
      <w:r w:rsidRPr="005E75B6">
        <w:rPr>
          <w:rFonts w:ascii="Gill Sans MT" w:hAnsi="Gill Sans MT" w:cs="AdvOTa9562f96"/>
          <w:lang w:val="en-IN"/>
        </w:rPr>
        <w:t>ColCoinIntros</w:t>
      </w:r>
      <w:proofErr w:type="spellEnd"/>
      <w:r w:rsidRPr="005E75B6">
        <w:rPr>
          <w:rFonts w:ascii="Gill Sans MT" w:hAnsi="Gill Sans MT" w:cs="AdvOTa9562f96"/>
          <w:lang w:val="en-IN"/>
        </w:rPr>
        <w:t xml:space="preserve">/MASilver.intro.html. </w:t>
      </w:r>
    </w:p>
    <w:p w:rsidR="005E75B6" w:rsidRPr="005E75B6" w:rsidRDefault="005E75B6" w:rsidP="00461F54">
      <w:pPr>
        <w:rPr>
          <w:rFonts w:ascii="Gill Sans MT" w:hAnsi="Gill Sans MT" w:cs="AdvOTa9562f96"/>
          <w:lang w:val="en-IN"/>
        </w:rPr>
      </w:pPr>
    </w:p>
    <w:p w:rsidR="005E75B6" w:rsidRPr="005E75B6" w:rsidRDefault="005E75B6" w:rsidP="005E75B6">
      <w:pPr>
        <w:autoSpaceDE w:val="0"/>
        <w:autoSpaceDN w:val="0"/>
        <w:adjustRightInd w:val="0"/>
        <w:rPr>
          <w:rFonts w:ascii="Gill Sans MT" w:hAnsi="Gill Sans MT" w:cs="AdvOTa9562f96"/>
          <w:lang w:val="en-IN"/>
        </w:rPr>
      </w:pPr>
      <w:r w:rsidRPr="005E75B6">
        <w:rPr>
          <w:rFonts w:ascii="Gill Sans MT" w:hAnsi="Gill Sans MT" w:cs="AdvOTa9562f96"/>
          <w:lang w:val="en-IN"/>
        </w:rPr>
        <w:t>M</w:t>
      </w:r>
      <w:r w:rsidRPr="005E75B6">
        <w:rPr>
          <w:rFonts w:ascii="Gill Sans MT" w:hAnsi="Gill Sans MT" w:cs="AdvOTa9562f96"/>
          <w:lang w:val="en-IN"/>
        </w:rPr>
        <w:t>ayhew</w:t>
      </w:r>
      <w:r w:rsidRPr="005E75B6">
        <w:rPr>
          <w:rFonts w:ascii="Gill Sans MT" w:hAnsi="Gill Sans MT" w:cs="AdvOTa9562f96"/>
          <w:lang w:val="en-IN"/>
        </w:rPr>
        <w:t>, N. J. (1995): «Population, Money Supply, and the Velocity of Circulation in</w:t>
      </w:r>
    </w:p>
    <w:p w:rsidR="005E75B6" w:rsidRDefault="005E75B6" w:rsidP="005E75B6">
      <w:pPr>
        <w:rPr>
          <w:rFonts w:ascii="AdvOTa9562f96" w:hAnsi="AdvOTa9562f96" w:cs="AdvOTa9562f96"/>
          <w:sz w:val="17"/>
          <w:szCs w:val="17"/>
          <w:lang w:val="en-IN"/>
        </w:rPr>
      </w:pPr>
      <w:r w:rsidRPr="005E75B6">
        <w:rPr>
          <w:rFonts w:ascii="Gill Sans MT" w:hAnsi="Gill Sans MT" w:cs="AdvOTa9562f96"/>
          <w:lang w:val="en-IN"/>
        </w:rPr>
        <w:t xml:space="preserve">England, 1300-1700». </w:t>
      </w:r>
      <w:r w:rsidRPr="005E75B6">
        <w:rPr>
          <w:rFonts w:ascii="Gill Sans MT" w:hAnsi="Gill Sans MT" w:cs="AdvOT5984b5aa.I"/>
          <w:i/>
          <w:lang w:val="en-IN"/>
        </w:rPr>
        <w:t>The Economic History Review</w:t>
      </w:r>
      <w:r w:rsidRPr="005E75B6">
        <w:rPr>
          <w:rFonts w:ascii="Gill Sans MT" w:hAnsi="Gill Sans MT" w:cs="AdvOTa9562f96"/>
          <w:lang w:val="en-IN"/>
        </w:rPr>
        <w:t xml:space="preserve">, </w:t>
      </w:r>
      <w:r w:rsidRPr="003F758A">
        <w:rPr>
          <w:rFonts w:ascii="Gill Sans MT" w:hAnsi="Gill Sans MT" w:cs="AdvOTa9562f96"/>
          <w:i/>
          <w:lang w:val="en-IN"/>
        </w:rPr>
        <w:t>New Series</w:t>
      </w:r>
      <w:r w:rsidRPr="005E75B6">
        <w:rPr>
          <w:rFonts w:ascii="Gill Sans MT" w:hAnsi="Gill Sans MT" w:cs="AdvOTa9562f96"/>
          <w:lang w:val="en-IN"/>
        </w:rPr>
        <w:t>, 48 (2), pp. 238</w:t>
      </w:r>
      <w:r w:rsidR="00E133CD">
        <w:rPr>
          <w:rFonts w:ascii="AdvOTa9562f96+20" w:hAnsi="AdvOTa9562f96+20" w:cs="AdvOTa9562f96+20"/>
          <w:sz w:val="27"/>
          <w:szCs w:val="27"/>
          <w:lang w:val="en-IN"/>
        </w:rPr>
        <w:t>–</w:t>
      </w:r>
      <w:bookmarkStart w:id="0" w:name="_GoBack"/>
      <w:bookmarkEnd w:id="0"/>
      <w:r w:rsidRPr="005E75B6">
        <w:rPr>
          <w:rFonts w:ascii="Gill Sans MT" w:hAnsi="Gill Sans MT" w:cs="AdvOTa9562f96"/>
          <w:lang w:val="en-IN"/>
        </w:rPr>
        <w:t>257</w:t>
      </w:r>
      <w:r w:rsidRPr="005E75B6">
        <w:rPr>
          <w:rFonts w:ascii="AdvOTa9562f96" w:hAnsi="AdvOTa9562f96" w:cs="AdvOTa9562f96"/>
          <w:lang w:val="en-IN"/>
        </w:rPr>
        <w:t>.</w:t>
      </w:r>
      <w:r>
        <w:rPr>
          <w:rFonts w:ascii="AdvOTa9562f96" w:hAnsi="AdvOTa9562f96" w:cs="AdvOTa9562f96"/>
          <w:sz w:val="17"/>
          <w:szCs w:val="17"/>
          <w:lang w:val="en-IN"/>
        </w:rPr>
        <w:t xml:space="preserve"> </w:t>
      </w:r>
    </w:p>
    <w:p w:rsidR="005E75B6" w:rsidRDefault="005E75B6" w:rsidP="005E75B6">
      <w:pPr>
        <w:rPr>
          <w:rFonts w:ascii="AdvOTa9562f96" w:hAnsi="AdvOTa9562f96" w:cs="AdvOTa9562f96"/>
          <w:sz w:val="17"/>
          <w:szCs w:val="17"/>
          <w:lang w:val="en-IN"/>
        </w:rPr>
      </w:pPr>
    </w:p>
    <w:p w:rsidR="005E75B6" w:rsidRPr="00461F54" w:rsidRDefault="005E75B6" w:rsidP="005E75B6">
      <w:pPr>
        <w:rPr>
          <w:rFonts w:ascii="Gill Sans MT" w:hAnsi="Gill Sans MT"/>
          <w:color w:val="000000" w:themeColor="text1"/>
        </w:rPr>
      </w:pPr>
    </w:p>
    <w:p w:rsidR="005E75B6" w:rsidRPr="005E75B6" w:rsidRDefault="005E75B6" w:rsidP="005E75B6">
      <w:pPr>
        <w:autoSpaceDE w:val="0"/>
        <w:autoSpaceDN w:val="0"/>
        <w:adjustRightInd w:val="0"/>
        <w:rPr>
          <w:rFonts w:ascii="Gill Sans MT" w:hAnsi="Gill Sans MT" w:cs="AdvOTa9562f96"/>
          <w:lang w:val="en-IN"/>
        </w:rPr>
      </w:pPr>
      <w:proofErr w:type="spellStart"/>
      <w:r w:rsidRPr="005E75B6">
        <w:rPr>
          <w:rFonts w:ascii="Gill Sans MT" w:hAnsi="Gill Sans MT" w:cs="AdvOTa9562f96"/>
          <w:lang w:val="en-IN"/>
        </w:rPr>
        <w:t>M</w:t>
      </w:r>
      <w:r w:rsidRPr="005E75B6">
        <w:rPr>
          <w:rFonts w:ascii="Gill Sans MT" w:hAnsi="Gill Sans MT" w:cs="AdvOTa9562f96"/>
          <w:lang w:val="en-IN"/>
        </w:rPr>
        <w:t>ccusker</w:t>
      </w:r>
      <w:proofErr w:type="spellEnd"/>
      <w:r w:rsidRPr="005E75B6">
        <w:rPr>
          <w:rFonts w:ascii="Gill Sans MT" w:hAnsi="Gill Sans MT" w:cs="AdvOTa9562f96"/>
          <w:lang w:val="en-IN"/>
        </w:rPr>
        <w:t xml:space="preserve">, J. J., and </w:t>
      </w:r>
      <w:r w:rsidR="003D10D8">
        <w:rPr>
          <w:rFonts w:ascii="Gill Sans MT" w:hAnsi="Gill Sans MT" w:cs="AdvOTa9562f96"/>
          <w:lang w:val="en-IN"/>
        </w:rPr>
        <w:t>M</w:t>
      </w:r>
      <w:r w:rsidR="003D10D8" w:rsidRPr="005E75B6">
        <w:rPr>
          <w:rFonts w:ascii="Gill Sans MT" w:hAnsi="Gill Sans MT" w:cs="AdvOTa9562f96"/>
          <w:lang w:val="en-IN"/>
        </w:rPr>
        <w:t>enard</w:t>
      </w:r>
      <w:r w:rsidRPr="005E75B6">
        <w:rPr>
          <w:rFonts w:ascii="Gill Sans MT" w:hAnsi="Gill Sans MT" w:cs="AdvOTa9562f96"/>
          <w:lang w:val="en-IN"/>
        </w:rPr>
        <w:t>, R. R. (1985</w:t>
      </w:r>
      <w:r w:rsidRPr="005E75B6">
        <w:rPr>
          <w:rFonts w:ascii="Gill Sans MT" w:hAnsi="Gill Sans MT" w:cs="AdvOTa9562f96"/>
          <w:i/>
          <w:lang w:val="en-IN"/>
        </w:rPr>
        <w:t xml:space="preserve">): </w:t>
      </w:r>
      <w:r w:rsidRPr="005E75B6">
        <w:rPr>
          <w:rFonts w:ascii="Gill Sans MT" w:hAnsi="Gill Sans MT" w:cs="AdvOT5984b5aa.I"/>
          <w:i/>
          <w:lang w:val="en-IN"/>
        </w:rPr>
        <w:t>The Economy of British America, 1607</w:t>
      </w:r>
      <w:r w:rsidR="00E133CD">
        <w:rPr>
          <w:rFonts w:ascii="AdvOTa9562f96+20" w:hAnsi="AdvOTa9562f96+20" w:cs="AdvOTa9562f96+20"/>
          <w:sz w:val="27"/>
          <w:szCs w:val="27"/>
          <w:lang w:val="en-IN"/>
        </w:rPr>
        <w:t>–</w:t>
      </w:r>
      <w:r w:rsidRPr="005E75B6">
        <w:rPr>
          <w:rFonts w:ascii="Gill Sans MT" w:hAnsi="Gill Sans MT" w:cs="AdvOT5984b5aa.I"/>
          <w:i/>
          <w:lang w:val="en-IN"/>
        </w:rPr>
        <w:t>1789</w:t>
      </w:r>
      <w:r w:rsidRPr="005E75B6">
        <w:rPr>
          <w:rFonts w:ascii="Gill Sans MT" w:hAnsi="Gill Sans MT" w:cs="AdvOTa9562f96"/>
          <w:lang w:val="en-IN"/>
        </w:rPr>
        <w:t>,</w:t>
      </w:r>
    </w:p>
    <w:p w:rsidR="00461F54" w:rsidRPr="005E75B6" w:rsidRDefault="005E75B6" w:rsidP="005E75B6">
      <w:pPr>
        <w:rPr>
          <w:rFonts w:ascii="Gill Sans MT" w:hAnsi="Gill Sans MT" w:cs="AdvOTa9562f96"/>
          <w:lang w:val="en-IN"/>
        </w:rPr>
      </w:pPr>
      <w:r w:rsidRPr="005E75B6">
        <w:rPr>
          <w:rFonts w:ascii="Gill Sans MT" w:hAnsi="Gill Sans MT" w:cs="AdvOTa9562f96"/>
          <w:lang w:val="en-IN"/>
        </w:rPr>
        <w:t xml:space="preserve">Chapel Hill: The University of North Carolina Press. </w:t>
      </w:r>
    </w:p>
    <w:p w:rsidR="005E75B6" w:rsidRPr="005E75B6" w:rsidRDefault="005E75B6" w:rsidP="005E75B6">
      <w:pPr>
        <w:rPr>
          <w:rFonts w:ascii="Gill Sans MT" w:hAnsi="Gill Sans MT" w:cs="AdvOTa9562f96"/>
          <w:lang w:val="en-IN"/>
        </w:rPr>
      </w:pPr>
    </w:p>
    <w:p w:rsidR="005E75B6" w:rsidRPr="005E75B6" w:rsidRDefault="005E75B6" w:rsidP="005E75B6">
      <w:pPr>
        <w:autoSpaceDE w:val="0"/>
        <w:autoSpaceDN w:val="0"/>
        <w:adjustRightInd w:val="0"/>
        <w:rPr>
          <w:rFonts w:ascii="Gill Sans MT" w:hAnsi="Gill Sans MT" w:cs="AdvOTa9562f96"/>
          <w:lang w:val="en-IN"/>
        </w:rPr>
      </w:pPr>
      <w:r w:rsidRPr="005E75B6">
        <w:rPr>
          <w:rFonts w:ascii="Gill Sans MT" w:hAnsi="Gill Sans MT" w:cs="AdvOTa9562f96"/>
          <w:lang w:val="en-IN"/>
        </w:rPr>
        <w:t>Palma</w:t>
      </w:r>
      <w:r w:rsidRPr="005E75B6">
        <w:rPr>
          <w:rFonts w:ascii="Gill Sans MT" w:hAnsi="Gill Sans MT" w:cs="AdvOTa9562f96"/>
          <w:lang w:val="en-IN"/>
        </w:rPr>
        <w:t>, N. (2018): «Reconstruction of Money Supply over the Long Run: The Case of</w:t>
      </w:r>
    </w:p>
    <w:p w:rsidR="005E75B6" w:rsidRPr="005E75B6" w:rsidRDefault="005E75B6" w:rsidP="005E75B6">
      <w:pPr>
        <w:rPr>
          <w:rFonts w:ascii="Gill Sans MT" w:hAnsi="Gill Sans MT"/>
          <w:color w:val="000000" w:themeColor="text1"/>
        </w:rPr>
      </w:pPr>
      <w:r w:rsidRPr="005E75B6">
        <w:rPr>
          <w:rFonts w:ascii="Gill Sans MT" w:hAnsi="Gill Sans MT" w:cs="AdvOTa9562f96"/>
          <w:lang w:val="en-IN"/>
        </w:rPr>
        <w:t xml:space="preserve">England, 1270-1870». </w:t>
      </w:r>
      <w:r w:rsidRPr="005E75B6">
        <w:rPr>
          <w:rFonts w:ascii="Gill Sans MT" w:hAnsi="Gill Sans MT" w:cs="AdvOT5984b5aa.I"/>
          <w:i/>
          <w:lang w:val="en-IN"/>
        </w:rPr>
        <w:t>Economic History Review</w:t>
      </w:r>
      <w:r w:rsidRPr="005E75B6">
        <w:rPr>
          <w:rFonts w:ascii="Gill Sans MT" w:hAnsi="Gill Sans MT" w:cs="AdvOT5984b5aa.I"/>
          <w:lang w:val="en-IN"/>
        </w:rPr>
        <w:t xml:space="preserve"> </w:t>
      </w:r>
      <w:r w:rsidRPr="005E75B6">
        <w:rPr>
          <w:rFonts w:ascii="Gill Sans MT" w:hAnsi="Gill Sans MT" w:cs="AdvOTa9562f96"/>
          <w:lang w:val="en-IN"/>
        </w:rPr>
        <w:t>71 (2), pp. 373</w:t>
      </w:r>
      <w:r w:rsidR="00E133CD">
        <w:rPr>
          <w:rFonts w:ascii="AdvOTa9562f96+20" w:hAnsi="AdvOTa9562f96+20" w:cs="AdvOTa9562f96+20"/>
          <w:sz w:val="27"/>
          <w:szCs w:val="27"/>
          <w:lang w:val="en-IN"/>
        </w:rPr>
        <w:t>–</w:t>
      </w:r>
      <w:r w:rsidRPr="005E75B6">
        <w:rPr>
          <w:rFonts w:ascii="Gill Sans MT" w:hAnsi="Gill Sans MT" w:cs="AdvOTa9562f96"/>
          <w:lang w:val="en-IN"/>
        </w:rPr>
        <w:t xml:space="preserve">392. </w:t>
      </w:r>
    </w:p>
    <w:sectPr w:rsidR="005E75B6" w:rsidRPr="005E75B6" w:rsidSect="00202C81">
      <w:footerReference w:type="even" r:id="rId9"/>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45D1" w16cex:dateUtc="2022-02-18T15:20:00Z"/>
  <w16cex:commentExtensible w16cex:durableId="25BA45EA" w16cex:dateUtc="2022-02-18T15:20:00Z"/>
  <w16cex:commentExtensible w16cex:durableId="25BA22AA" w16cex:dateUtc="2022-02-18T12:50:00Z"/>
  <w16cex:commentExtensible w16cex:durableId="25BA22F0" w16cex:dateUtc="2022-02-18T12:51:00Z"/>
  <w16cex:commentExtensible w16cex:durableId="25BA234A" w16cex:dateUtc="2022-02-18T12:53:00Z"/>
  <w16cex:commentExtensible w16cex:durableId="25BA23C8" w16cex:dateUtc="2022-02-18T12:55:00Z"/>
  <w16cex:commentExtensible w16cex:durableId="25BA23F7" w16cex:dateUtc="2022-02-18T12:56:00Z"/>
  <w16cex:commentExtensible w16cex:durableId="25BA24F0" w16cex:dateUtc="2022-02-18T13:00:00Z"/>
  <w16cex:commentExtensible w16cex:durableId="25D84807" w16cex:dateUtc="2022-02-18T12:53:00Z"/>
  <w16cex:commentExtensible w16cex:durableId="25D84809" w16cex:dateUtc="2022-02-18T12:50:00Z"/>
  <w16cex:commentExtensible w16cex:durableId="25D84808" w16cex:dateUtc="2022-02-18T12:51:00Z"/>
  <w16cex:commentExtensible w16cex:durableId="25D84806" w16cex:dateUtc="2022-02-18T12:55:00Z"/>
  <w16cex:commentExtensible w16cex:durableId="25D84805" w16cex:dateUtc="2022-02-18T12: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56" w:rsidRDefault="00AC7056" w:rsidP="00D4183D">
      <w:r>
        <w:separator/>
      </w:r>
    </w:p>
  </w:endnote>
  <w:endnote w:type="continuationSeparator" w:id="0">
    <w:p w:rsidR="00AC7056" w:rsidRDefault="00AC7056" w:rsidP="00D4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vOTa9562f96">
    <w:panose1 w:val="00000000000000000000"/>
    <w:charset w:val="00"/>
    <w:family w:val="roman"/>
    <w:notTrueType/>
    <w:pitch w:val="default"/>
    <w:sig w:usb0="00000003" w:usb1="00000000" w:usb2="00000000" w:usb3="00000000" w:csb0="00000001" w:csb1="00000000"/>
  </w:font>
  <w:font w:name="AdvOT5984b5aa.I">
    <w:panose1 w:val="00000000000000000000"/>
    <w:charset w:val="00"/>
    <w:family w:val="swiss"/>
    <w:notTrueType/>
    <w:pitch w:val="default"/>
    <w:sig w:usb0="00000003" w:usb1="00000000" w:usb2="00000000" w:usb3="00000000" w:csb0="00000001" w:csb1="00000000"/>
  </w:font>
  <w:font w:name="AdvOTa9562f96+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89" w:rsidRDefault="006A2A20" w:rsidP="00C24AD1">
    <w:pPr>
      <w:pStyle w:val="Footer"/>
      <w:framePr w:wrap="none" w:vAnchor="text" w:hAnchor="margin" w:xAlign="right" w:y="1"/>
      <w:rPr>
        <w:rStyle w:val="PageNumber"/>
      </w:rPr>
    </w:pPr>
    <w:r>
      <w:rPr>
        <w:rStyle w:val="PageNumber"/>
      </w:rPr>
      <w:fldChar w:fldCharType="begin"/>
    </w:r>
    <w:r w:rsidR="00352889">
      <w:rPr>
        <w:rStyle w:val="PageNumber"/>
      </w:rPr>
      <w:instrText xml:space="preserve"> PAGE </w:instrText>
    </w:r>
    <w:r>
      <w:rPr>
        <w:rStyle w:val="PageNumber"/>
      </w:rPr>
      <w:fldChar w:fldCharType="end"/>
    </w:r>
  </w:p>
  <w:p w:rsidR="00352889" w:rsidRDefault="00352889" w:rsidP="009607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89" w:rsidRDefault="006A2A20" w:rsidP="00C24AD1">
    <w:pPr>
      <w:pStyle w:val="Footer"/>
      <w:framePr w:wrap="none" w:vAnchor="text" w:hAnchor="margin" w:xAlign="right" w:y="1"/>
      <w:rPr>
        <w:rStyle w:val="PageNumber"/>
      </w:rPr>
    </w:pPr>
    <w:r>
      <w:rPr>
        <w:rStyle w:val="PageNumber"/>
      </w:rPr>
      <w:fldChar w:fldCharType="begin"/>
    </w:r>
    <w:r w:rsidR="00352889">
      <w:rPr>
        <w:rStyle w:val="PageNumber"/>
      </w:rPr>
      <w:instrText xml:space="preserve"> PAGE </w:instrText>
    </w:r>
    <w:r>
      <w:rPr>
        <w:rStyle w:val="PageNumber"/>
      </w:rPr>
      <w:fldChar w:fldCharType="separate"/>
    </w:r>
    <w:r w:rsidR="00E133CD">
      <w:rPr>
        <w:rStyle w:val="PageNumber"/>
        <w:noProof/>
      </w:rPr>
      <w:t>4</w:t>
    </w:r>
    <w:r>
      <w:rPr>
        <w:rStyle w:val="PageNumber"/>
      </w:rPr>
      <w:fldChar w:fldCharType="end"/>
    </w:r>
  </w:p>
  <w:p w:rsidR="00352889" w:rsidRDefault="00352889" w:rsidP="009607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56" w:rsidRDefault="00AC7056" w:rsidP="00D4183D">
      <w:r>
        <w:separator/>
      </w:r>
    </w:p>
  </w:footnote>
  <w:footnote w:type="continuationSeparator" w:id="0">
    <w:p w:rsidR="00AC7056" w:rsidRDefault="00AC7056" w:rsidP="00D4183D">
      <w:r>
        <w:continuationSeparator/>
      </w:r>
    </w:p>
  </w:footnote>
  <w:footnote w:id="1">
    <w:p w:rsidR="00352889" w:rsidRPr="006713E8" w:rsidRDefault="00352889" w:rsidP="002F2053">
      <w:pPr>
        <w:pStyle w:val="FootnoteText"/>
        <w:jc w:val="both"/>
        <w:rPr>
          <w:rFonts w:ascii="Gill Sans MT" w:hAnsi="Gill Sans MT" w:cstheme="minorHAnsi"/>
          <w:color w:val="000000" w:themeColor="text1"/>
          <w:sz w:val="20"/>
          <w:szCs w:val="20"/>
        </w:rPr>
      </w:pPr>
      <w:r w:rsidRPr="006713E8">
        <w:rPr>
          <w:rStyle w:val="FootnoteReference"/>
          <w:rFonts w:ascii="Gill Sans MT" w:hAnsi="Gill Sans MT" w:cstheme="minorHAnsi"/>
          <w:color w:val="000000" w:themeColor="text1"/>
          <w:sz w:val="20"/>
          <w:szCs w:val="20"/>
        </w:rPr>
        <w:footnoteRef/>
      </w:r>
      <w:r w:rsidRPr="006713E8">
        <w:rPr>
          <w:rFonts w:ascii="Gill Sans MT" w:hAnsi="Gill Sans MT" w:cstheme="minorHAnsi"/>
          <w:color w:val="000000" w:themeColor="text1"/>
          <w:sz w:val="20"/>
          <w:szCs w:val="20"/>
        </w:rPr>
        <w:t xml:space="preserve"> Jordan (2002), p. 115.</w:t>
      </w:r>
    </w:p>
  </w:footnote>
  <w:footnote w:id="2">
    <w:p w:rsidR="00352889" w:rsidRPr="006713E8" w:rsidRDefault="00352889" w:rsidP="002F2053">
      <w:pPr>
        <w:pStyle w:val="FootnoteText"/>
        <w:jc w:val="both"/>
        <w:rPr>
          <w:rFonts w:ascii="Gill Sans MT" w:hAnsi="Gill Sans MT" w:cstheme="minorHAnsi"/>
          <w:color w:val="000000" w:themeColor="text1"/>
          <w:sz w:val="20"/>
          <w:szCs w:val="20"/>
        </w:rPr>
      </w:pPr>
      <w:r w:rsidRPr="006713E8">
        <w:rPr>
          <w:rStyle w:val="FootnoteReference"/>
          <w:rFonts w:ascii="Gill Sans MT" w:hAnsi="Gill Sans MT" w:cstheme="minorHAnsi"/>
          <w:color w:val="000000" w:themeColor="text1"/>
          <w:sz w:val="20"/>
          <w:szCs w:val="20"/>
        </w:rPr>
        <w:footnoteRef/>
      </w:r>
      <w:r w:rsidRPr="006713E8">
        <w:rPr>
          <w:rFonts w:ascii="Gill Sans MT" w:hAnsi="Gill Sans MT" w:cstheme="minorHAnsi"/>
          <w:color w:val="000000" w:themeColor="text1"/>
          <w:sz w:val="20"/>
          <w:szCs w:val="20"/>
        </w:rPr>
        <w:t xml:space="preserve"> McCusker and Menard (1985, p. 103), Mayhew (1995), Palma (2018). If the West Indies population is included in the per capita estimate, this yields a more realistic estimate of 1.1 pounds Massachusetts per capita, but it is hard to say how intensively the Massachusetts coins were used in the West Indies economies.</w:t>
      </w:r>
    </w:p>
  </w:footnote>
  <w:footnote w:id="3">
    <w:p w:rsidR="00352889" w:rsidRPr="006713E8" w:rsidRDefault="00352889" w:rsidP="002F2053">
      <w:pPr>
        <w:pStyle w:val="FootnoteText"/>
        <w:jc w:val="both"/>
        <w:rPr>
          <w:rFonts w:ascii="Gill Sans MT" w:hAnsi="Gill Sans MT" w:cstheme="minorHAnsi"/>
          <w:color w:val="000000" w:themeColor="text1"/>
          <w:sz w:val="20"/>
          <w:szCs w:val="20"/>
        </w:rPr>
      </w:pPr>
      <w:r w:rsidRPr="006713E8">
        <w:rPr>
          <w:rStyle w:val="FootnoteReference"/>
          <w:rFonts w:ascii="Gill Sans MT" w:hAnsi="Gill Sans MT" w:cstheme="minorHAnsi"/>
          <w:color w:val="000000" w:themeColor="text1"/>
          <w:sz w:val="20"/>
          <w:szCs w:val="20"/>
        </w:rPr>
        <w:footnoteRef/>
      </w:r>
      <w:r w:rsidRPr="006713E8">
        <w:rPr>
          <w:rFonts w:ascii="Gill Sans MT" w:hAnsi="Gill Sans MT" w:cstheme="minorHAnsi"/>
          <w:color w:val="000000" w:themeColor="text1"/>
          <w:sz w:val="20"/>
          <w:szCs w:val="20"/>
        </w:rPr>
        <w:t xml:space="preserve"> Jordan (2002) has analyzed the accounts of the Hull-Sanderson silver- and goldsmithing “shop”, and finds a number of expenses, including labor, that should have been charged to the mint.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E47"/>
    <w:multiLevelType w:val="hybridMultilevel"/>
    <w:tmpl w:val="B3EE277E"/>
    <w:lvl w:ilvl="0" w:tplc="D12E8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23789"/>
    <w:multiLevelType w:val="hybridMultilevel"/>
    <w:tmpl w:val="A0CE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1562A"/>
    <w:multiLevelType w:val="hybridMultilevel"/>
    <w:tmpl w:val="C38C7550"/>
    <w:lvl w:ilvl="0" w:tplc="B2E0ED5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26BE3"/>
    <w:multiLevelType w:val="hybridMultilevel"/>
    <w:tmpl w:val="1D34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94209"/>
    <w:multiLevelType w:val="hybridMultilevel"/>
    <w:tmpl w:val="BBE6F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4060F"/>
    <w:multiLevelType w:val="hybridMultilevel"/>
    <w:tmpl w:val="BAEA5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14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183D"/>
    <w:rsid w:val="000010D4"/>
    <w:rsid w:val="00002899"/>
    <w:rsid w:val="00003312"/>
    <w:rsid w:val="00003376"/>
    <w:rsid w:val="00003A66"/>
    <w:rsid w:val="000047D5"/>
    <w:rsid w:val="0000516B"/>
    <w:rsid w:val="000060F9"/>
    <w:rsid w:val="00007753"/>
    <w:rsid w:val="00007D52"/>
    <w:rsid w:val="00010700"/>
    <w:rsid w:val="00010B63"/>
    <w:rsid w:val="0001100B"/>
    <w:rsid w:val="00011124"/>
    <w:rsid w:val="00011E32"/>
    <w:rsid w:val="000124CC"/>
    <w:rsid w:val="000125AF"/>
    <w:rsid w:val="000136DE"/>
    <w:rsid w:val="0001380F"/>
    <w:rsid w:val="000146C2"/>
    <w:rsid w:val="0001475D"/>
    <w:rsid w:val="00014B5D"/>
    <w:rsid w:val="00015961"/>
    <w:rsid w:val="00020483"/>
    <w:rsid w:val="000218FF"/>
    <w:rsid w:val="00021A18"/>
    <w:rsid w:val="00021FC1"/>
    <w:rsid w:val="000228E9"/>
    <w:rsid w:val="00022F4B"/>
    <w:rsid w:val="00024421"/>
    <w:rsid w:val="000252E7"/>
    <w:rsid w:val="00025486"/>
    <w:rsid w:val="000256D4"/>
    <w:rsid w:val="00025BA9"/>
    <w:rsid w:val="0002673D"/>
    <w:rsid w:val="00026D7B"/>
    <w:rsid w:val="00026E26"/>
    <w:rsid w:val="000278C0"/>
    <w:rsid w:val="00027A7A"/>
    <w:rsid w:val="00030636"/>
    <w:rsid w:val="000306FC"/>
    <w:rsid w:val="00030FDD"/>
    <w:rsid w:val="000320B3"/>
    <w:rsid w:val="0003287A"/>
    <w:rsid w:val="00032A82"/>
    <w:rsid w:val="00034971"/>
    <w:rsid w:val="000359D4"/>
    <w:rsid w:val="00036FA1"/>
    <w:rsid w:val="00037080"/>
    <w:rsid w:val="00040735"/>
    <w:rsid w:val="0004122B"/>
    <w:rsid w:val="00042C11"/>
    <w:rsid w:val="000430D5"/>
    <w:rsid w:val="000434E6"/>
    <w:rsid w:val="00044153"/>
    <w:rsid w:val="0004430C"/>
    <w:rsid w:val="000464CF"/>
    <w:rsid w:val="00046D0E"/>
    <w:rsid w:val="000478CD"/>
    <w:rsid w:val="000500B7"/>
    <w:rsid w:val="000522BE"/>
    <w:rsid w:val="000525D9"/>
    <w:rsid w:val="000527FA"/>
    <w:rsid w:val="00053070"/>
    <w:rsid w:val="00057FBA"/>
    <w:rsid w:val="000617B6"/>
    <w:rsid w:val="000640A4"/>
    <w:rsid w:val="00064EB1"/>
    <w:rsid w:val="00065065"/>
    <w:rsid w:val="0006513F"/>
    <w:rsid w:val="0006537D"/>
    <w:rsid w:val="0006623B"/>
    <w:rsid w:val="000669F1"/>
    <w:rsid w:val="00066A8B"/>
    <w:rsid w:val="000677A3"/>
    <w:rsid w:val="00071213"/>
    <w:rsid w:val="000712B8"/>
    <w:rsid w:val="00072024"/>
    <w:rsid w:val="000724A9"/>
    <w:rsid w:val="00072D90"/>
    <w:rsid w:val="00072DA5"/>
    <w:rsid w:val="00073BAB"/>
    <w:rsid w:val="000762C8"/>
    <w:rsid w:val="000767D2"/>
    <w:rsid w:val="00076879"/>
    <w:rsid w:val="00081FBD"/>
    <w:rsid w:val="000839DB"/>
    <w:rsid w:val="00084440"/>
    <w:rsid w:val="00085307"/>
    <w:rsid w:val="0008559B"/>
    <w:rsid w:val="00086172"/>
    <w:rsid w:val="0008782A"/>
    <w:rsid w:val="00087830"/>
    <w:rsid w:val="00087AA0"/>
    <w:rsid w:val="0009054D"/>
    <w:rsid w:val="000907CB"/>
    <w:rsid w:val="00091011"/>
    <w:rsid w:val="00091C8A"/>
    <w:rsid w:val="000935D1"/>
    <w:rsid w:val="000940E7"/>
    <w:rsid w:val="000950E2"/>
    <w:rsid w:val="0009544D"/>
    <w:rsid w:val="000956B1"/>
    <w:rsid w:val="00095C7D"/>
    <w:rsid w:val="00096360"/>
    <w:rsid w:val="0009691B"/>
    <w:rsid w:val="00097115"/>
    <w:rsid w:val="00097792"/>
    <w:rsid w:val="00097A55"/>
    <w:rsid w:val="000A0457"/>
    <w:rsid w:val="000A1A30"/>
    <w:rsid w:val="000A26AB"/>
    <w:rsid w:val="000A2F42"/>
    <w:rsid w:val="000A3576"/>
    <w:rsid w:val="000A38D2"/>
    <w:rsid w:val="000A498C"/>
    <w:rsid w:val="000B1941"/>
    <w:rsid w:val="000B1EDB"/>
    <w:rsid w:val="000B2211"/>
    <w:rsid w:val="000B3A3C"/>
    <w:rsid w:val="000B4C99"/>
    <w:rsid w:val="000B613D"/>
    <w:rsid w:val="000C22C1"/>
    <w:rsid w:val="000C319F"/>
    <w:rsid w:val="000C58CB"/>
    <w:rsid w:val="000C6F90"/>
    <w:rsid w:val="000C7088"/>
    <w:rsid w:val="000C79AB"/>
    <w:rsid w:val="000D01EB"/>
    <w:rsid w:val="000D0E2B"/>
    <w:rsid w:val="000D1464"/>
    <w:rsid w:val="000D2416"/>
    <w:rsid w:val="000D483C"/>
    <w:rsid w:val="000D4BE4"/>
    <w:rsid w:val="000E039A"/>
    <w:rsid w:val="000E0605"/>
    <w:rsid w:val="000E0958"/>
    <w:rsid w:val="000E0E36"/>
    <w:rsid w:val="000E0F08"/>
    <w:rsid w:val="000E0F81"/>
    <w:rsid w:val="000E2015"/>
    <w:rsid w:val="000E3126"/>
    <w:rsid w:val="000E60BB"/>
    <w:rsid w:val="000E6B92"/>
    <w:rsid w:val="000E6CCA"/>
    <w:rsid w:val="000E7661"/>
    <w:rsid w:val="000E7B62"/>
    <w:rsid w:val="000F0A1D"/>
    <w:rsid w:val="000F0A25"/>
    <w:rsid w:val="000F0C00"/>
    <w:rsid w:val="000F1DDE"/>
    <w:rsid w:val="000F5698"/>
    <w:rsid w:val="000F76F5"/>
    <w:rsid w:val="000F7CFE"/>
    <w:rsid w:val="00100501"/>
    <w:rsid w:val="00101064"/>
    <w:rsid w:val="001017E2"/>
    <w:rsid w:val="00101ECF"/>
    <w:rsid w:val="00107125"/>
    <w:rsid w:val="001073F4"/>
    <w:rsid w:val="00107641"/>
    <w:rsid w:val="001107A4"/>
    <w:rsid w:val="00112C56"/>
    <w:rsid w:val="00112C62"/>
    <w:rsid w:val="00112D0D"/>
    <w:rsid w:val="00113EA3"/>
    <w:rsid w:val="00117E2F"/>
    <w:rsid w:val="00122809"/>
    <w:rsid w:val="00122D4B"/>
    <w:rsid w:val="00122E0E"/>
    <w:rsid w:val="0012378A"/>
    <w:rsid w:val="0012397F"/>
    <w:rsid w:val="001239B4"/>
    <w:rsid w:val="00123A6F"/>
    <w:rsid w:val="00124466"/>
    <w:rsid w:val="00125BBB"/>
    <w:rsid w:val="0012625E"/>
    <w:rsid w:val="00126DD4"/>
    <w:rsid w:val="00126E03"/>
    <w:rsid w:val="00127149"/>
    <w:rsid w:val="0012750E"/>
    <w:rsid w:val="00127541"/>
    <w:rsid w:val="00127CB7"/>
    <w:rsid w:val="001335EF"/>
    <w:rsid w:val="00134C53"/>
    <w:rsid w:val="00134E0D"/>
    <w:rsid w:val="00135E7D"/>
    <w:rsid w:val="0013661E"/>
    <w:rsid w:val="00136A48"/>
    <w:rsid w:val="00136C4C"/>
    <w:rsid w:val="00140641"/>
    <w:rsid w:val="00140B8D"/>
    <w:rsid w:val="00141A7C"/>
    <w:rsid w:val="001428C9"/>
    <w:rsid w:val="00142D23"/>
    <w:rsid w:val="0014407A"/>
    <w:rsid w:val="00146A43"/>
    <w:rsid w:val="001472A9"/>
    <w:rsid w:val="00147975"/>
    <w:rsid w:val="00147B5D"/>
    <w:rsid w:val="00147C72"/>
    <w:rsid w:val="001512B8"/>
    <w:rsid w:val="0015136A"/>
    <w:rsid w:val="00151373"/>
    <w:rsid w:val="001520FE"/>
    <w:rsid w:val="00152BEE"/>
    <w:rsid w:val="001536D9"/>
    <w:rsid w:val="0015494F"/>
    <w:rsid w:val="00154F24"/>
    <w:rsid w:val="00155488"/>
    <w:rsid w:val="00155BA4"/>
    <w:rsid w:val="00155F0A"/>
    <w:rsid w:val="0015602C"/>
    <w:rsid w:val="00156725"/>
    <w:rsid w:val="00160594"/>
    <w:rsid w:val="001605C0"/>
    <w:rsid w:val="00160734"/>
    <w:rsid w:val="0016079B"/>
    <w:rsid w:val="00160BFE"/>
    <w:rsid w:val="00163269"/>
    <w:rsid w:val="00164AE0"/>
    <w:rsid w:val="00166B52"/>
    <w:rsid w:val="00170310"/>
    <w:rsid w:val="001703FB"/>
    <w:rsid w:val="00171C18"/>
    <w:rsid w:val="0017223A"/>
    <w:rsid w:val="00172823"/>
    <w:rsid w:val="00173611"/>
    <w:rsid w:val="001737EB"/>
    <w:rsid w:val="00174380"/>
    <w:rsid w:val="00174A04"/>
    <w:rsid w:val="00175968"/>
    <w:rsid w:val="00175F9B"/>
    <w:rsid w:val="0017604A"/>
    <w:rsid w:val="001764DE"/>
    <w:rsid w:val="00177193"/>
    <w:rsid w:val="00177A7F"/>
    <w:rsid w:val="00180514"/>
    <w:rsid w:val="00180EF4"/>
    <w:rsid w:val="0018107D"/>
    <w:rsid w:val="00181113"/>
    <w:rsid w:val="0018185F"/>
    <w:rsid w:val="00182062"/>
    <w:rsid w:val="00182A52"/>
    <w:rsid w:val="001835C8"/>
    <w:rsid w:val="00183C1D"/>
    <w:rsid w:val="00184500"/>
    <w:rsid w:val="00185A91"/>
    <w:rsid w:val="0018609E"/>
    <w:rsid w:val="00186EDA"/>
    <w:rsid w:val="00187805"/>
    <w:rsid w:val="00190465"/>
    <w:rsid w:val="001905D1"/>
    <w:rsid w:val="00190E2B"/>
    <w:rsid w:val="001925FF"/>
    <w:rsid w:val="0019273F"/>
    <w:rsid w:val="00193EDA"/>
    <w:rsid w:val="00194267"/>
    <w:rsid w:val="001945AC"/>
    <w:rsid w:val="00195205"/>
    <w:rsid w:val="0019533C"/>
    <w:rsid w:val="00195840"/>
    <w:rsid w:val="00195C2D"/>
    <w:rsid w:val="001961C6"/>
    <w:rsid w:val="00196EC3"/>
    <w:rsid w:val="001A0382"/>
    <w:rsid w:val="001A21CD"/>
    <w:rsid w:val="001A2447"/>
    <w:rsid w:val="001A2D6F"/>
    <w:rsid w:val="001A3550"/>
    <w:rsid w:val="001A355C"/>
    <w:rsid w:val="001A3636"/>
    <w:rsid w:val="001A3A5B"/>
    <w:rsid w:val="001A3BC7"/>
    <w:rsid w:val="001A49D4"/>
    <w:rsid w:val="001A79CC"/>
    <w:rsid w:val="001B4855"/>
    <w:rsid w:val="001B522C"/>
    <w:rsid w:val="001B607E"/>
    <w:rsid w:val="001B6816"/>
    <w:rsid w:val="001B71D0"/>
    <w:rsid w:val="001B7745"/>
    <w:rsid w:val="001B78A4"/>
    <w:rsid w:val="001B78CE"/>
    <w:rsid w:val="001B7BB2"/>
    <w:rsid w:val="001C0CB6"/>
    <w:rsid w:val="001C1AB2"/>
    <w:rsid w:val="001C1B01"/>
    <w:rsid w:val="001C1FAA"/>
    <w:rsid w:val="001C2904"/>
    <w:rsid w:val="001C4238"/>
    <w:rsid w:val="001C4598"/>
    <w:rsid w:val="001C48D2"/>
    <w:rsid w:val="001C5428"/>
    <w:rsid w:val="001C546B"/>
    <w:rsid w:val="001C5F5A"/>
    <w:rsid w:val="001C6B13"/>
    <w:rsid w:val="001C77F3"/>
    <w:rsid w:val="001C7A75"/>
    <w:rsid w:val="001D009F"/>
    <w:rsid w:val="001D0831"/>
    <w:rsid w:val="001D28E3"/>
    <w:rsid w:val="001D44D0"/>
    <w:rsid w:val="001D5BC1"/>
    <w:rsid w:val="001D71DC"/>
    <w:rsid w:val="001D77E9"/>
    <w:rsid w:val="001D79C5"/>
    <w:rsid w:val="001D7F01"/>
    <w:rsid w:val="001E01B3"/>
    <w:rsid w:val="001E4216"/>
    <w:rsid w:val="001E46F2"/>
    <w:rsid w:val="001E5A9B"/>
    <w:rsid w:val="001E63AD"/>
    <w:rsid w:val="001E6B6C"/>
    <w:rsid w:val="001F0009"/>
    <w:rsid w:val="001F04B5"/>
    <w:rsid w:val="001F0562"/>
    <w:rsid w:val="001F0792"/>
    <w:rsid w:val="001F0B72"/>
    <w:rsid w:val="001F15D8"/>
    <w:rsid w:val="001F29C1"/>
    <w:rsid w:val="001F3155"/>
    <w:rsid w:val="001F384A"/>
    <w:rsid w:val="001F45DD"/>
    <w:rsid w:val="001F5023"/>
    <w:rsid w:val="001F7115"/>
    <w:rsid w:val="002008DB"/>
    <w:rsid w:val="00200997"/>
    <w:rsid w:val="00200EDF"/>
    <w:rsid w:val="00200EE8"/>
    <w:rsid w:val="0020154C"/>
    <w:rsid w:val="00202C81"/>
    <w:rsid w:val="00203B1E"/>
    <w:rsid w:val="00203F59"/>
    <w:rsid w:val="00204CCC"/>
    <w:rsid w:val="0020563A"/>
    <w:rsid w:val="002065B4"/>
    <w:rsid w:val="00206E26"/>
    <w:rsid w:val="00207978"/>
    <w:rsid w:val="00210546"/>
    <w:rsid w:val="00211319"/>
    <w:rsid w:val="002114F5"/>
    <w:rsid w:val="002130F7"/>
    <w:rsid w:val="0021315B"/>
    <w:rsid w:val="002153A9"/>
    <w:rsid w:val="0021581C"/>
    <w:rsid w:val="00216173"/>
    <w:rsid w:val="002171A6"/>
    <w:rsid w:val="00217948"/>
    <w:rsid w:val="00220197"/>
    <w:rsid w:val="0022064B"/>
    <w:rsid w:val="00221821"/>
    <w:rsid w:val="00221858"/>
    <w:rsid w:val="00221D7C"/>
    <w:rsid w:val="0022250F"/>
    <w:rsid w:val="00222EF6"/>
    <w:rsid w:val="00224D63"/>
    <w:rsid w:val="002258C1"/>
    <w:rsid w:val="002259AB"/>
    <w:rsid w:val="002265DD"/>
    <w:rsid w:val="00230143"/>
    <w:rsid w:val="00231598"/>
    <w:rsid w:val="00231BE8"/>
    <w:rsid w:val="00231DEF"/>
    <w:rsid w:val="002321F0"/>
    <w:rsid w:val="00232BE9"/>
    <w:rsid w:val="00232EC3"/>
    <w:rsid w:val="002339CB"/>
    <w:rsid w:val="00234669"/>
    <w:rsid w:val="00235CDE"/>
    <w:rsid w:val="00236D99"/>
    <w:rsid w:val="002373C0"/>
    <w:rsid w:val="00237D26"/>
    <w:rsid w:val="002403AD"/>
    <w:rsid w:val="00240946"/>
    <w:rsid w:val="00241B3A"/>
    <w:rsid w:val="0024208D"/>
    <w:rsid w:val="002452C4"/>
    <w:rsid w:val="002460B4"/>
    <w:rsid w:val="00246B9A"/>
    <w:rsid w:val="0024723B"/>
    <w:rsid w:val="00247D57"/>
    <w:rsid w:val="00247EE8"/>
    <w:rsid w:val="00250E34"/>
    <w:rsid w:val="002519BF"/>
    <w:rsid w:val="0025252B"/>
    <w:rsid w:val="00252A5D"/>
    <w:rsid w:val="00252AD0"/>
    <w:rsid w:val="002530EB"/>
    <w:rsid w:val="00253511"/>
    <w:rsid w:val="0025399B"/>
    <w:rsid w:val="00254244"/>
    <w:rsid w:val="0025600F"/>
    <w:rsid w:val="0025653A"/>
    <w:rsid w:val="0026049D"/>
    <w:rsid w:val="00260814"/>
    <w:rsid w:val="00261F7B"/>
    <w:rsid w:val="00262036"/>
    <w:rsid w:val="00262957"/>
    <w:rsid w:val="002633A3"/>
    <w:rsid w:val="00263445"/>
    <w:rsid w:val="002635D5"/>
    <w:rsid w:val="0026407D"/>
    <w:rsid w:val="00264104"/>
    <w:rsid w:val="00264804"/>
    <w:rsid w:val="00264D2B"/>
    <w:rsid w:val="002652EF"/>
    <w:rsid w:val="002705A8"/>
    <w:rsid w:val="00271317"/>
    <w:rsid w:val="002714F6"/>
    <w:rsid w:val="00271E76"/>
    <w:rsid w:val="002724DA"/>
    <w:rsid w:val="002724E9"/>
    <w:rsid w:val="00272A59"/>
    <w:rsid w:val="00272A7F"/>
    <w:rsid w:val="002733C2"/>
    <w:rsid w:val="002740F7"/>
    <w:rsid w:val="00274179"/>
    <w:rsid w:val="00274425"/>
    <w:rsid w:val="00274543"/>
    <w:rsid w:val="0027581F"/>
    <w:rsid w:val="00275999"/>
    <w:rsid w:val="00277494"/>
    <w:rsid w:val="002775C9"/>
    <w:rsid w:val="002778FB"/>
    <w:rsid w:val="00280E12"/>
    <w:rsid w:val="00281CB8"/>
    <w:rsid w:val="00282850"/>
    <w:rsid w:val="00282D43"/>
    <w:rsid w:val="00283506"/>
    <w:rsid w:val="00284B6B"/>
    <w:rsid w:val="0028515F"/>
    <w:rsid w:val="00286D43"/>
    <w:rsid w:val="00291C29"/>
    <w:rsid w:val="00291D6B"/>
    <w:rsid w:val="00291DB2"/>
    <w:rsid w:val="002925C1"/>
    <w:rsid w:val="00292A5F"/>
    <w:rsid w:val="002939C1"/>
    <w:rsid w:val="002941E8"/>
    <w:rsid w:val="00294DF2"/>
    <w:rsid w:val="0029608C"/>
    <w:rsid w:val="0029743F"/>
    <w:rsid w:val="002A01D0"/>
    <w:rsid w:val="002A0FFE"/>
    <w:rsid w:val="002A13C2"/>
    <w:rsid w:val="002A3A14"/>
    <w:rsid w:val="002A3B48"/>
    <w:rsid w:val="002A4140"/>
    <w:rsid w:val="002A5335"/>
    <w:rsid w:val="002A582D"/>
    <w:rsid w:val="002A69B0"/>
    <w:rsid w:val="002A6A8B"/>
    <w:rsid w:val="002A6B86"/>
    <w:rsid w:val="002A7853"/>
    <w:rsid w:val="002B2D7B"/>
    <w:rsid w:val="002B32FC"/>
    <w:rsid w:val="002B44E0"/>
    <w:rsid w:val="002B4860"/>
    <w:rsid w:val="002B48F7"/>
    <w:rsid w:val="002B5018"/>
    <w:rsid w:val="002B5F2E"/>
    <w:rsid w:val="002B694D"/>
    <w:rsid w:val="002B6AA8"/>
    <w:rsid w:val="002C111F"/>
    <w:rsid w:val="002C2171"/>
    <w:rsid w:val="002C335A"/>
    <w:rsid w:val="002C3603"/>
    <w:rsid w:val="002C4258"/>
    <w:rsid w:val="002C4358"/>
    <w:rsid w:val="002C5739"/>
    <w:rsid w:val="002C6D7F"/>
    <w:rsid w:val="002C6DFF"/>
    <w:rsid w:val="002C730F"/>
    <w:rsid w:val="002D0B5E"/>
    <w:rsid w:val="002D1348"/>
    <w:rsid w:val="002D2E14"/>
    <w:rsid w:val="002D5BE7"/>
    <w:rsid w:val="002D6A73"/>
    <w:rsid w:val="002D6FA8"/>
    <w:rsid w:val="002D7079"/>
    <w:rsid w:val="002E06F0"/>
    <w:rsid w:val="002E0E53"/>
    <w:rsid w:val="002E1080"/>
    <w:rsid w:val="002E1BEA"/>
    <w:rsid w:val="002E1CD4"/>
    <w:rsid w:val="002E1ED1"/>
    <w:rsid w:val="002E2B4F"/>
    <w:rsid w:val="002E2DFF"/>
    <w:rsid w:val="002E3FE9"/>
    <w:rsid w:val="002E56F4"/>
    <w:rsid w:val="002E6E82"/>
    <w:rsid w:val="002F07C9"/>
    <w:rsid w:val="002F0B81"/>
    <w:rsid w:val="002F2053"/>
    <w:rsid w:val="002F304F"/>
    <w:rsid w:val="002F326D"/>
    <w:rsid w:val="002F4BA4"/>
    <w:rsid w:val="002F5795"/>
    <w:rsid w:val="002F6DF4"/>
    <w:rsid w:val="00300681"/>
    <w:rsid w:val="00300911"/>
    <w:rsid w:val="00300AB0"/>
    <w:rsid w:val="00301208"/>
    <w:rsid w:val="00303A73"/>
    <w:rsid w:val="0030429C"/>
    <w:rsid w:val="0030439B"/>
    <w:rsid w:val="003047F0"/>
    <w:rsid w:val="003068BB"/>
    <w:rsid w:val="003071D6"/>
    <w:rsid w:val="003072C3"/>
    <w:rsid w:val="00312A87"/>
    <w:rsid w:val="003145EF"/>
    <w:rsid w:val="00314E27"/>
    <w:rsid w:val="003155AA"/>
    <w:rsid w:val="003165DD"/>
    <w:rsid w:val="0031794E"/>
    <w:rsid w:val="0032040E"/>
    <w:rsid w:val="003209AD"/>
    <w:rsid w:val="00320ACE"/>
    <w:rsid w:val="00320D3F"/>
    <w:rsid w:val="0032104B"/>
    <w:rsid w:val="00321051"/>
    <w:rsid w:val="003213FC"/>
    <w:rsid w:val="003218E3"/>
    <w:rsid w:val="003222B3"/>
    <w:rsid w:val="00322D7B"/>
    <w:rsid w:val="00322E3F"/>
    <w:rsid w:val="0032322E"/>
    <w:rsid w:val="003246FC"/>
    <w:rsid w:val="00324A8D"/>
    <w:rsid w:val="00325F30"/>
    <w:rsid w:val="00326B81"/>
    <w:rsid w:val="00331BB3"/>
    <w:rsid w:val="00332E2D"/>
    <w:rsid w:val="00334E3F"/>
    <w:rsid w:val="003355B8"/>
    <w:rsid w:val="003359D5"/>
    <w:rsid w:val="00336BC4"/>
    <w:rsid w:val="00336BE8"/>
    <w:rsid w:val="003405A1"/>
    <w:rsid w:val="00341241"/>
    <w:rsid w:val="00341626"/>
    <w:rsid w:val="00342B0B"/>
    <w:rsid w:val="00342C24"/>
    <w:rsid w:val="00343425"/>
    <w:rsid w:val="003434FA"/>
    <w:rsid w:val="00343C27"/>
    <w:rsid w:val="00344B86"/>
    <w:rsid w:val="00344DBB"/>
    <w:rsid w:val="00345F9C"/>
    <w:rsid w:val="00346055"/>
    <w:rsid w:val="00347589"/>
    <w:rsid w:val="003502C4"/>
    <w:rsid w:val="00352889"/>
    <w:rsid w:val="00353277"/>
    <w:rsid w:val="00353AD3"/>
    <w:rsid w:val="00353D2B"/>
    <w:rsid w:val="0035493D"/>
    <w:rsid w:val="00356DEC"/>
    <w:rsid w:val="00356F89"/>
    <w:rsid w:val="003578A0"/>
    <w:rsid w:val="003600FB"/>
    <w:rsid w:val="00360987"/>
    <w:rsid w:val="00361C51"/>
    <w:rsid w:val="00363533"/>
    <w:rsid w:val="003642E8"/>
    <w:rsid w:val="00366112"/>
    <w:rsid w:val="00367E6E"/>
    <w:rsid w:val="00370362"/>
    <w:rsid w:val="0037040A"/>
    <w:rsid w:val="003715EA"/>
    <w:rsid w:val="00371A68"/>
    <w:rsid w:val="003742FB"/>
    <w:rsid w:val="00375141"/>
    <w:rsid w:val="003757C2"/>
    <w:rsid w:val="00376D62"/>
    <w:rsid w:val="00377232"/>
    <w:rsid w:val="003775A3"/>
    <w:rsid w:val="003776AA"/>
    <w:rsid w:val="00377F3E"/>
    <w:rsid w:val="00380029"/>
    <w:rsid w:val="003800BC"/>
    <w:rsid w:val="00381993"/>
    <w:rsid w:val="003819D4"/>
    <w:rsid w:val="00383A0B"/>
    <w:rsid w:val="00383CB6"/>
    <w:rsid w:val="0038559E"/>
    <w:rsid w:val="00385A9B"/>
    <w:rsid w:val="00385E81"/>
    <w:rsid w:val="0038630E"/>
    <w:rsid w:val="00386759"/>
    <w:rsid w:val="00386761"/>
    <w:rsid w:val="0039106E"/>
    <w:rsid w:val="00391946"/>
    <w:rsid w:val="00394807"/>
    <w:rsid w:val="00394B9A"/>
    <w:rsid w:val="00395281"/>
    <w:rsid w:val="003955FF"/>
    <w:rsid w:val="00395B0F"/>
    <w:rsid w:val="00396983"/>
    <w:rsid w:val="00397615"/>
    <w:rsid w:val="003A1095"/>
    <w:rsid w:val="003A1205"/>
    <w:rsid w:val="003A2D75"/>
    <w:rsid w:val="003A34F2"/>
    <w:rsid w:val="003A3A73"/>
    <w:rsid w:val="003A3C71"/>
    <w:rsid w:val="003A45ED"/>
    <w:rsid w:val="003A5058"/>
    <w:rsid w:val="003A6764"/>
    <w:rsid w:val="003A7E04"/>
    <w:rsid w:val="003B0392"/>
    <w:rsid w:val="003B0A19"/>
    <w:rsid w:val="003B0AA7"/>
    <w:rsid w:val="003B13B7"/>
    <w:rsid w:val="003B1B5D"/>
    <w:rsid w:val="003B2865"/>
    <w:rsid w:val="003B4341"/>
    <w:rsid w:val="003B681B"/>
    <w:rsid w:val="003B78FB"/>
    <w:rsid w:val="003C02A7"/>
    <w:rsid w:val="003C0D30"/>
    <w:rsid w:val="003C2104"/>
    <w:rsid w:val="003C3A00"/>
    <w:rsid w:val="003C504A"/>
    <w:rsid w:val="003C700B"/>
    <w:rsid w:val="003C7282"/>
    <w:rsid w:val="003C7D42"/>
    <w:rsid w:val="003C7DF8"/>
    <w:rsid w:val="003D07D6"/>
    <w:rsid w:val="003D0A38"/>
    <w:rsid w:val="003D10D8"/>
    <w:rsid w:val="003D13A4"/>
    <w:rsid w:val="003D1AAB"/>
    <w:rsid w:val="003D3F98"/>
    <w:rsid w:val="003D4498"/>
    <w:rsid w:val="003D612A"/>
    <w:rsid w:val="003D7342"/>
    <w:rsid w:val="003D78BB"/>
    <w:rsid w:val="003E0121"/>
    <w:rsid w:val="003E0794"/>
    <w:rsid w:val="003E1364"/>
    <w:rsid w:val="003E2DFB"/>
    <w:rsid w:val="003E31DB"/>
    <w:rsid w:val="003E327D"/>
    <w:rsid w:val="003E435F"/>
    <w:rsid w:val="003E6760"/>
    <w:rsid w:val="003E74A1"/>
    <w:rsid w:val="003E7865"/>
    <w:rsid w:val="003F00F7"/>
    <w:rsid w:val="003F01F8"/>
    <w:rsid w:val="003F051C"/>
    <w:rsid w:val="003F15A2"/>
    <w:rsid w:val="003F1623"/>
    <w:rsid w:val="003F1760"/>
    <w:rsid w:val="003F1A6C"/>
    <w:rsid w:val="003F20D5"/>
    <w:rsid w:val="003F24B0"/>
    <w:rsid w:val="003F2CAD"/>
    <w:rsid w:val="003F3F68"/>
    <w:rsid w:val="003F672F"/>
    <w:rsid w:val="003F6A7C"/>
    <w:rsid w:val="003F6E12"/>
    <w:rsid w:val="003F758A"/>
    <w:rsid w:val="003F7815"/>
    <w:rsid w:val="004008E3"/>
    <w:rsid w:val="004016CC"/>
    <w:rsid w:val="004018D2"/>
    <w:rsid w:val="004035C3"/>
    <w:rsid w:val="00403D3A"/>
    <w:rsid w:val="00404189"/>
    <w:rsid w:val="004043CE"/>
    <w:rsid w:val="00404BF2"/>
    <w:rsid w:val="00405A7A"/>
    <w:rsid w:val="0040748D"/>
    <w:rsid w:val="00407C4D"/>
    <w:rsid w:val="00410FEE"/>
    <w:rsid w:val="00412131"/>
    <w:rsid w:val="00412DC4"/>
    <w:rsid w:val="00413E97"/>
    <w:rsid w:val="004156EE"/>
    <w:rsid w:val="0041572D"/>
    <w:rsid w:val="00416952"/>
    <w:rsid w:val="00420F5B"/>
    <w:rsid w:val="00423479"/>
    <w:rsid w:val="0042401B"/>
    <w:rsid w:val="004244BC"/>
    <w:rsid w:val="00424A10"/>
    <w:rsid w:val="00425158"/>
    <w:rsid w:val="00425AF6"/>
    <w:rsid w:val="00425C7C"/>
    <w:rsid w:val="00425D97"/>
    <w:rsid w:val="00425DC0"/>
    <w:rsid w:val="004277A0"/>
    <w:rsid w:val="004302F6"/>
    <w:rsid w:val="00430B16"/>
    <w:rsid w:val="0043231B"/>
    <w:rsid w:val="00433421"/>
    <w:rsid w:val="00433470"/>
    <w:rsid w:val="00433E47"/>
    <w:rsid w:val="00434A8F"/>
    <w:rsid w:val="00434CAF"/>
    <w:rsid w:val="00435A00"/>
    <w:rsid w:val="004362D1"/>
    <w:rsid w:val="004371F8"/>
    <w:rsid w:val="0044060B"/>
    <w:rsid w:val="004409B8"/>
    <w:rsid w:val="004409F3"/>
    <w:rsid w:val="00440C55"/>
    <w:rsid w:val="00441B7B"/>
    <w:rsid w:val="00441D82"/>
    <w:rsid w:val="00442528"/>
    <w:rsid w:val="004426D3"/>
    <w:rsid w:val="0044296B"/>
    <w:rsid w:val="00444DAC"/>
    <w:rsid w:val="004458F6"/>
    <w:rsid w:val="00445FEA"/>
    <w:rsid w:val="00446297"/>
    <w:rsid w:val="00450C64"/>
    <w:rsid w:val="00452622"/>
    <w:rsid w:val="00452A04"/>
    <w:rsid w:val="00452ED8"/>
    <w:rsid w:val="00454353"/>
    <w:rsid w:val="00454A72"/>
    <w:rsid w:val="00455A5E"/>
    <w:rsid w:val="00455E70"/>
    <w:rsid w:val="00456178"/>
    <w:rsid w:val="004563CC"/>
    <w:rsid w:val="00456B74"/>
    <w:rsid w:val="00460442"/>
    <w:rsid w:val="0046078B"/>
    <w:rsid w:val="00461F54"/>
    <w:rsid w:val="0046383C"/>
    <w:rsid w:val="00464AFF"/>
    <w:rsid w:val="00464C32"/>
    <w:rsid w:val="004655EB"/>
    <w:rsid w:val="00465CDB"/>
    <w:rsid w:val="004665D9"/>
    <w:rsid w:val="00467009"/>
    <w:rsid w:val="00467996"/>
    <w:rsid w:val="0047180D"/>
    <w:rsid w:val="00471BFD"/>
    <w:rsid w:val="00471E85"/>
    <w:rsid w:val="0047441C"/>
    <w:rsid w:val="00475116"/>
    <w:rsid w:val="00477290"/>
    <w:rsid w:val="00482D7F"/>
    <w:rsid w:val="004835D7"/>
    <w:rsid w:val="00486A08"/>
    <w:rsid w:val="00487B35"/>
    <w:rsid w:val="00487E36"/>
    <w:rsid w:val="00490204"/>
    <w:rsid w:val="00490B98"/>
    <w:rsid w:val="00490EB9"/>
    <w:rsid w:val="0049102D"/>
    <w:rsid w:val="0049144E"/>
    <w:rsid w:val="004926F5"/>
    <w:rsid w:val="00492C6C"/>
    <w:rsid w:val="0049422A"/>
    <w:rsid w:val="004960E6"/>
    <w:rsid w:val="004963C1"/>
    <w:rsid w:val="00496872"/>
    <w:rsid w:val="004A5381"/>
    <w:rsid w:val="004A68DC"/>
    <w:rsid w:val="004A6C89"/>
    <w:rsid w:val="004A7CDC"/>
    <w:rsid w:val="004A7EE2"/>
    <w:rsid w:val="004B038C"/>
    <w:rsid w:val="004B0894"/>
    <w:rsid w:val="004B14A2"/>
    <w:rsid w:val="004B1C4F"/>
    <w:rsid w:val="004B1E57"/>
    <w:rsid w:val="004B217E"/>
    <w:rsid w:val="004B321A"/>
    <w:rsid w:val="004B3704"/>
    <w:rsid w:val="004B475B"/>
    <w:rsid w:val="004B50A3"/>
    <w:rsid w:val="004B5200"/>
    <w:rsid w:val="004B590C"/>
    <w:rsid w:val="004B72F9"/>
    <w:rsid w:val="004C0850"/>
    <w:rsid w:val="004C096C"/>
    <w:rsid w:val="004C2CDC"/>
    <w:rsid w:val="004C3474"/>
    <w:rsid w:val="004C3CAC"/>
    <w:rsid w:val="004C55EF"/>
    <w:rsid w:val="004C5E3A"/>
    <w:rsid w:val="004C6A66"/>
    <w:rsid w:val="004C6CE7"/>
    <w:rsid w:val="004D1FFD"/>
    <w:rsid w:val="004D311F"/>
    <w:rsid w:val="004D3146"/>
    <w:rsid w:val="004D369D"/>
    <w:rsid w:val="004D39EB"/>
    <w:rsid w:val="004D3CF2"/>
    <w:rsid w:val="004D4CF0"/>
    <w:rsid w:val="004D633B"/>
    <w:rsid w:val="004D694D"/>
    <w:rsid w:val="004D7448"/>
    <w:rsid w:val="004E007F"/>
    <w:rsid w:val="004E0A14"/>
    <w:rsid w:val="004E0FD9"/>
    <w:rsid w:val="004E11B4"/>
    <w:rsid w:val="004E1600"/>
    <w:rsid w:val="004E3EF0"/>
    <w:rsid w:val="004E57F8"/>
    <w:rsid w:val="004E583B"/>
    <w:rsid w:val="004E5DA3"/>
    <w:rsid w:val="004E6DFB"/>
    <w:rsid w:val="004E6F73"/>
    <w:rsid w:val="004E7C71"/>
    <w:rsid w:val="004F057F"/>
    <w:rsid w:val="004F163B"/>
    <w:rsid w:val="004F1AF2"/>
    <w:rsid w:val="004F1E13"/>
    <w:rsid w:val="004F5197"/>
    <w:rsid w:val="004F524D"/>
    <w:rsid w:val="004F644D"/>
    <w:rsid w:val="00500455"/>
    <w:rsid w:val="0050069D"/>
    <w:rsid w:val="00500D2D"/>
    <w:rsid w:val="005022D9"/>
    <w:rsid w:val="005049E3"/>
    <w:rsid w:val="005056EE"/>
    <w:rsid w:val="00505B26"/>
    <w:rsid w:val="00506832"/>
    <w:rsid w:val="00506FC0"/>
    <w:rsid w:val="00507F58"/>
    <w:rsid w:val="00510249"/>
    <w:rsid w:val="005104F9"/>
    <w:rsid w:val="00511D1F"/>
    <w:rsid w:val="00512B6D"/>
    <w:rsid w:val="00513533"/>
    <w:rsid w:val="0051465B"/>
    <w:rsid w:val="00515001"/>
    <w:rsid w:val="0051577E"/>
    <w:rsid w:val="00515BB2"/>
    <w:rsid w:val="00515C73"/>
    <w:rsid w:val="0051711D"/>
    <w:rsid w:val="00517336"/>
    <w:rsid w:val="0051736E"/>
    <w:rsid w:val="00520178"/>
    <w:rsid w:val="005208ED"/>
    <w:rsid w:val="00522913"/>
    <w:rsid w:val="00522B8A"/>
    <w:rsid w:val="00522BE6"/>
    <w:rsid w:val="0052439D"/>
    <w:rsid w:val="0052548B"/>
    <w:rsid w:val="005254CB"/>
    <w:rsid w:val="00525B33"/>
    <w:rsid w:val="00526BB3"/>
    <w:rsid w:val="00527016"/>
    <w:rsid w:val="005270A9"/>
    <w:rsid w:val="00527817"/>
    <w:rsid w:val="00530193"/>
    <w:rsid w:val="0053046E"/>
    <w:rsid w:val="00531FFE"/>
    <w:rsid w:val="0053268A"/>
    <w:rsid w:val="00532767"/>
    <w:rsid w:val="00535A91"/>
    <w:rsid w:val="00536BCB"/>
    <w:rsid w:val="00536D81"/>
    <w:rsid w:val="0054137F"/>
    <w:rsid w:val="00541F8C"/>
    <w:rsid w:val="00542268"/>
    <w:rsid w:val="00545C7B"/>
    <w:rsid w:val="00550952"/>
    <w:rsid w:val="00551CCE"/>
    <w:rsid w:val="0055387F"/>
    <w:rsid w:val="005538EB"/>
    <w:rsid w:val="00553C0F"/>
    <w:rsid w:val="00554626"/>
    <w:rsid w:val="00555240"/>
    <w:rsid w:val="00555AFF"/>
    <w:rsid w:val="00556C7F"/>
    <w:rsid w:val="005635A5"/>
    <w:rsid w:val="00564FDD"/>
    <w:rsid w:val="005664B7"/>
    <w:rsid w:val="00566F2E"/>
    <w:rsid w:val="00567941"/>
    <w:rsid w:val="005702CC"/>
    <w:rsid w:val="005716B7"/>
    <w:rsid w:val="00571DEF"/>
    <w:rsid w:val="00572353"/>
    <w:rsid w:val="005728FC"/>
    <w:rsid w:val="00572FB1"/>
    <w:rsid w:val="005735CA"/>
    <w:rsid w:val="00574340"/>
    <w:rsid w:val="00576BFB"/>
    <w:rsid w:val="00576CF2"/>
    <w:rsid w:val="00581003"/>
    <w:rsid w:val="005833C8"/>
    <w:rsid w:val="005841B9"/>
    <w:rsid w:val="005853B1"/>
    <w:rsid w:val="00585791"/>
    <w:rsid w:val="00585BC9"/>
    <w:rsid w:val="0058762E"/>
    <w:rsid w:val="00587CB7"/>
    <w:rsid w:val="005906EC"/>
    <w:rsid w:val="005911DC"/>
    <w:rsid w:val="00591FF1"/>
    <w:rsid w:val="0059216A"/>
    <w:rsid w:val="00592547"/>
    <w:rsid w:val="00592CA8"/>
    <w:rsid w:val="005935D2"/>
    <w:rsid w:val="0059417D"/>
    <w:rsid w:val="00594AB3"/>
    <w:rsid w:val="00594DE6"/>
    <w:rsid w:val="00594F7D"/>
    <w:rsid w:val="00595D51"/>
    <w:rsid w:val="005979B0"/>
    <w:rsid w:val="005A021C"/>
    <w:rsid w:val="005A187F"/>
    <w:rsid w:val="005A1F99"/>
    <w:rsid w:val="005A2E9B"/>
    <w:rsid w:val="005A32EB"/>
    <w:rsid w:val="005A39A9"/>
    <w:rsid w:val="005A65BD"/>
    <w:rsid w:val="005B2CC3"/>
    <w:rsid w:val="005B2E1F"/>
    <w:rsid w:val="005B359B"/>
    <w:rsid w:val="005B5A29"/>
    <w:rsid w:val="005B6E7C"/>
    <w:rsid w:val="005B752E"/>
    <w:rsid w:val="005C09B5"/>
    <w:rsid w:val="005C1B00"/>
    <w:rsid w:val="005C1E48"/>
    <w:rsid w:val="005C231A"/>
    <w:rsid w:val="005C2E35"/>
    <w:rsid w:val="005C3583"/>
    <w:rsid w:val="005C47A1"/>
    <w:rsid w:val="005C5A51"/>
    <w:rsid w:val="005C5FFF"/>
    <w:rsid w:val="005C6BF3"/>
    <w:rsid w:val="005C6F8B"/>
    <w:rsid w:val="005C7434"/>
    <w:rsid w:val="005C7D26"/>
    <w:rsid w:val="005D02D4"/>
    <w:rsid w:val="005D0603"/>
    <w:rsid w:val="005D070D"/>
    <w:rsid w:val="005D08E1"/>
    <w:rsid w:val="005D0D65"/>
    <w:rsid w:val="005D228D"/>
    <w:rsid w:val="005D396B"/>
    <w:rsid w:val="005D3AB1"/>
    <w:rsid w:val="005D3B68"/>
    <w:rsid w:val="005D4530"/>
    <w:rsid w:val="005D46BC"/>
    <w:rsid w:val="005D48D8"/>
    <w:rsid w:val="005D59B4"/>
    <w:rsid w:val="005D6043"/>
    <w:rsid w:val="005D609D"/>
    <w:rsid w:val="005D654D"/>
    <w:rsid w:val="005D7939"/>
    <w:rsid w:val="005D7CE1"/>
    <w:rsid w:val="005E0F80"/>
    <w:rsid w:val="005E245D"/>
    <w:rsid w:val="005E26A0"/>
    <w:rsid w:val="005E3FE4"/>
    <w:rsid w:val="005E5124"/>
    <w:rsid w:val="005E562E"/>
    <w:rsid w:val="005E5F8F"/>
    <w:rsid w:val="005E6C78"/>
    <w:rsid w:val="005E7088"/>
    <w:rsid w:val="005E75B6"/>
    <w:rsid w:val="005E78E7"/>
    <w:rsid w:val="005E7F96"/>
    <w:rsid w:val="005F1A4D"/>
    <w:rsid w:val="005F1A89"/>
    <w:rsid w:val="005F3039"/>
    <w:rsid w:val="005F34CB"/>
    <w:rsid w:val="005F6D12"/>
    <w:rsid w:val="005F767E"/>
    <w:rsid w:val="00600080"/>
    <w:rsid w:val="00600404"/>
    <w:rsid w:val="00601D44"/>
    <w:rsid w:val="006025EA"/>
    <w:rsid w:val="00602D95"/>
    <w:rsid w:val="00604680"/>
    <w:rsid w:val="00605DE7"/>
    <w:rsid w:val="0060604F"/>
    <w:rsid w:val="00607408"/>
    <w:rsid w:val="006074CA"/>
    <w:rsid w:val="00611160"/>
    <w:rsid w:val="00611408"/>
    <w:rsid w:val="006116F2"/>
    <w:rsid w:val="00611FC1"/>
    <w:rsid w:val="00612451"/>
    <w:rsid w:val="00612716"/>
    <w:rsid w:val="00613A6F"/>
    <w:rsid w:val="00613DBF"/>
    <w:rsid w:val="006146A0"/>
    <w:rsid w:val="006149D2"/>
    <w:rsid w:val="00614EA3"/>
    <w:rsid w:val="0061614C"/>
    <w:rsid w:val="006169D7"/>
    <w:rsid w:val="0061783C"/>
    <w:rsid w:val="00617A39"/>
    <w:rsid w:val="00617AD9"/>
    <w:rsid w:val="00617C1B"/>
    <w:rsid w:val="006200FE"/>
    <w:rsid w:val="006212E7"/>
    <w:rsid w:val="00621D0B"/>
    <w:rsid w:val="00623172"/>
    <w:rsid w:val="00623EC7"/>
    <w:rsid w:val="006242EC"/>
    <w:rsid w:val="006243BF"/>
    <w:rsid w:val="0062461F"/>
    <w:rsid w:val="00625571"/>
    <w:rsid w:val="006257D5"/>
    <w:rsid w:val="00626E0F"/>
    <w:rsid w:val="00627A4E"/>
    <w:rsid w:val="00630271"/>
    <w:rsid w:val="00630C7A"/>
    <w:rsid w:val="00631B6A"/>
    <w:rsid w:val="00632234"/>
    <w:rsid w:val="006325A8"/>
    <w:rsid w:val="00633C84"/>
    <w:rsid w:val="00634800"/>
    <w:rsid w:val="00634840"/>
    <w:rsid w:val="00634CC4"/>
    <w:rsid w:val="00636370"/>
    <w:rsid w:val="00636B72"/>
    <w:rsid w:val="0063791F"/>
    <w:rsid w:val="006400FF"/>
    <w:rsid w:val="0064054D"/>
    <w:rsid w:val="00640A60"/>
    <w:rsid w:val="00641B6A"/>
    <w:rsid w:val="00641C9A"/>
    <w:rsid w:val="00645D9C"/>
    <w:rsid w:val="006466DB"/>
    <w:rsid w:val="00646A04"/>
    <w:rsid w:val="00651115"/>
    <w:rsid w:val="00652557"/>
    <w:rsid w:val="0065372E"/>
    <w:rsid w:val="00657F49"/>
    <w:rsid w:val="006600B8"/>
    <w:rsid w:val="00660962"/>
    <w:rsid w:val="00662107"/>
    <w:rsid w:val="006626A0"/>
    <w:rsid w:val="00663D32"/>
    <w:rsid w:val="00665137"/>
    <w:rsid w:val="00665307"/>
    <w:rsid w:val="006663B4"/>
    <w:rsid w:val="006667BD"/>
    <w:rsid w:val="00667083"/>
    <w:rsid w:val="00667AEF"/>
    <w:rsid w:val="00667D93"/>
    <w:rsid w:val="00670750"/>
    <w:rsid w:val="006713E8"/>
    <w:rsid w:val="006719C8"/>
    <w:rsid w:val="00672518"/>
    <w:rsid w:val="00672E79"/>
    <w:rsid w:val="006732D7"/>
    <w:rsid w:val="00673C4A"/>
    <w:rsid w:val="00673C66"/>
    <w:rsid w:val="0067603F"/>
    <w:rsid w:val="0067627A"/>
    <w:rsid w:val="006803AD"/>
    <w:rsid w:val="00680867"/>
    <w:rsid w:val="006825CE"/>
    <w:rsid w:val="00682904"/>
    <w:rsid w:val="00682D37"/>
    <w:rsid w:val="00683165"/>
    <w:rsid w:val="0068382A"/>
    <w:rsid w:val="0068402D"/>
    <w:rsid w:val="0068427E"/>
    <w:rsid w:val="006848D1"/>
    <w:rsid w:val="00685B97"/>
    <w:rsid w:val="00690649"/>
    <w:rsid w:val="0069170B"/>
    <w:rsid w:val="00692A42"/>
    <w:rsid w:val="00693EB3"/>
    <w:rsid w:val="00693EC7"/>
    <w:rsid w:val="0069406C"/>
    <w:rsid w:val="00694B31"/>
    <w:rsid w:val="00694CBB"/>
    <w:rsid w:val="00696229"/>
    <w:rsid w:val="006965C9"/>
    <w:rsid w:val="0069707A"/>
    <w:rsid w:val="00697771"/>
    <w:rsid w:val="00697D59"/>
    <w:rsid w:val="00697FFE"/>
    <w:rsid w:val="006A1806"/>
    <w:rsid w:val="006A2A20"/>
    <w:rsid w:val="006A3996"/>
    <w:rsid w:val="006A47A9"/>
    <w:rsid w:val="006A4A32"/>
    <w:rsid w:val="006A4CB5"/>
    <w:rsid w:val="006A4E9B"/>
    <w:rsid w:val="006A5559"/>
    <w:rsid w:val="006A78CC"/>
    <w:rsid w:val="006A79B0"/>
    <w:rsid w:val="006B0EE1"/>
    <w:rsid w:val="006B2E16"/>
    <w:rsid w:val="006B2F61"/>
    <w:rsid w:val="006B30B2"/>
    <w:rsid w:val="006B3458"/>
    <w:rsid w:val="006B38C3"/>
    <w:rsid w:val="006B52FB"/>
    <w:rsid w:val="006B57DE"/>
    <w:rsid w:val="006B6E08"/>
    <w:rsid w:val="006C03EA"/>
    <w:rsid w:val="006C1312"/>
    <w:rsid w:val="006C1779"/>
    <w:rsid w:val="006C205E"/>
    <w:rsid w:val="006C286F"/>
    <w:rsid w:val="006C373B"/>
    <w:rsid w:val="006C4102"/>
    <w:rsid w:val="006C4341"/>
    <w:rsid w:val="006C4456"/>
    <w:rsid w:val="006C6020"/>
    <w:rsid w:val="006C61CC"/>
    <w:rsid w:val="006C7B4C"/>
    <w:rsid w:val="006D0248"/>
    <w:rsid w:val="006D030E"/>
    <w:rsid w:val="006D0CB6"/>
    <w:rsid w:val="006D3B99"/>
    <w:rsid w:val="006D3EE8"/>
    <w:rsid w:val="006D69BA"/>
    <w:rsid w:val="006D7351"/>
    <w:rsid w:val="006E21C0"/>
    <w:rsid w:val="006E22D9"/>
    <w:rsid w:val="006E2482"/>
    <w:rsid w:val="006E2A83"/>
    <w:rsid w:val="006E2DF2"/>
    <w:rsid w:val="006E2EA7"/>
    <w:rsid w:val="006E2FB9"/>
    <w:rsid w:val="006E2FCA"/>
    <w:rsid w:val="006E4628"/>
    <w:rsid w:val="006E637B"/>
    <w:rsid w:val="006E6E1E"/>
    <w:rsid w:val="006F0202"/>
    <w:rsid w:val="006F0E16"/>
    <w:rsid w:val="006F1C6E"/>
    <w:rsid w:val="006F2695"/>
    <w:rsid w:val="006F3572"/>
    <w:rsid w:val="006F5006"/>
    <w:rsid w:val="006F5227"/>
    <w:rsid w:val="006F5BE6"/>
    <w:rsid w:val="006F66D1"/>
    <w:rsid w:val="006F72B6"/>
    <w:rsid w:val="00700740"/>
    <w:rsid w:val="00702EB7"/>
    <w:rsid w:val="00703F1B"/>
    <w:rsid w:val="007048B5"/>
    <w:rsid w:val="00704A0A"/>
    <w:rsid w:val="00705F47"/>
    <w:rsid w:val="007078A2"/>
    <w:rsid w:val="0070793E"/>
    <w:rsid w:val="00707BA3"/>
    <w:rsid w:val="00707C6C"/>
    <w:rsid w:val="00707E48"/>
    <w:rsid w:val="007102D9"/>
    <w:rsid w:val="0071429B"/>
    <w:rsid w:val="0071451A"/>
    <w:rsid w:val="00714B24"/>
    <w:rsid w:val="00714D14"/>
    <w:rsid w:val="007166C4"/>
    <w:rsid w:val="00716BC7"/>
    <w:rsid w:val="00720C11"/>
    <w:rsid w:val="00720EB6"/>
    <w:rsid w:val="00721C07"/>
    <w:rsid w:val="007232A0"/>
    <w:rsid w:val="00723802"/>
    <w:rsid w:val="00723933"/>
    <w:rsid w:val="00724C48"/>
    <w:rsid w:val="00724F9B"/>
    <w:rsid w:val="007256F4"/>
    <w:rsid w:val="007259EB"/>
    <w:rsid w:val="00725B1A"/>
    <w:rsid w:val="007269E4"/>
    <w:rsid w:val="007273FF"/>
    <w:rsid w:val="00730C7F"/>
    <w:rsid w:val="00730D76"/>
    <w:rsid w:val="00731638"/>
    <w:rsid w:val="00732D48"/>
    <w:rsid w:val="007335F0"/>
    <w:rsid w:val="0073389C"/>
    <w:rsid w:val="007344BA"/>
    <w:rsid w:val="00734C96"/>
    <w:rsid w:val="0073646E"/>
    <w:rsid w:val="00737071"/>
    <w:rsid w:val="007373BF"/>
    <w:rsid w:val="00737FA0"/>
    <w:rsid w:val="007400A4"/>
    <w:rsid w:val="007401C6"/>
    <w:rsid w:val="00742870"/>
    <w:rsid w:val="00743FF7"/>
    <w:rsid w:val="00744278"/>
    <w:rsid w:val="00751CCB"/>
    <w:rsid w:val="00751DEC"/>
    <w:rsid w:val="00752D6F"/>
    <w:rsid w:val="0075393B"/>
    <w:rsid w:val="00754FB2"/>
    <w:rsid w:val="00755252"/>
    <w:rsid w:val="0075525D"/>
    <w:rsid w:val="0075616B"/>
    <w:rsid w:val="007567D7"/>
    <w:rsid w:val="00756F96"/>
    <w:rsid w:val="00757C50"/>
    <w:rsid w:val="00761326"/>
    <w:rsid w:val="00761CD2"/>
    <w:rsid w:val="007623E6"/>
    <w:rsid w:val="00770771"/>
    <w:rsid w:val="00770E0B"/>
    <w:rsid w:val="0077226F"/>
    <w:rsid w:val="00774230"/>
    <w:rsid w:val="00776009"/>
    <w:rsid w:val="0077705D"/>
    <w:rsid w:val="00777525"/>
    <w:rsid w:val="00777E26"/>
    <w:rsid w:val="00781110"/>
    <w:rsid w:val="00782B98"/>
    <w:rsid w:val="00782D43"/>
    <w:rsid w:val="007833A6"/>
    <w:rsid w:val="00784469"/>
    <w:rsid w:val="007846B3"/>
    <w:rsid w:val="007855D0"/>
    <w:rsid w:val="00785A51"/>
    <w:rsid w:val="00786E71"/>
    <w:rsid w:val="00787112"/>
    <w:rsid w:val="0079077C"/>
    <w:rsid w:val="007912A1"/>
    <w:rsid w:val="007917A4"/>
    <w:rsid w:val="00792F47"/>
    <w:rsid w:val="007935CD"/>
    <w:rsid w:val="00795387"/>
    <w:rsid w:val="00795DCD"/>
    <w:rsid w:val="007A051E"/>
    <w:rsid w:val="007A0682"/>
    <w:rsid w:val="007A35A9"/>
    <w:rsid w:val="007A3D5D"/>
    <w:rsid w:val="007A4C14"/>
    <w:rsid w:val="007A77F0"/>
    <w:rsid w:val="007B260A"/>
    <w:rsid w:val="007B2703"/>
    <w:rsid w:val="007B2DA3"/>
    <w:rsid w:val="007B30B6"/>
    <w:rsid w:val="007B34D4"/>
    <w:rsid w:val="007B36C6"/>
    <w:rsid w:val="007B463B"/>
    <w:rsid w:val="007B49F1"/>
    <w:rsid w:val="007B665F"/>
    <w:rsid w:val="007B71B8"/>
    <w:rsid w:val="007B738E"/>
    <w:rsid w:val="007B744D"/>
    <w:rsid w:val="007B7BF9"/>
    <w:rsid w:val="007C0143"/>
    <w:rsid w:val="007C03FD"/>
    <w:rsid w:val="007C0407"/>
    <w:rsid w:val="007C07EB"/>
    <w:rsid w:val="007C092A"/>
    <w:rsid w:val="007C0E6E"/>
    <w:rsid w:val="007C2440"/>
    <w:rsid w:val="007C24D8"/>
    <w:rsid w:val="007C31D2"/>
    <w:rsid w:val="007C365C"/>
    <w:rsid w:val="007C49C6"/>
    <w:rsid w:val="007C4D01"/>
    <w:rsid w:val="007C4E7F"/>
    <w:rsid w:val="007C57DA"/>
    <w:rsid w:val="007C59EE"/>
    <w:rsid w:val="007C6B60"/>
    <w:rsid w:val="007C6F42"/>
    <w:rsid w:val="007C717E"/>
    <w:rsid w:val="007C762E"/>
    <w:rsid w:val="007D2523"/>
    <w:rsid w:val="007D2A23"/>
    <w:rsid w:val="007D2D94"/>
    <w:rsid w:val="007D2F66"/>
    <w:rsid w:val="007D310C"/>
    <w:rsid w:val="007D3AAB"/>
    <w:rsid w:val="007D5D58"/>
    <w:rsid w:val="007D6C05"/>
    <w:rsid w:val="007D6E9F"/>
    <w:rsid w:val="007D77BE"/>
    <w:rsid w:val="007D7AF3"/>
    <w:rsid w:val="007D7BF5"/>
    <w:rsid w:val="007D7F5D"/>
    <w:rsid w:val="007E0A76"/>
    <w:rsid w:val="007E210D"/>
    <w:rsid w:val="007E3A0F"/>
    <w:rsid w:val="007E5325"/>
    <w:rsid w:val="007E58C9"/>
    <w:rsid w:val="007F0E26"/>
    <w:rsid w:val="007F1167"/>
    <w:rsid w:val="007F1880"/>
    <w:rsid w:val="007F2DEB"/>
    <w:rsid w:val="007F3840"/>
    <w:rsid w:val="007F4FD8"/>
    <w:rsid w:val="007F508A"/>
    <w:rsid w:val="007F51D9"/>
    <w:rsid w:val="007F5A03"/>
    <w:rsid w:val="007F69FA"/>
    <w:rsid w:val="007F70CE"/>
    <w:rsid w:val="007F7467"/>
    <w:rsid w:val="007F75E0"/>
    <w:rsid w:val="00800276"/>
    <w:rsid w:val="008004D8"/>
    <w:rsid w:val="0080077E"/>
    <w:rsid w:val="008036E9"/>
    <w:rsid w:val="00803A2C"/>
    <w:rsid w:val="00803B8B"/>
    <w:rsid w:val="008044D9"/>
    <w:rsid w:val="00807075"/>
    <w:rsid w:val="0080742F"/>
    <w:rsid w:val="00807502"/>
    <w:rsid w:val="00807FAE"/>
    <w:rsid w:val="0081052A"/>
    <w:rsid w:val="00810733"/>
    <w:rsid w:val="00810D31"/>
    <w:rsid w:val="00811211"/>
    <w:rsid w:val="00812ED6"/>
    <w:rsid w:val="00813930"/>
    <w:rsid w:val="008171AD"/>
    <w:rsid w:val="008179A9"/>
    <w:rsid w:val="00817EB4"/>
    <w:rsid w:val="00820A30"/>
    <w:rsid w:val="00820B31"/>
    <w:rsid w:val="00821235"/>
    <w:rsid w:val="00821542"/>
    <w:rsid w:val="008215D3"/>
    <w:rsid w:val="008218A2"/>
    <w:rsid w:val="00821FC0"/>
    <w:rsid w:val="00822121"/>
    <w:rsid w:val="00822A90"/>
    <w:rsid w:val="00822E0C"/>
    <w:rsid w:val="00823BE9"/>
    <w:rsid w:val="00823FB4"/>
    <w:rsid w:val="00825043"/>
    <w:rsid w:val="00826673"/>
    <w:rsid w:val="00826BF6"/>
    <w:rsid w:val="0082772B"/>
    <w:rsid w:val="00830FA6"/>
    <w:rsid w:val="00831AD9"/>
    <w:rsid w:val="00833903"/>
    <w:rsid w:val="0083391B"/>
    <w:rsid w:val="0083478A"/>
    <w:rsid w:val="008357B8"/>
    <w:rsid w:val="00835F5E"/>
    <w:rsid w:val="00836453"/>
    <w:rsid w:val="00836871"/>
    <w:rsid w:val="008405BC"/>
    <w:rsid w:val="008409B1"/>
    <w:rsid w:val="00840EBF"/>
    <w:rsid w:val="00841DEB"/>
    <w:rsid w:val="00842CC9"/>
    <w:rsid w:val="008433CA"/>
    <w:rsid w:val="00844CA9"/>
    <w:rsid w:val="0084665C"/>
    <w:rsid w:val="00846A78"/>
    <w:rsid w:val="00846FAB"/>
    <w:rsid w:val="00847C2F"/>
    <w:rsid w:val="0085016B"/>
    <w:rsid w:val="00850232"/>
    <w:rsid w:val="00853C93"/>
    <w:rsid w:val="00856A03"/>
    <w:rsid w:val="00860423"/>
    <w:rsid w:val="00861573"/>
    <w:rsid w:val="00861B8D"/>
    <w:rsid w:val="00861F47"/>
    <w:rsid w:val="00862776"/>
    <w:rsid w:val="00862811"/>
    <w:rsid w:val="008628E7"/>
    <w:rsid w:val="00862BB9"/>
    <w:rsid w:val="008631B6"/>
    <w:rsid w:val="00864CAF"/>
    <w:rsid w:val="00866997"/>
    <w:rsid w:val="00867BCD"/>
    <w:rsid w:val="0087024F"/>
    <w:rsid w:val="00872F62"/>
    <w:rsid w:val="008731DF"/>
    <w:rsid w:val="00873DB5"/>
    <w:rsid w:val="00875588"/>
    <w:rsid w:val="00876AAC"/>
    <w:rsid w:val="00876B00"/>
    <w:rsid w:val="00880905"/>
    <w:rsid w:val="008810E6"/>
    <w:rsid w:val="008827F1"/>
    <w:rsid w:val="00882820"/>
    <w:rsid w:val="008839EA"/>
    <w:rsid w:val="00883C9C"/>
    <w:rsid w:val="00883DF4"/>
    <w:rsid w:val="0088560A"/>
    <w:rsid w:val="00885B51"/>
    <w:rsid w:val="00885B62"/>
    <w:rsid w:val="00887650"/>
    <w:rsid w:val="00890B04"/>
    <w:rsid w:val="00891A65"/>
    <w:rsid w:val="00891D74"/>
    <w:rsid w:val="00891F6E"/>
    <w:rsid w:val="008922DF"/>
    <w:rsid w:val="008930F1"/>
    <w:rsid w:val="00893EB2"/>
    <w:rsid w:val="00895797"/>
    <w:rsid w:val="00895CE4"/>
    <w:rsid w:val="00897C5F"/>
    <w:rsid w:val="00897E96"/>
    <w:rsid w:val="008A0DD7"/>
    <w:rsid w:val="008A14D0"/>
    <w:rsid w:val="008A1FAA"/>
    <w:rsid w:val="008A248F"/>
    <w:rsid w:val="008A3384"/>
    <w:rsid w:val="008A3863"/>
    <w:rsid w:val="008A6984"/>
    <w:rsid w:val="008B01C3"/>
    <w:rsid w:val="008B01C9"/>
    <w:rsid w:val="008B1D96"/>
    <w:rsid w:val="008B2251"/>
    <w:rsid w:val="008B2A24"/>
    <w:rsid w:val="008B3262"/>
    <w:rsid w:val="008B3956"/>
    <w:rsid w:val="008B3A62"/>
    <w:rsid w:val="008B3C2A"/>
    <w:rsid w:val="008B4B0C"/>
    <w:rsid w:val="008B4F27"/>
    <w:rsid w:val="008B6217"/>
    <w:rsid w:val="008B71A2"/>
    <w:rsid w:val="008C050B"/>
    <w:rsid w:val="008C29D5"/>
    <w:rsid w:val="008C37B9"/>
    <w:rsid w:val="008C4C3D"/>
    <w:rsid w:val="008C626F"/>
    <w:rsid w:val="008C790F"/>
    <w:rsid w:val="008D14E8"/>
    <w:rsid w:val="008D2131"/>
    <w:rsid w:val="008D224C"/>
    <w:rsid w:val="008D27E3"/>
    <w:rsid w:val="008D3557"/>
    <w:rsid w:val="008D35AC"/>
    <w:rsid w:val="008D3B3C"/>
    <w:rsid w:val="008D5DC2"/>
    <w:rsid w:val="008D60A6"/>
    <w:rsid w:val="008D6DFC"/>
    <w:rsid w:val="008D70DC"/>
    <w:rsid w:val="008D7243"/>
    <w:rsid w:val="008D79C7"/>
    <w:rsid w:val="008E0A2D"/>
    <w:rsid w:val="008E1BED"/>
    <w:rsid w:val="008E2833"/>
    <w:rsid w:val="008E43D9"/>
    <w:rsid w:val="008E43E6"/>
    <w:rsid w:val="008E4892"/>
    <w:rsid w:val="008E546D"/>
    <w:rsid w:val="008E556C"/>
    <w:rsid w:val="008E5979"/>
    <w:rsid w:val="008E6007"/>
    <w:rsid w:val="008E6059"/>
    <w:rsid w:val="008E6787"/>
    <w:rsid w:val="008E6A3B"/>
    <w:rsid w:val="008E75C2"/>
    <w:rsid w:val="008E7B42"/>
    <w:rsid w:val="008F0478"/>
    <w:rsid w:val="008F2E04"/>
    <w:rsid w:val="008F301D"/>
    <w:rsid w:val="008F35FC"/>
    <w:rsid w:val="008F38D4"/>
    <w:rsid w:val="008F42F5"/>
    <w:rsid w:val="008F56A5"/>
    <w:rsid w:val="008F7AC0"/>
    <w:rsid w:val="008F7CFD"/>
    <w:rsid w:val="009019D4"/>
    <w:rsid w:val="009022D9"/>
    <w:rsid w:val="009024BD"/>
    <w:rsid w:val="00902653"/>
    <w:rsid w:val="00902852"/>
    <w:rsid w:val="00902904"/>
    <w:rsid w:val="00904412"/>
    <w:rsid w:val="009053C4"/>
    <w:rsid w:val="009069EF"/>
    <w:rsid w:val="0091077E"/>
    <w:rsid w:val="009117E2"/>
    <w:rsid w:val="009134F6"/>
    <w:rsid w:val="009146C8"/>
    <w:rsid w:val="009146CA"/>
    <w:rsid w:val="009149C1"/>
    <w:rsid w:val="009159C3"/>
    <w:rsid w:val="00915EFF"/>
    <w:rsid w:val="009164D3"/>
    <w:rsid w:val="0091787B"/>
    <w:rsid w:val="00920701"/>
    <w:rsid w:val="00921847"/>
    <w:rsid w:val="00921F9B"/>
    <w:rsid w:val="00922A05"/>
    <w:rsid w:val="00923A8D"/>
    <w:rsid w:val="00923B1E"/>
    <w:rsid w:val="0092406E"/>
    <w:rsid w:val="00925568"/>
    <w:rsid w:val="00926E95"/>
    <w:rsid w:val="00926FFB"/>
    <w:rsid w:val="00927C5A"/>
    <w:rsid w:val="009300BF"/>
    <w:rsid w:val="0093175E"/>
    <w:rsid w:val="00931C46"/>
    <w:rsid w:val="00932597"/>
    <w:rsid w:val="00932737"/>
    <w:rsid w:val="00932A24"/>
    <w:rsid w:val="00935E70"/>
    <w:rsid w:val="00937197"/>
    <w:rsid w:val="009371DE"/>
    <w:rsid w:val="009376D4"/>
    <w:rsid w:val="0094124E"/>
    <w:rsid w:val="009413C8"/>
    <w:rsid w:val="009426D7"/>
    <w:rsid w:val="00942AF5"/>
    <w:rsid w:val="00942CFA"/>
    <w:rsid w:val="009447B8"/>
    <w:rsid w:val="00944CDD"/>
    <w:rsid w:val="00950C12"/>
    <w:rsid w:val="00953546"/>
    <w:rsid w:val="00953685"/>
    <w:rsid w:val="00953992"/>
    <w:rsid w:val="00956426"/>
    <w:rsid w:val="00956BA1"/>
    <w:rsid w:val="00957267"/>
    <w:rsid w:val="0095760B"/>
    <w:rsid w:val="00957624"/>
    <w:rsid w:val="0096075A"/>
    <w:rsid w:val="00960784"/>
    <w:rsid w:val="00963123"/>
    <w:rsid w:val="009640C8"/>
    <w:rsid w:val="00966883"/>
    <w:rsid w:val="00967560"/>
    <w:rsid w:val="00971844"/>
    <w:rsid w:val="00972205"/>
    <w:rsid w:val="009723AF"/>
    <w:rsid w:val="00972625"/>
    <w:rsid w:val="00974869"/>
    <w:rsid w:val="00976010"/>
    <w:rsid w:val="0097729C"/>
    <w:rsid w:val="00980343"/>
    <w:rsid w:val="009814A4"/>
    <w:rsid w:val="009816CD"/>
    <w:rsid w:val="0098276C"/>
    <w:rsid w:val="009837BC"/>
    <w:rsid w:val="00983F94"/>
    <w:rsid w:val="009840F6"/>
    <w:rsid w:val="009841CA"/>
    <w:rsid w:val="009845EF"/>
    <w:rsid w:val="009845FA"/>
    <w:rsid w:val="0098717A"/>
    <w:rsid w:val="00990D3E"/>
    <w:rsid w:val="00992CD5"/>
    <w:rsid w:val="00993892"/>
    <w:rsid w:val="00993ACA"/>
    <w:rsid w:val="00994DA9"/>
    <w:rsid w:val="00995507"/>
    <w:rsid w:val="00995A74"/>
    <w:rsid w:val="00996349"/>
    <w:rsid w:val="0099756D"/>
    <w:rsid w:val="00997825"/>
    <w:rsid w:val="009A0E1F"/>
    <w:rsid w:val="009A1097"/>
    <w:rsid w:val="009A2117"/>
    <w:rsid w:val="009A433B"/>
    <w:rsid w:val="009A5CE2"/>
    <w:rsid w:val="009B0684"/>
    <w:rsid w:val="009B150B"/>
    <w:rsid w:val="009B25EF"/>
    <w:rsid w:val="009B26D0"/>
    <w:rsid w:val="009B2A54"/>
    <w:rsid w:val="009B3890"/>
    <w:rsid w:val="009B396B"/>
    <w:rsid w:val="009B479F"/>
    <w:rsid w:val="009B4BD7"/>
    <w:rsid w:val="009B5C01"/>
    <w:rsid w:val="009B5D2F"/>
    <w:rsid w:val="009B6159"/>
    <w:rsid w:val="009B66D7"/>
    <w:rsid w:val="009B6B5F"/>
    <w:rsid w:val="009B6EFF"/>
    <w:rsid w:val="009C0007"/>
    <w:rsid w:val="009C134D"/>
    <w:rsid w:val="009C15FC"/>
    <w:rsid w:val="009C1D13"/>
    <w:rsid w:val="009C2802"/>
    <w:rsid w:val="009C34D2"/>
    <w:rsid w:val="009C3768"/>
    <w:rsid w:val="009C3929"/>
    <w:rsid w:val="009C4099"/>
    <w:rsid w:val="009C5DD8"/>
    <w:rsid w:val="009C6499"/>
    <w:rsid w:val="009C6FA5"/>
    <w:rsid w:val="009D0231"/>
    <w:rsid w:val="009D0331"/>
    <w:rsid w:val="009D1A2F"/>
    <w:rsid w:val="009D302C"/>
    <w:rsid w:val="009D3BC1"/>
    <w:rsid w:val="009D3C95"/>
    <w:rsid w:val="009D4DA5"/>
    <w:rsid w:val="009D5DDF"/>
    <w:rsid w:val="009D6280"/>
    <w:rsid w:val="009D6FE9"/>
    <w:rsid w:val="009D7FE7"/>
    <w:rsid w:val="009E0BA7"/>
    <w:rsid w:val="009E106B"/>
    <w:rsid w:val="009E3A76"/>
    <w:rsid w:val="009E454A"/>
    <w:rsid w:val="009E5960"/>
    <w:rsid w:val="009E59E1"/>
    <w:rsid w:val="009E5CBC"/>
    <w:rsid w:val="009E5DBE"/>
    <w:rsid w:val="009E6B40"/>
    <w:rsid w:val="009E6D11"/>
    <w:rsid w:val="009E732B"/>
    <w:rsid w:val="009F0328"/>
    <w:rsid w:val="009F08CE"/>
    <w:rsid w:val="009F127C"/>
    <w:rsid w:val="009F21D4"/>
    <w:rsid w:val="009F26DC"/>
    <w:rsid w:val="009F2B92"/>
    <w:rsid w:val="009F3031"/>
    <w:rsid w:val="009F39A2"/>
    <w:rsid w:val="009F5BB7"/>
    <w:rsid w:val="009F7C77"/>
    <w:rsid w:val="009F7F21"/>
    <w:rsid w:val="00A00170"/>
    <w:rsid w:val="00A00393"/>
    <w:rsid w:val="00A01A42"/>
    <w:rsid w:val="00A03603"/>
    <w:rsid w:val="00A03DAD"/>
    <w:rsid w:val="00A0428E"/>
    <w:rsid w:val="00A04930"/>
    <w:rsid w:val="00A05CF2"/>
    <w:rsid w:val="00A07D40"/>
    <w:rsid w:val="00A10EF6"/>
    <w:rsid w:val="00A134C0"/>
    <w:rsid w:val="00A13804"/>
    <w:rsid w:val="00A14DAF"/>
    <w:rsid w:val="00A15F43"/>
    <w:rsid w:val="00A16080"/>
    <w:rsid w:val="00A1615F"/>
    <w:rsid w:val="00A167AF"/>
    <w:rsid w:val="00A16E41"/>
    <w:rsid w:val="00A204F3"/>
    <w:rsid w:val="00A2051C"/>
    <w:rsid w:val="00A22471"/>
    <w:rsid w:val="00A22EFE"/>
    <w:rsid w:val="00A2361C"/>
    <w:rsid w:val="00A23B23"/>
    <w:rsid w:val="00A24CEA"/>
    <w:rsid w:val="00A25921"/>
    <w:rsid w:val="00A26FF1"/>
    <w:rsid w:val="00A2792A"/>
    <w:rsid w:val="00A30195"/>
    <w:rsid w:val="00A30308"/>
    <w:rsid w:val="00A308AD"/>
    <w:rsid w:val="00A30C71"/>
    <w:rsid w:val="00A316A4"/>
    <w:rsid w:val="00A3172B"/>
    <w:rsid w:val="00A31841"/>
    <w:rsid w:val="00A32435"/>
    <w:rsid w:val="00A3339A"/>
    <w:rsid w:val="00A338D7"/>
    <w:rsid w:val="00A33BA1"/>
    <w:rsid w:val="00A357AC"/>
    <w:rsid w:val="00A35E9C"/>
    <w:rsid w:val="00A367A6"/>
    <w:rsid w:val="00A3696F"/>
    <w:rsid w:val="00A40B78"/>
    <w:rsid w:val="00A4200D"/>
    <w:rsid w:val="00A43A33"/>
    <w:rsid w:val="00A44142"/>
    <w:rsid w:val="00A51CFE"/>
    <w:rsid w:val="00A51D1C"/>
    <w:rsid w:val="00A564E2"/>
    <w:rsid w:val="00A56562"/>
    <w:rsid w:val="00A6142F"/>
    <w:rsid w:val="00A61552"/>
    <w:rsid w:val="00A625E6"/>
    <w:rsid w:val="00A62F26"/>
    <w:rsid w:val="00A630B9"/>
    <w:rsid w:val="00A63DDE"/>
    <w:rsid w:val="00A6694D"/>
    <w:rsid w:val="00A66BAA"/>
    <w:rsid w:val="00A678BF"/>
    <w:rsid w:val="00A7034F"/>
    <w:rsid w:val="00A70E42"/>
    <w:rsid w:val="00A70EF1"/>
    <w:rsid w:val="00A70FDA"/>
    <w:rsid w:val="00A72F31"/>
    <w:rsid w:val="00A751F5"/>
    <w:rsid w:val="00A762A5"/>
    <w:rsid w:val="00A763D5"/>
    <w:rsid w:val="00A7751F"/>
    <w:rsid w:val="00A7790D"/>
    <w:rsid w:val="00A77C68"/>
    <w:rsid w:val="00A8107E"/>
    <w:rsid w:val="00A81911"/>
    <w:rsid w:val="00A82642"/>
    <w:rsid w:val="00A83E40"/>
    <w:rsid w:val="00A856A8"/>
    <w:rsid w:val="00A85826"/>
    <w:rsid w:val="00A86C1B"/>
    <w:rsid w:val="00A87518"/>
    <w:rsid w:val="00A8799C"/>
    <w:rsid w:val="00A9006F"/>
    <w:rsid w:val="00A920B5"/>
    <w:rsid w:val="00A921E6"/>
    <w:rsid w:val="00A92A4F"/>
    <w:rsid w:val="00A92E11"/>
    <w:rsid w:val="00A94E40"/>
    <w:rsid w:val="00A953E2"/>
    <w:rsid w:val="00A95B2E"/>
    <w:rsid w:val="00A95B43"/>
    <w:rsid w:val="00A971DB"/>
    <w:rsid w:val="00A97B40"/>
    <w:rsid w:val="00A97FF6"/>
    <w:rsid w:val="00AA026D"/>
    <w:rsid w:val="00AA0E1F"/>
    <w:rsid w:val="00AA115F"/>
    <w:rsid w:val="00AA26A9"/>
    <w:rsid w:val="00AA38ED"/>
    <w:rsid w:val="00AA5397"/>
    <w:rsid w:val="00AA5A8B"/>
    <w:rsid w:val="00AA6F60"/>
    <w:rsid w:val="00AA7024"/>
    <w:rsid w:val="00AB0624"/>
    <w:rsid w:val="00AB1B67"/>
    <w:rsid w:val="00AB228E"/>
    <w:rsid w:val="00AB35E8"/>
    <w:rsid w:val="00AB4865"/>
    <w:rsid w:val="00AB60B3"/>
    <w:rsid w:val="00AB6319"/>
    <w:rsid w:val="00AB682F"/>
    <w:rsid w:val="00AB78B1"/>
    <w:rsid w:val="00AB7DC2"/>
    <w:rsid w:val="00AC1596"/>
    <w:rsid w:val="00AC1937"/>
    <w:rsid w:val="00AC2181"/>
    <w:rsid w:val="00AC320A"/>
    <w:rsid w:val="00AC3A6D"/>
    <w:rsid w:val="00AC3C3C"/>
    <w:rsid w:val="00AC43B6"/>
    <w:rsid w:val="00AC4A1D"/>
    <w:rsid w:val="00AC7056"/>
    <w:rsid w:val="00AC75CE"/>
    <w:rsid w:val="00AC780D"/>
    <w:rsid w:val="00AC7B13"/>
    <w:rsid w:val="00AD1993"/>
    <w:rsid w:val="00AD26BD"/>
    <w:rsid w:val="00AD2BA9"/>
    <w:rsid w:val="00AD6112"/>
    <w:rsid w:val="00AD6FE5"/>
    <w:rsid w:val="00AD702A"/>
    <w:rsid w:val="00AD7891"/>
    <w:rsid w:val="00AE1177"/>
    <w:rsid w:val="00AE12C9"/>
    <w:rsid w:val="00AE13CC"/>
    <w:rsid w:val="00AE21E1"/>
    <w:rsid w:val="00AE2B44"/>
    <w:rsid w:val="00AE3AB1"/>
    <w:rsid w:val="00AE53D2"/>
    <w:rsid w:val="00AE54AF"/>
    <w:rsid w:val="00AE69A1"/>
    <w:rsid w:val="00AF04C6"/>
    <w:rsid w:val="00AF2117"/>
    <w:rsid w:val="00AF37E0"/>
    <w:rsid w:val="00AF478C"/>
    <w:rsid w:val="00AF49D2"/>
    <w:rsid w:val="00AF4D76"/>
    <w:rsid w:val="00AF56D3"/>
    <w:rsid w:val="00AF5D9D"/>
    <w:rsid w:val="00AF688C"/>
    <w:rsid w:val="00AF7206"/>
    <w:rsid w:val="00AF7460"/>
    <w:rsid w:val="00B00D32"/>
    <w:rsid w:val="00B00E99"/>
    <w:rsid w:val="00B011A8"/>
    <w:rsid w:val="00B02E4E"/>
    <w:rsid w:val="00B032D1"/>
    <w:rsid w:val="00B05472"/>
    <w:rsid w:val="00B0558E"/>
    <w:rsid w:val="00B05898"/>
    <w:rsid w:val="00B071C8"/>
    <w:rsid w:val="00B0743F"/>
    <w:rsid w:val="00B0744A"/>
    <w:rsid w:val="00B11583"/>
    <w:rsid w:val="00B123BB"/>
    <w:rsid w:val="00B12F6E"/>
    <w:rsid w:val="00B13455"/>
    <w:rsid w:val="00B134FB"/>
    <w:rsid w:val="00B13735"/>
    <w:rsid w:val="00B13EDD"/>
    <w:rsid w:val="00B15146"/>
    <w:rsid w:val="00B16D62"/>
    <w:rsid w:val="00B17F5B"/>
    <w:rsid w:val="00B206B4"/>
    <w:rsid w:val="00B208E0"/>
    <w:rsid w:val="00B20AB4"/>
    <w:rsid w:val="00B2165B"/>
    <w:rsid w:val="00B218FF"/>
    <w:rsid w:val="00B21917"/>
    <w:rsid w:val="00B220A2"/>
    <w:rsid w:val="00B2238D"/>
    <w:rsid w:val="00B22462"/>
    <w:rsid w:val="00B245A2"/>
    <w:rsid w:val="00B25B24"/>
    <w:rsid w:val="00B26BF3"/>
    <w:rsid w:val="00B27261"/>
    <w:rsid w:val="00B27600"/>
    <w:rsid w:val="00B3010F"/>
    <w:rsid w:val="00B30FD8"/>
    <w:rsid w:val="00B33136"/>
    <w:rsid w:val="00B3324C"/>
    <w:rsid w:val="00B34A90"/>
    <w:rsid w:val="00B34F36"/>
    <w:rsid w:val="00B35712"/>
    <w:rsid w:val="00B35B29"/>
    <w:rsid w:val="00B35F8F"/>
    <w:rsid w:val="00B361FD"/>
    <w:rsid w:val="00B3654A"/>
    <w:rsid w:val="00B40BF0"/>
    <w:rsid w:val="00B419F4"/>
    <w:rsid w:val="00B41B1D"/>
    <w:rsid w:val="00B436D1"/>
    <w:rsid w:val="00B43E59"/>
    <w:rsid w:val="00B446B1"/>
    <w:rsid w:val="00B46391"/>
    <w:rsid w:val="00B500D2"/>
    <w:rsid w:val="00B502BB"/>
    <w:rsid w:val="00B50B24"/>
    <w:rsid w:val="00B50D59"/>
    <w:rsid w:val="00B50F60"/>
    <w:rsid w:val="00B51122"/>
    <w:rsid w:val="00B51544"/>
    <w:rsid w:val="00B53743"/>
    <w:rsid w:val="00B54A82"/>
    <w:rsid w:val="00B54A94"/>
    <w:rsid w:val="00B556E0"/>
    <w:rsid w:val="00B560B2"/>
    <w:rsid w:val="00B5647B"/>
    <w:rsid w:val="00B57123"/>
    <w:rsid w:val="00B57404"/>
    <w:rsid w:val="00B579A5"/>
    <w:rsid w:val="00B57E6F"/>
    <w:rsid w:val="00B60062"/>
    <w:rsid w:val="00B60B21"/>
    <w:rsid w:val="00B62248"/>
    <w:rsid w:val="00B62902"/>
    <w:rsid w:val="00B631FC"/>
    <w:rsid w:val="00B646D1"/>
    <w:rsid w:val="00B647F0"/>
    <w:rsid w:val="00B648EA"/>
    <w:rsid w:val="00B652A6"/>
    <w:rsid w:val="00B662F1"/>
    <w:rsid w:val="00B6797C"/>
    <w:rsid w:val="00B67AA0"/>
    <w:rsid w:val="00B70801"/>
    <w:rsid w:val="00B71C0D"/>
    <w:rsid w:val="00B721CB"/>
    <w:rsid w:val="00B72801"/>
    <w:rsid w:val="00B72C4B"/>
    <w:rsid w:val="00B735A9"/>
    <w:rsid w:val="00B73FF3"/>
    <w:rsid w:val="00B7404E"/>
    <w:rsid w:val="00B74F9F"/>
    <w:rsid w:val="00B754CE"/>
    <w:rsid w:val="00B75FFC"/>
    <w:rsid w:val="00B7613A"/>
    <w:rsid w:val="00B76A38"/>
    <w:rsid w:val="00B779DE"/>
    <w:rsid w:val="00B80037"/>
    <w:rsid w:val="00B80462"/>
    <w:rsid w:val="00B8154E"/>
    <w:rsid w:val="00B8227B"/>
    <w:rsid w:val="00B8248F"/>
    <w:rsid w:val="00B847F8"/>
    <w:rsid w:val="00B84BE2"/>
    <w:rsid w:val="00B857D8"/>
    <w:rsid w:val="00B8747A"/>
    <w:rsid w:val="00B879DB"/>
    <w:rsid w:val="00B87BE7"/>
    <w:rsid w:val="00B90177"/>
    <w:rsid w:val="00B90315"/>
    <w:rsid w:val="00B90FF8"/>
    <w:rsid w:val="00B92045"/>
    <w:rsid w:val="00B9214B"/>
    <w:rsid w:val="00B927DF"/>
    <w:rsid w:val="00B92A68"/>
    <w:rsid w:val="00B94605"/>
    <w:rsid w:val="00B961EB"/>
    <w:rsid w:val="00B964FB"/>
    <w:rsid w:val="00B972F5"/>
    <w:rsid w:val="00B975C0"/>
    <w:rsid w:val="00B97CD4"/>
    <w:rsid w:val="00BA0920"/>
    <w:rsid w:val="00BA1D36"/>
    <w:rsid w:val="00BA299E"/>
    <w:rsid w:val="00BA384A"/>
    <w:rsid w:val="00BA38BE"/>
    <w:rsid w:val="00BA3A24"/>
    <w:rsid w:val="00BA3B84"/>
    <w:rsid w:val="00BA4058"/>
    <w:rsid w:val="00BA46E6"/>
    <w:rsid w:val="00BA5559"/>
    <w:rsid w:val="00BA5A8F"/>
    <w:rsid w:val="00BA623D"/>
    <w:rsid w:val="00BA7188"/>
    <w:rsid w:val="00BA7C91"/>
    <w:rsid w:val="00BB0CE3"/>
    <w:rsid w:val="00BB1DCC"/>
    <w:rsid w:val="00BB1E6F"/>
    <w:rsid w:val="00BB217B"/>
    <w:rsid w:val="00BB2724"/>
    <w:rsid w:val="00BB2B6A"/>
    <w:rsid w:val="00BB3BCB"/>
    <w:rsid w:val="00BB3DB0"/>
    <w:rsid w:val="00BB41A3"/>
    <w:rsid w:val="00BB46D9"/>
    <w:rsid w:val="00BB59DD"/>
    <w:rsid w:val="00BB5F94"/>
    <w:rsid w:val="00BB661F"/>
    <w:rsid w:val="00BB6E54"/>
    <w:rsid w:val="00BB75FA"/>
    <w:rsid w:val="00BC0016"/>
    <w:rsid w:val="00BC02F1"/>
    <w:rsid w:val="00BC05E7"/>
    <w:rsid w:val="00BC0DEA"/>
    <w:rsid w:val="00BC2EF7"/>
    <w:rsid w:val="00BC34CE"/>
    <w:rsid w:val="00BC3B56"/>
    <w:rsid w:val="00BC3CEB"/>
    <w:rsid w:val="00BC3CEE"/>
    <w:rsid w:val="00BC3E61"/>
    <w:rsid w:val="00BC5D84"/>
    <w:rsid w:val="00BC62DE"/>
    <w:rsid w:val="00BC670B"/>
    <w:rsid w:val="00BC76B5"/>
    <w:rsid w:val="00BC770D"/>
    <w:rsid w:val="00BD0648"/>
    <w:rsid w:val="00BD2077"/>
    <w:rsid w:val="00BD27CB"/>
    <w:rsid w:val="00BD29B9"/>
    <w:rsid w:val="00BD2E25"/>
    <w:rsid w:val="00BD3275"/>
    <w:rsid w:val="00BD4419"/>
    <w:rsid w:val="00BD5788"/>
    <w:rsid w:val="00BD60F9"/>
    <w:rsid w:val="00BE08F3"/>
    <w:rsid w:val="00BE1BF3"/>
    <w:rsid w:val="00BE33A7"/>
    <w:rsid w:val="00BE3B48"/>
    <w:rsid w:val="00BE43F0"/>
    <w:rsid w:val="00BE5A4B"/>
    <w:rsid w:val="00BE7103"/>
    <w:rsid w:val="00BF1882"/>
    <w:rsid w:val="00BF285A"/>
    <w:rsid w:val="00BF3F9C"/>
    <w:rsid w:val="00BF410F"/>
    <w:rsid w:val="00BF4665"/>
    <w:rsid w:val="00BF4CDC"/>
    <w:rsid w:val="00BF5609"/>
    <w:rsid w:val="00BF5BD1"/>
    <w:rsid w:val="00BF6E29"/>
    <w:rsid w:val="00BF76E7"/>
    <w:rsid w:val="00C01040"/>
    <w:rsid w:val="00C026AA"/>
    <w:rsid w:val="00C02DAC"/>
    <w:rsid w:val="00C06A4C"/>
    <w:rsid w:val="00C0706D"/>
    <w:rsid w:val="00C07B8D"/>
    <w:rsid w:val="00C11514"/>
    <w:rsid w:val="00C12195"/>
    <w:rsid w:val="00C1252C"/>
    <w:rsid w:val="00C12F42"/>
    <w:rsid w:val="00C15528"/>
    <w:rsid w:val="00C15558"/>
    <w:rsid w:val="00C15D95"/>
    <w:rsid w:val="00C16171"/>
    <w:rsid w:val="00C1681E"/>
    <w:rsid w:val="00C21B24"/>
    <w:rsid w:val="00C23781"/>
    <w:rsid w:val="00C238F4"/>
    <w:rsid w:val="00C23D26"/>
    <w:rsid w:val="00C24AD1"/>
    <w:rsid w:val="00C24D55"/>
    <w:rsid w:val="00C255B2"/>
    <w:rsid w:val="00C30147"/>
    <w:rsid w:val="00C30420"/>
    <w:rsid w:val="00C30E13"/>
    <w:rsid w:val="00C31C8B"/>
    <w:rsid w:val="00C31E35"/>
    <w:rsid w:val="00C32C04"/>
    <w:rsid w:val="00C33DCB"/>
    <w:rsid w:val="00C33DE9"/>
    <w:rsid w:val="00C347DE"/>
    <w:rsid w:val="00C3594E"/>
    <w:rsid w:val="00C35D55"/>
    <w:rsid w:val="00C35DBC"/>
    <w:rsid w:val="00C37023"/>
    <w:rsid w:val="00C41372"/>
    <w:rsid w:val="00C42679"/>
    <w:rsid w:val="00C4302C"/>
    <w:rsid w:val="00C43EA3"/>
    <w:rsid w:val="00C4439D"/>
    <w:rsid w:val="00C44C64"/>
    <w:rsid w:val="00C45FBE"/>
    <w:rsid w:val="00C46D4D"/>
    <w:rsid w:val="00C47139"/>
    <w:rsid w:val="00C47864"/>
    <w:rsid w:val="00C47AA6"/>
    <w:rsid w:val="00C50C9D"/>
    <w:rsid w:val="00C5132E"/>
    <w:rsid w:val="00C51649"/>
    <w:rsid w:val="00C51CAD"/>
    <w:rsid w:val="00C52D47"/>
    <w:rsid w:val="00C55142"/>
    <w:rsid w:val="00C5581D"/>
    <w:rsid w:val="00C55ABA"/>
    <w:rsid w:val="00C56457"/>
    <w:rsid w:val="00C5701E"/>
    <w:rsid w:val="00C60D21"/>
    <w:rsid w:val="00C610ED"/>
    <w:rsid w:val="00C62681"/>
    <w:rsid w:val="00C63D8B"/>
    <w:rsid w:val="00C6568E"/>
    <w:rsid w:val="00C657E4"/>
    <w:rsid w:val="00C65809"/>
    <w:rsid w:val="00C65A99"/>
    <w:rsid w:val="00C70B64"/>
    <w:rsid w:val="00C72680"/>
    <w:rsid w:val="00C72EBE"/>
    <w:rsid w:val="00C72F36"/>
    <w:rsid w:val="00C738D6"/>
    <w:rsid w:val="00C74593"/>
    <w:rsid w:val="00C7480D"/>
    <w:rsid w:val="00C7671A"/>
    <w:rsid w:val="00C76B8E"/>
    <w:rsid w:val="00C76CF9"/>
    <w:rsid w:val="00C77975"/>
    <w:rsid w:val="00C77D27"/>
    <w:rsid w:val="00C8081E"/>
    <w:rsid w:val="00C80C1A"/>
    <w:rsid w:val="00C80DEA"/>
    <w:rsid w:val="00C81841"/>
    <w:rsid w:val="00C82740"/>
    <w:rsid w:val="00C835C7"/>
    <w:rsid w:val="00C85B4C"/>
    <w:rsid w:val="00C87FA8"/>
    <w:rsid w:val="00C90486"/>
    <w:rsid w:val="00C90B45"/>
    <w:rsid w:val="00C93B41"/>
    <w:rsid w:val="00C94097"/>
    <w:rsid w:val="00C944A2"/>
    <w:rsid w:val="00C95AB2"/>
    <w:rsid w:val="00C95C54"/>
    <w:rsid w:val="00C96977"/>
    <w:rsid w:val="00CA0648"/>
    <w:rsid w:val="00CA09CA"/>
    <w:rsid w:val="00CA0C9E"/>
    <w:rsid w:val="00CA0EBF"/>
    <w:rsid w:val="00CA0FC3"/>
    <w:rsid w:val="00CA227A"/>
    <w:rsid w:val="00CA3C7D"/>
    <w:rsid w:val="00CA4249"/>
    <w:rsid w:val="00CA652A"/>
    <w:rsid w:val="00CA7D1E"/>
    <w:rsid w:val="00CB0006"/>
    <w:rsid w:val="00CB0F80"/>
    <w:rsid w:val="00CB20B9"/>
    <w:rsid w:val="00CB24E5"/>
    <w:rsid w:val="00CB39B6"/>
    <w:rsid w:val="00CB5CBC"/>
    <w:rsid w:val="00CB5F49"/>
    <w:rsid w:val="00CB5FDF"/>
    <w:rsid w:val="00CB64F4"/>
    <w:rsid w:val="00CB7134"/>
    <w:rsid w:val="00CB73D8"/>
    <w:rsid w:val="00CB77CA"/>
    <w:rsid w:val="00CB7CA7"/>
    <w:rsid w:val="00CC1198"/>
    <w:rsid w:val="00CC2F3B"/>
    <w:rsid w:val="00CC77EA"/>
    <w:rsid w:val="00CD02F7"/>
    <w:rsid w:val="00CD0BA4"/>
    <w:rsid w:val="00CD4BBD"/>
    <w:rsid w:val="00CD5608"/>
    <w:rsid w:val="00CD58F9"/>
    <w:rsid w:val="00CD63B1"/>
    <w:rsid w:val="00CD67FA"/>
    <w:rsid w:val="00CD75B2"/>
    <w:rsid w:val="00CE15F4"/>
    <w:rsid w:val="00CE1E07"/>
    <w:rsid w:val="00CE1F2E"/>
    <w:rsid w:val="00CE2948"/>
    <w:rsid w:val="00CE4333"/>
    <w:rsid w:val="00CE4F95"/>
    <w:rsid w:val="00CE5A94"/>
    <w:rsid w:val="00CF1733"/>
    <w:rsid w:val="00CF1873"/>
    <w:rsid w:val="00CF4345"/>
    <w:rsid w:val="00CF4D97"/>
    <w:rsid w:val="00CF558D"/>
    <w:rsid w:val="00CF6357"/>
    <w:rsid w:val="00CF7A33"/>
    <w:rsid w:val="00D003E8"/>
    <w:rsid w:val="00D0104F"/>
    <w:rsid w:val="00D02B55"/>
    <w:rsid w:val="00D03AD5"/>
    <w:rsid w:val="00D04845"/>
    <w:rsid w:val="00D04DBF"/>
    <w:rsid w:val="00D0500A"/>
    <w:rsid w:val="00D05DDF"/>
    <w:rsid w:val="00D061A6"/>
    <w:rsid w:val="00D06CB2"/>
    <w:rsid w:val="00D13A1A"/>
    <w:rsid w:val="00D15073"/>
    <w:rsid w:val="00D15213"/>
    <w:rsid w:val="00D15B94"/>
    <w:rsid w:val="00D17D46"/>
    <w:rsid w:val="00D210A4"/>
    <w:rsid w:val="00D21DD6"/>
    <w:rsid w:val="00D23357"/>
    <w:rsid w:val="00D24CB4"/>
    <w:rsid w:val="00D251A4"/>
    <w:rsid w:val="00D30B06"/>
    <w:rsid w:val="00D31558"/>
    <w:rsid w:val="00D316BE"/>
    <w:rsid w:val="00D31A7B"/>
    <w:rsid w:val="00D31D97"/>
    <w:rsid w:val="00D31EFA"/>
    <w:rsid w:val="00D32149"/>
    <w:rsid w:val="00D325CA"/>
    <w:rsid w:val="00D32AFE"/>
    <w:rsid w:val="00D367F0"/>
    <w:rsid w:val="00D375BA"/>
    <w:rsid w:val="00D37675"/>
    <w:rsid w:val="00D4009E"/>
    <w:rsid w:val="00D40218"/>
    <w:rsid w:val="00D402DD"/>
    <w:rsid w:val="00D4183D"/>
    <w:rsid w:val="00D429B4"/>
    <w:rsid w:val="00D42FD2"/>
    <w:rsid w:val="00D431EF"/>
    <w:rsid w:val="00D43555"/>
    <w:rsid w:val="00D44556"/>
    <w:rsid w:val="00D445D2"/>
    <w:rsid w:val="00D44647"/>
    <w:rsid w:val="00D449EE"/>
    <w:rsid w:val="00D45039"/>
    <w:rsid w:val="00D46086"/>
    <w:rsid w:val="00D4620F"/>
    <w:rsid w:val="00D46C46"/>
    <w:rsid w:val="00D501E1"/>
    <w:rsid w:val="00D515FA"/>
    <w:rsid w:val="00D51D20"/>
    <w:rsid w:val="00D52779"/>
    <w:rsid w:val="00D531BF"/>
    <w:rsid w:val="00D534CB"/>
    <w:rsid w:val="00D53BA5"/>
    <w:rsid w:val="00D55DE1"/>
    <w:rsid w:val="00D55F2A"/>
    <w:rsid w:val="00D578B8"/>
    <w:rsid w:val="00D60B54"/>
    <w:rsid w:val="00D6107E"/>
    <w:rsid w:val="00D6112E"/>
    <w:rsid w:val="00D615E0"/>
    <w:rsid w:val="00D61944"/>
    <w:rsid w:val="00D630F2"/>
    <w:rsid w:val="00D63E8D"/>
    <w:rsid w:val="00D645AD"/>
    <w:rsid w:val="00D64FC9"/>
    <w:rsid w:val="00D65120"/>
    <w:rsid w:val="00D65272"/>
    <w:rsid w:val="00D654C0"/>
    <w:rsid w:val="00D65D16"/>
    <w:rsid w:val="00D660F8"/>
    <w:rsid w:val="00D674AF"/>
    <w:rsid w:val="00D6752A"/>
    <w:rsid w:val="00D706D1"/>
    <w:rsid w:val="00D70C58"/>
    <w:rsid w:val="00D713E0"/>
    <w:rsid w:val="00D72773"/>
    <w:rsid w:val="00D73E00"/>
    <w:rsid w:val="00D73F40"/>
    <w:rsid w:val="00D74AF7"/>
    <w:rsid w:val="00D7679F"/>
    <w:rsid w:val="00D77894"/>
    <w:rsid w:val="00D80229"/>
    <w:rsid w:val="00D80713"/>
    <w:rsid w:val="00D83B4A"/>
    <w:rsid w:val="00D83F42"/>
    <w:rsid w:val="00D84B63"/>
    <w:rsid w:val="00D8551C"/>
    <w:rsid w:val="00D86568"/>
    <w:rsid w:val="00D86A02"/>
    <w:rsid w:val="00D87400"/>
    <w:rsid w:val="00D905D4"/>
    <w:rsid w:val="00D9173B"/>
    <w:rsid w:val="00D92B7F"/>
    <w:rsid w:val="00D93AC7"/>
    <w:rsid w:val="00D94F70"/>
    <w:rsid w:val="00D97141"/>
    <w:rsid w:val="00DA182F"/>
    <w:rsid w:val="00DA4047"/>
    <w:rsid w:val="00DA7AD4"/>
    <w:rsid w:val="00DB0525"/>
    <w:rsid w:val="00DB0D64"/>
    <w:rsid w:val="00DB40AD"/>
    <w:rsid w:val="00DB448B"/>
    <w:rsid w:val="00DB4BEB"/>
    <w:rsid w:val="00DB4EA6"/>
    <w:rsid w:val="00DB5372"/>
    <w:rsid w:val="00DB7147"/>
    <w:rsid w:val="00DB7B9E"/>
    <w:rsid w:val="00DC0743"/>
    <w:rsid w:val="00DC1F57"/>
    <w:rsid w:val="00DC284A"/>
    <w:rsid w:val="00DC310B"/>
    <w:rsid w:val="00DC4A53"/>
    <w:rsid w:val="00DC4B84"/>
    <w:rsid w:val="00DC51CA"/>
    <w:rsid w:val="00DC7B7B"/>
    <w:rsid w:val="00DD054E"/>
    <w:rsid w:val="00DD0D5E"/>
    <w:rsid w:val="00DD1BB3"/>
    <w:rsid w:val="00DD22D9"/>
    <w:rsid w:val="00DD3206"/>
    <w:rsid w:val="00DD32B2"/>
    <w:rsid w:val="00DD3F57"/>
    <w:rsid w:val="00DD538F"/>
    <w:rsid w:val="00DD65D2"/>
    <w:rsid w:val="00DD7310"/>
    <w:rsid w:val="00DE02CF"/>
    <w:rsid w:val="00DE0941"/>
    <w:rsid w:val="00DE0AC7"/>
    <w:rsid w:val="00DE31B1"/>
    <w:rsid w:val="00DE3919"/>
    <w:rsid w:val="00DE447F"/>
    <w:rsid w:val="00DE4B78"/>
    <w:rsid w:val="00DE57FF"/>
    <w:rsid w:val="00DE6CE4"/>
    <w:rsid w:val="00DE6EC8"/>
    <w:rsid w:val="00DE7D57"/>
    <w:rsid w:val="00DF1A98"/>
    <w:rsid w:val="00DF27B9"/>
    <w:rsid w:val="00DF3132"/>
    <w:rsid w:val="00DF4097"/>
    <w:rsid w:val="00DF454A"/>
    <w:rsid w:val="00DF45E7"/>
    <w:rsid w:val="00DF47A0"/>
    <w:rsid w:val="00DF49ED"/>
    <w:rsid w:val="00DF4EE4"/>
    <w:rsid w:val="00DF4FF9"/>
    <w:rsid w:val="00DF62BB"/>
    <w:rsid w:val="00DF78EC"/>
    <w:rsid w:val="00E00B25"/>
    <w:rsid w:val="00E01523"/>
    <w:rsid w:val="00E05346"/>
    <w:rsid w:val="00E059CD"/>
    <w:rsid w:val="00E07525"/>
    <w:rsid w:val="00E07C20"/>
    <w:rsid w:val="00E108E4"/>
    <w:rsid w:val="00E10B5C"/>
    <w:rsid w:val="00E11868"/>
    <w:rsid w:val="00E12B17"/>
    <w:rsid w:val="00E12B33"/>
    <w:rsid w:val="00E133CD"/>
    <w:rsid w:val="00E144FB"/>
    <w:rsid w:val="00E16C38"/>
    <w:rsid w:val="00E1794D"/>
    <w:rsid w:val="00E17DB5"/>
    <w:rsid w:val="00E208CE"/>
    <w:rsid w:val="00E22D53"/>
    <w:rsid w:val="00E24020"/>
    <w:rsid w:val="00E24152"/>
    <w:rsid w:val="00E24849"/>
    <w:rsid w:val="00E25CF5"/>
    <w:rsid w:val="00E30672"/>
    <w:rsid w:val="00E30799"/>
    <w:rsid w:val="00E3143E"/>
    <w:rsid w:val="00E31653"/>
    <w:rsid w:val="00E33814"/>
    <w:rsid w:val="00E33CB8"/>
    <w:rsid w:val="00E34520"/>
    <w:rsid w:val="00E3470E"/>
    <w:rsid w:val="00E353B6"/>
    <w:rsid w:val="00E369C0"/>
    <w:rsid w:val="00E36A7C"/>
    <w:rsid w:val="00E37870"/>
    <w:rsid w:val="00E4088E"/>
    <w:rsid w:val="00E41808"/>
    <w:rsid w:val="00E43EBD"/>
    <w:rsid w:val="00E44678"/>
    <w:rsid w:val="00E44BC3"/>
    <w:rsid w:val="00E46306"/>
    <w:rsid w:val="00E4659D"/>
    <w:rsid w:val="00E50298"/>
    <w:rsid w:val="00E50324"/>
    <w:rsid w:val="00E50345"/>
    <w:rsid w:val="00E509EA"/>
    <w:rsid w:val="00E52111"/>
    <w:rsid w:val="00E5212C"/>
    <w:rsid w:val="00E532E4"/>
    <w:rsid w:val="00E53CD8"/>
    <w:rsid w:val="00E54265"/>
    <w:rsid w:val="00E56F5A"/>
    <w:rsid w:val="00E57D94"/>
    <w:rsid w:val="00E60E3C"/>
    <w:rsid w:val="00E62104"/>
    <w:rsid w:val="00E67561"/>
    <w:rsid w:val="00E6775B"/>
    <w:rsid w:val="00E677AD"/>
    <w:rsid w:val="00E67F9B"/>
    <w:rsid w:val="00E70D0A"/>
    <w:rsid w:val="00E72223"/>
    <w:rsid w:val="00E7339C"/>
    <w:rsid w:val="00E733D1"/>
    <w:rsid w:val="00E7376D"/>
    <w:rsid w:val="00E74F97"/>
    <w:rsid w:val="00E752A4"/>
    <w:rsid w:val="00E75535"/>
    <w:rsid w:val="00E75682"/>
    <w:rsid w:val="00E77D42"/>
    <w:rsid w:val="00E808B7"/>
    <w:rsid w:val="00E811A2"/>
    <w:rsid w:val="00E8164A"/>
    <w:rsid w:val="00E820E7"/>
    <w:rsid w:val="00E82282"/>
    <w:rsid w:val="00E833A9"/>
    <w:rsid w:val="00E8389D"/>
    <w:rsid w:val="00E83E7B"/>
    <w:rsid w:val="00E83F2A"/>
    <w:rsid w:val="00E85EEA"/>
    <w:rsid w:val="00E86082"/>
    <w:rsid w:val="00E8640A"/>
    <w:rsid w:val="00E86CDC"/>
    <w:rsid w:val="00E874EA"/>
    <w:rsid w:val="00E90838"/>
    <w:rsid w:val="00E90B0F"/>
    <w:rsid w:val="00E9285E"/>
    <w:rsid w:val="00E92A34"/>
    <w:rsid w:val="00E92ED2"/>
    <w:rsid w:val="00E93624"/>
    <w:rsid w:val="00E94AA3"/>
    <w:rsid w:val="00E95D42"/>
    <w:rsid w:val="00E95D91"/>
    <w:rsid w:val="00E97144"/>
    <w:rsid w:val="00E97CC8"/>
    <w:rsid w:val="00EA2591"/>
    <w:rsid w:val="00EA2AEC"/>
    <w:rsid w:val="00EA3D8C"/>
    <w:rsid w:val="00EA3ED0"/>
    <w:rsid w:val="00EA4228"/>
    <w:rsid w:val="00EA4E9F"/>
    <w:rsid w:val="00EA58F2"/>
    <w:rsid w:val="00EA6BE5"/>
    <w:rsid w:val="00EA6C66"/>
    <w:rsid w:val="00EB0120"/>
    <w:rsid w:val="00EB040F"/>
    <w:rsid w:val="00EB0C71"/>
    <w:rsid w:val="00EB124A"/>
    <w:rsid w:val="00EB163F"/>
    <w:rsid w:val="00EB2224"/>
    <w:rsid w:val="00EB22A4"/>
    <w:rsid w:val="00EB2DF3"/>
    <w:rsid w:val="00EB2F60"/>
    <w:rsid w:val="00EB319F"/>
    <w:rsid w:val="00EB3A7C"/>
    <w:rsid w:val="00EB459C"/>
    <w:rsid w:val="00EB4B2D"/>
    <w:rsid w:val="00EB518A"/>
    <w:rsid w:val="00EB7BB4"/>
    <w:rsid w:val="00EC0AC3"/>
    <w:rsid w:val="00EC12F5"/>
    <w:rsid w:val="00EC1380"/>
    <w:rsid w:val="00EC152A"/>
    <w:rsid w:val="00EC1F91"/>
    <w:rsid w:val="00EC20BE"/>
    <w:rsid w:val="00EC2850"/>
    <w:rsid w:val="00EC48B9"/>
    <w:rsid w:val="00EC6497"/>
    <w:rsid w:val="00ED0AAE"/>
    <w:rsid w:val="00ED11EF"/>
    <w:rsid w:val="00ED3A9E"/>
    <w:rsid w:val="00ED5A49"/>
    <w:rsid w:val="00ED6353"/>
    <w:rsid w:val="00ED70CC"/>
    <w:rsid w:val="00ED71F9"/>
    <w:rsid w:val="00EE05B3"/>
    <w:rsid w:val="00EE08E0"/>
    <w:rsid w:val="00EE2927"/>
    <w:rsid w:val="00EE2F99"/>
    <w:rsid w:val="00EE2FF9"/>
    <w:rsid w:val="00EE30FF"/>
    <w:rsid w:val="00EE3C30"/>
    <w:rsid w:val="00EE5034"/>
    <w:rsid w:val="00EE66E6"/>
    <w:rsid w:val="00EE6EEA"/>
    <w:rsid w:val="00EE730D"/>
    <w:rsid w:val="00EE7ACF"/>
    <w:rsid w:val="00EF10A8"/>
    <w:rsid w:val="00EF1D05"/>
    <w:rsid w:val="00EF1F84"/>
    <w:rsid w:val="00EF3035"/>
    <w:rsid w:val="00EF45A9"/>
    <w:rsid w:val="00EF5E49"/>
    <w:rsid w:val="00EF6E52"/>
    <w:rsid w:val="00EF7A54"/>
    <w:rsid w:val="00EF7CFD"/>
    <w:rsid w:val="00F001EF"/>
    <w:rsid w:val="00F0134F"/>
    <w:rsid w:val="00F022F3"/>
    <w:rsid w:val="00F0291E"/>
    <w:rsid w:val="00F04E7D"/>
    <w:rsid w:val="00F051B2"/>
    <w:rsid w:val="00F05DCD"/>
    <w:rsid w:val="00F065F1"/>
    <w:rsid w:val="00F0744E"/>
    <w:rsid w:val="00F11795"/>
    <w:rsid w:val="00F1233E"/>
    <w:rsid w:val="00F12BB4"/>
    <w:rsid w:val="00F12E4F"/>
    <w:rsid w:val="00F157FA"/>
    <w:rsid w:val="00F1588C"/>
    <w:rsid w:val="00F16FD0"/>
    <w:rsid w:val="00F172A3"/>
    <w:rsid w:val="00F17884"/>
    <w:rsid w:val="00F17B4C"/>
    <w:rsid w:val="00F22364"/>
    <w:rsid w:val="00F22E75"/>
    <w:rsid w:val="00F22EDA"/>
    <w:rsid w:val="00F236FA"/>
    <w:rsid w:val="00F237B1"/>
    <w:rsid w:val="00F2389E"/>
    <w:rsid w:val="00F24347"/>
    <w:rsid w:val="00F24D9E"/>
    <w:rsid w:val="00F25E9F"/>
    <w:rsid w:val="00F26ADD"/>
    <w:rsid w:val="00F27F35"/>
    <w:rsid w:val="00F306EA"/>
    <w:rsid w:val="00F31430"/>
    <w:rsid w:val="00F3227D"/>
    <w:rsid w:val="00F32552"/>
    <w:rsid w:val="00F339A5"/>
    <w:rsid w:val="00F35370"/>
    <w:rsid w:val="00F35DE7"/>
    <w:rsid w:val="00F363ED"/>
    <w:rsid w:val="00F36562"/>
    <w:rsid w:val="00F36FA6"/>
    <w:rsid w:val="00F370FB"/>
    <w:rsid w:val="00F37200"/>
    <w:rsid w:val="00F3748E"/>
    <w:rsid w:val="00F402F8"/>
    <w:rsid w:val="00F40904"/>
    <w:rsid w:val="00F41970"/>
    <w:rsid w:val="00F41EA8"/>
    <w:rsid w:val="00F4231A"/>
    <w:rsid w:val="00F42423"/>
    <w:rsid w:val="00F4271F"/>
    <w:rsid w:val="00F44D47"/>
    <w:rsid w:val="00F44DC0"/>
    <w:rsid w:val="00F4531A"/>
    <w:rsid w:val="00F454BF"/>
    <w:rsid w:val="00F45A78"/>
    <w:rsid w:val="00F46781"/>
    <w:rsid w:val="00F46DBE"/>
    <w:rsid w:val="00F46F81"/>
    <w:rsid w:val="00F50B5A"/>
    <w:rsid w:val="00F5227E"/>
    <w:rsid w:val="00F52936"/>
    <w:rsid w:val="00F53241"/>
    <w:rsid w:val="00F5356C"/>
    <w:rsid w:val="00F53625"/>
    <w:rsid w:val="00F536A7"/>
    <w:rsid w:val="00F538CE"/>
    <w:rsid w:val="00F53B55"/>
    <w:rsid w:val="00F554F2"/>
    <w:rsid w:val="00F62BEC"/>
    <w:rsid w:val="00F6367B"/>
    <w:rsid w:val="00F653AA"/>
    <w:rsid w:val="00F65952"/>
    <w:rsid w:val="00F65F09"/>
    <w:rsid w:val="00F65F74"/>
    <w:rsid w:val="00F7036C"/>
    <w:rsid w:val="00F70FF6"/>
    <w:rsid w:val="00F71107"/>
    <w:rsid w:val="00F71915"/>
    <w:rsid w:val="00F72299"/>
    <w:rsid w:val="00F723B3"/>
    <w:rsid w:val="00F72C37"/>
    <w:rsid w:val="00F74F05"/>
    <w:rsid w:val="00F75963"/>
    <w:rsid w:val="00F761C6"/>
    <w:rsid w:val="00F77437"/>
    <w:rsid w:val="00F80765"/>
    <w:rsid w:val="00F81945"/>
    <w:rsid w:val="00F81E05"/>
    <w:rsid w:val="00F8241C"/>
    <w:rsid w:val="00F82839"/>
    <w:rsid w:val="00F8356E"/>
    <w:rsid w:val="00F842BA"/>
    <w:rsid w:val="00F84CCB"/>
    <w:rsid w:val="00F90661"/>
    <w:rsid w:val="00F933DF"/>
    <w:rsid w:val="00F935D9"/>
    <w:rsid w:val="00F935E9"/>
    <w:rsid w:val="00F9382C"/>
    <w:rsid w:val="00F94F50"/>
    <w:rsid w:val="00F96928"/>
    <w:rsid w:val="00F96BDF"/>
    <w:rsid w:val="00F96DBF"/>
    <w:rsid w:val="00F971A5"/>
    <w:rsid w:val="00FA1368"/>
    <w:rsid w:val="00FA2F80"/>
    <w:rsid w:val="00FA4FD2"/>
    <w:rsid w:val="00FA512E"/>
    <w:rsid w:val="00FA5FD0"/>
    <w:rsid w:val="00FB03CA"/>
    <w:rsid w:val="00FB0431"/>
    <w:rsid w:val="00FB111E"/>
    <w:rsid w:val="00FB2B58"/>
    <w:rsid w:val="00FB35B4"/>
    <w:rsid w:val="00FB3A34"/>
    <w:rsid w:val="00FB3BA0"/>
    <w:rsid w:val="00FB3D03"/>
    <w:rsid w:val="00FB4685"/>
    <w:rsid w:val="00FB46C3"/>
    <w:rsid w:val="00FB4BB8"/>
    <w:rsid w:val="00FB60C2"/>
    <w:rsid w:val="00FB682B"/>
    <w:rsid w:val="00FB6D84"/>
    <w:rsid w:val="00FC06E0"/>
    <w:rsid w:val="00FC1912"/>
    <w:rsid w:val="00FC40A1"/>
    <w:rsid w:val="00FC48F2"/>
    <w:rsid w:val="00FC4FFE"/>
    <w:rsid w:val="00FC7003"/>
    <w:rsid w:val="00FD06A9"/>
    <w:rsid w:val="00FD0FC1"/>
    <w:rsid w:val="00FD1C88"/>
    <w:rsid w:val="00FD29D8"/>
    <w:rsid w:val="00FD31E9"/>
    <w:rsid w:val="00FD4CCC"/>
    <w:rsid w:val="00FD5303"/>
    <w:rsid w:val="00FD6582"/>
    <w:rsid w:val="00FD6F1E"/>
    <w:rsid w:val="00FD71C6"/>
    <w:rsid w:val="00FE019C"/>
    <w:rsid w:val="00FE184D"/>
    <w:rsid w:val="00FE234C"/>
    <w:rsid w:val="00FE34A8"/>
    <w:rsid w:val="00FE3B6B"/>
    <w:rsid w:val="00FE43C9"/>
    <w:rsid w:val="00FE63F7"/>
    <w:rsid w:val="00FE6CAD"/>
    <w:rsid w:val="00FE78D4"/>
    <w:rsid w:val="00FF06F5"/>
    <w:rsid w:val="00FF09AD"/>
    <w:rsid w:val="00FF162E"/>
    <w:rsid w:val="00FF1DFF"/>
    <w:rsid w:val="00FF1F27"/>
    <w:rsid w:val="00FF252E"/>
    <w:rsid w:val="00FF2BC2"/>
    <w:rsid w:val="00FF2D95"/>
    <w:rsid w:val="00FF40DC"/>
    <w:rsid w:val="00FF4440"/>
    <w:rsid w:val="00FF50D7"/>
    <w:rsid w:val="00FF7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183D"/>
  </w:style>
  <w:style w:type="character" w:customStyle="1" w:styleId="FootnoteTextChar">
    <w:name w:val="Footnote Text Char"/>
    <w:basedOn w:val="DefaultParagraphFont"/>
    <w:link w:val="FootnoteText"/>
    <w:uiPriority w:val="99"/>
    <w:rsid w:val="00D4183D"/>
  </w:style>
  <w:style w:type="character" w:styleId="FootnoteReference">
    <w:name w:val="footnote reference"/>
    <w:uiPriority w:val="99"/>
    <w:unhideWhenUsed/>
    <w:rsid w:val="00D4183D"/>
    <w:rPr>
      <w:vertAlign w:val="superscript"/>
    </w:rPr>
  </w:style>
  <w:style w:type="paragraph" w:styleId="Footer">
    <w:name w:val="footer"/>
    <w:basedOn w:val="Normal"/>
    <w:link w:val="FooterChar"/>
    <w:uiPriority w:val="99"/>
    <w:unhideWhenUsed/>
    <w:rsid w:val="00960784"/>
    <w:pPr>
      <w:tabs>
        <w:tab w:val="center" w:pos="4680"/>
        <w:tab w:val="right" w:pos="9360"/>
      </w:tabs>
    </w:pPr>
  </w:style>
  <w:style w:type="character" w:customStyle="1" w:styleId="FooterChar">
    <w:name w:val="Footer Char"/>
    <w:basedOn w:val="DefaultParagraphFont"/>
    <w:link w:val="Footer"/>
    <w:uiPriority w:val="99"/>
    <w:rsid w:val="00960784"/>
  </w:style>
  <w:style w:type="character" w:styleId="PageNumber">
    <w:name w:val="page number"/>
    <w:basedOn w:val="DefaultParagraphFont"/>
    <w:uiPriority w:val="99"/>
    <w:semiHidden/>
    <w:unhideWhenUsed/>
    <w:rsid w:val="00960784"/>
  </w:style>
  <w:style w:type="table" w:customStyle="1" w:styleId="TableGridLight1">
    <w:name w:val="Table Grid Light1"/>
    <w:basedOn w:val="TableNormal"/>
    <w:uiPriority w:val="40"/>
    <w:rsid w:val="00403D3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39"/>
    <w:rsid w:val="00403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3D3A"/>
    <w:rPr>
      <w:sz w:val="24"/>
      <w:szCs w:val="24"/>
    </w:rPr>
  </w:style>
  <w:style w:type="paragraph" w:customStyle="1" w:styleId="p1">
    <w:name w:val="p1"/>
    <w:basedOn w:val="Normal"/>
    <w:rsid w:val="00A81911"/>
    <w:rPr>
      <w:sz w:val="18"/>
      <w:szCs w:val="18"/>
    </w:rPr>
  </w:style>
  <w:style w:type="paragraph" w:styleId="NormalWeb">
    <w:name w:val="Normal (Web)"/>
    <w:basedOn w:val="Normal"/>
    <w:uiPriority w:val="99"/>
    <w:unhideWhenUsed/>
    <w:rsid w:val="009D6FE9"/>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9D6FE9"/>
    <w:rPr>
      <w:color w:val="0000FF"/>
      <w:u w:val="single"/>
    </w:rPr>
  </w:style>
  <w:style w:type="paragraph" w:styleId="ListParagraph">
    <w:name w:val="List Paragraph"/>
    <w:basedOn w:val="Normal"/>
    <w:uiPriority w:val="34"/>
    <w:qFormat/>
    <w:rsid w:val="00EF7A54"/>
    <w:pPr>
      <w:ind w:left="720"/>
      <w:contextualSpacing/>
    </w:pPr>
  </w:style>
  <w:style w:type="paragraph" w:styleId="BalloonText">
    <w:name w:val="Balloon Text"/>
    <w:basedOn w:val="Normal"/>
    <w:link w:val="BalloonTextChar"/>
    <w:uiPriority w:val="99"/>
    <w:semiHidden/>
    <w:unhideWhenUsed/>
    <w:rsid w:val="009149C1"/>
    <w:rPr>
      <w:rFonts w:ascii="Times New Roman" w:hAnsi="Times New Roman"/>
      <w:sz w:val="18"/>
      <w:szCs w:val="18"/>
    </w:rPr>
  </w:style>
  <w:style w:type="character" w:customStyle="1" w:styleId="BalloonTextChar">
    <w:name w:val="Balloon Text Char"/>
    <w:link w:val="BalloonText"/>
    <w:uiPriority w:val="99"/>
    <w:semiHidden/>
    <w:rsid w:val="009149C1"/>
    <w:rPr>
      <w:rFonts w:ascii="Times New Roman" w:hAnsi="Times New Roman" w:cs="Times New Roman"/>
      <w:sz w:val="18"/>
      <w:szCs w:val="18"/>
    </w:rPr>
  </w:style>
  <w:style w:type="paragraph" w:styleId="Header">
    <w:name w:val="header"/>
    <w:basedOn w:val="Normal"/>
    <w:link w:val="HeaderChar"/>
    <w:uiPriority w:val="99"/>
    <w:unhideWhenUsed/>
    <w:rsid w:val="00A03DAD"/>
    <w:pPr>
      <w:tabs>
        <w:tab w:val="center" w:pos="4680"/>
        <w:tab w:val="right" w:pos="9360"/>
      </w:tabs>
    </w:pPr>
  </w:style>
  <w:style w:type="character" w:customStyle="1" w:styleId="HeaderChar">
    <w:name w:val="Header Char"/>
    <w:basedOn w:val="DefaultParagraphFont"/>
    <w:link w:val="Header"/>
    <w:uiPriority w:val="99"/>
    <w:rsid w:val="00A03DAD"/>
  </w:style>
  <w:style w:type="paragraph" w:styleId="EndnoteText">
    <w:name w:val="endnote text"/>
    <w:basedOn w:val="Normal"/>
    <w:link w:val="EndnoteTextChar"/>
    <w:uiPriority w:val="99"/>
    <w:unhideWhenUsed/>
    <w:rsid w:val="00CD0BA4"/>
    <w:rPr>
      <w:rFonts w:ascii="Gill Sans MT" w:eastAsiaTheme="minorHAnsi" w:hAnsi="Gill Sans MT"/>
      <w:color w:val="000000" w:themeColor="text1"/>
      <w:sz w:val="20"/>
      <w:szCs w:val="20"/>
    </w:rPr>
  </w:style>
  <w:style w:type="character" w:customStyle="1" w:styleId="EndnoteTextChar">
    <w:name w:val="Endnote Text Char"/>
    <w:basedOn w:val="DefaultParagraphFont"/>
    <w:link w:val="EndnoteText"/>
    <w:uiPriority w:val="99"/>
    <w:rsid w:val="00CD0BA4"/>
    <w:rPr>
      <w:rFonts w:ascii="Gill Sans MT" w:eastAsiaTheme="minorHAnsi" w:hAnsi="Gill Sans MT"/>
      <w:color w:val="000000" w:themeColor="text1"/>
    </w:rPr>
  </w:style>
  <w:style w:type="character" w:styleId="EndnoteReference">
    <w:name w:val="endnote reference"/>
    <w:basedOn w:val="DefaultParagraphFont"/>
    <w:uiPriority w:val="99"/>
    <w:semiHidden/>
    <w:unhideWhenUsed/>
    <w:rsid w:val="00CD0BA4"/>
    <w:rPr>
      <w:vertAlign w:val="superscript"/>
    </w:rPr>
  </w:style>
  <w:style w:type="character" w:styleId="FollowedHyperlink">
    <w:name w:val="FollowedHyperlink"/>
    <w:basedOn w:val="DefaultParagraphFont"/>
    <w:uiPriority w:val="99"/>
    <w:semiHidden/>
    <w:unhideWhenUsed/>
    <w:rsid w:val="0081052A"/>
    <w:rPr>
      <w:color w:val="954F72" w:themeColor="followedHyperlink"/>
      <w:u w:val="single"/>
    </w:rPr>
  </w:style>
  <w:style w:type="paragraph" w:styleId="Revision">
    <w:name w:val="Revision"/>
    <w:hidden/>
    <w:uiPriority w:val="99"/>
    <w:semiHidden/>
    <w:rsid w:val="00177193"/>
    <w:rPr>
      <w:sz w:val="24"/>
      <w:szCs w:val="24"/>
    </w:rPr>
  </w:style>
  <w:style w:type="character" w:styleId="CommentReference">
    <w:name w:val="annotation reference"/>
    <w:basedOn w:val="DefaultParagraphFont"/>
    <w:uiPriority w:val="99"/>
    <w:semiHidden/>
    <w:unhideWhenUsed/>
    <w:rsid w:val="009053C4"/>
    <w:rPr>
      <w:sz w:val="16"/>
      <w:szCs w:val="16"/>
    </w:rPr>
  </w:style>
  <w:style w:type="paragraph" w:styleId="CommentText">
    <w:name w:val="annotation text"/>
    <w:basedOn w:val="Normal"/>
    <w:link w:val="CommentTextChar"/>
    <w:uiPriority w:val="99"/>
    <w:unhideWhenUsed/>
    <w:rsid w:val="009053C4"/>
    <w:rPr>
      <w:sz w:val="20"/>
      <w:szCs w:val="20"/>
    </w:rPr>
  </w:style>
  <w:style w:type="character" w:customStyle="1" w:styleId="CommentTextChar">
    <w:name w:val="Comment Text Char"/>
    <w:basedOn w:val="DefaultParagraphFont"/>
    <w:link w:val="CommentText"/>
    <w:uiPriority w:val="99"/>
    <w:rsid w:val="009053C4"/>
  </w:style>
  <w:style w:type="paragraph" w:styleId="CommentSubject">
    <w:name w:val="annotation subject"/>
    <w:basedOn w:val="CommentText"/>
    <w:next w:val="CommentText"/>
    <w:link w:val="CommentSubjectChar"/>
    <w:uiPriority w:val="99"/>
    <w:semiHidden/>
    <w:unhideWhenUsed/>
    <w:rsid w:val="009053C4"/>
    <w:rPr>
      <w:b/>
      <w:bCs/>
    </w:rPr>
  </w:style>
  <w:style w:type="character" w:customStyle="1" w:styleId="CommentSubjectChar">
    <w:name w:val="Comment Subject Char"/>
    <w:basedOn w:val="CommentTextChar"/>
    <w:link w:val="CommentSubject"/>
    <w:uiPriority w:val="99"/>
    <w:semiHidden/>
    <w:rsid w:val="009053C4"/>
    <w:rPr>
      <w:b/>
      <w:bCs/>
    </w:rPr>
  </w:style>
  <w:style w:type="paragraph" w:styleId="Subtitle">
    <w:name w:val="Subtitle"/>
    <w:basedOn w:val="Normal"/>
    <w:next w:val="Normal"/>
    <w:link w:val="SubtitleChar"/>
    <w:uiPriority w:val="11"/>
    <w:qFormat/>
    <w:rsid w:val="008E54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E546D"/>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AE12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4717">
      <w:bodyDiv w:val="1"/>
      <w:marLeft w:val="0"/>
      <w:marRight w:val="0"/>
      <w:marTop w:val="0"/>
      <w:marBottom w:val="0"/>
      <w:divBdr>
        <w:top w:val="none" w:sz="0" w:space="0" w:color="auto"/>
        <w:left w:val="none" w:sz="0" w:space="0" w:color="auto"/>
        <w:bottom w:val="none" w:sz="0" w:space="0" w:color="auto"/>
        <w:right w:val="none" w:sz="0" w:space="0" w:color="auto"/>
      </w:divBdr>
      <w:divsChild>
        <w:div w:id="1789810004">
          <w:marLeft w:val="0"/>
          <w:marRight w:val="0"/>
          <w:marTop w:val="0"/>
          <w:marBottom w:val="0"/>
          <w:divBdr>
            <w:top w:val="none" w:sz="0" w:space="0" w:color="auto"/>
            <w:left w:val="none" w:sz="0" w:space="0" w:color="auto"/>
            <w:bottom w:val="none" w:sz="0" w:space="0" w:color="auto"/>
            <w:right w:val="none" w:sz="0" w:space="0" w:color="auto"/>
          </w:divBdr>
          <w:divsChild>
            <w:div w:id="1355110816">
              <w:marLeft w:val="0"/>
              <w:marRight w:val="0"/>
              <w:marTop w:val="0"/>
              <w:marBottom w:val="0"/>
              <w:divBdr>
                <w:top w:val="none" w:sz="0" w:space="0" w:color="auto"/>
                <w:left w:val="none" w:sz="0" w:space="0" w:color="auto"/>
                <w:bottom w:val="none" w:sz="0" w:space="0" w:color="auto"/>
                <w:right w:val="none" w:sz="0" w:space="0" w:color="auto"/>
              </w:divBdr>
              <w:divsChild>
                <w:div w:id="14687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29168">
      <w:bodyDiv w:val="1"/>
      <w:marLeft w:val="0"/>
      <w:marRight w:val="0"/>
      <w:marTop w:val="0"/>
      <w:marBottom w:val="0"/>
      <w:divBdr>
        <w:top w:val="none" w:sz="0" w:space="0" w:color="auto"/>
        <w:left w:val="none" w:sz="0" w:space="0" w:color="auto"/>
        <w:bottom w:val="none" w:sz="0" w:space="0" w:color="auto"/>
        <w:right w:val="none" w:sz="0" w:space="0" w:color="auto"/>
      </w:divBdr>
    </w:div>
    <w:div w:id="1410036269">
      <w:bodyDiv w:val="1"/>
      <w:marLeft w:val="0"/>
      <w:marRight w:val="0"/>
      <w:marTop w:val="0"/>
      <w:marBottom w:val="0"/>
      <w:divBdr>
        <w:top w:val="none" w:sz="0" w:space="0" w:color="auto"/>
        <w:left w:val="none" w:sz="0" w:space="0" w:color="auto"/>
        <w:bottom w:val="none" w:sz="0" w:space="0" w:color="auto"/>
        <w:right w:val="none" w:sz="0" w:space="0" w:color="auto"/>
      </w:divBdr>
      <w:divsChild>
        <w:div w:id="1666591085">
          <w:marLeft w:val="0"/>
          <w:marRight w:val="0"/>
          <w:marTop w:val="0"/>
          <w:marBottom w:val="0"/>
          <w:divBdr>
            <w:top w:val="none" w:sz="0" w:space="0" w:color="auto"/>
            <w:left w:val="none" w:sz="0" w:space="0" w:color="auto"/>
            <w:bottom w:val="none" w:sz="0" w:space="0" w:color="auto"/>
            <w:right w:val="none" w:sz="0" w:space="0" w:color="auto"/>
          </w:divBdr>
          <w:divsChild>
            <w:div w:id="1255824770">
              <w:marLeft w:val="0"/>
              <w:marRight w:val="0"/>
              <w:marTop w:val="0"/>
              <w:marBottom w:val="0"/>
              <w:divBdr>
                <w:top w:val="none" w:sz="0" w:space="0" w:color="auto"/>
                <w:left w:val="none" w:sz="0" w:space="0" w:color="auto"/>
                <w:bottom w:val="none" w:sz="0" w:space="0" w:color="auto"/>
                <w:right w:val="none" w:sz="0" w:space="0" w:color="auto"/>
              </w:divBdr>
              <w:divsChild>
                <w:div w:id="1692686180">
                  <w:marLeft w:val="0"/>
                  <w:marRight w:val="0"/>
                  <w:marTop w:val="0"/>
                  <w:marBottom w:val="0"/>
                  <w:divBdr>
                    <w:top w:val="none" w:sz="0" w:space="0" w:color="auto"/>
                    <w:left w:val="none" w:sz="0" w:space="0" w:color="auto"/>
                    <w:bottom w:val="none" w:sz="0" w:space="0" w:color="auto"/>
                    <w:right w:val="none" w:sz="0" w:space="0" w:color="auto"/>
                  </w:divBdr>
                  <w:divsChild>
                    <w:div w:id="11183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55972">
      <w:bodyDiv w:val="1"/>
      <w:marLeft w:val="0"/>
      <w:marRight w:val="0"/>
      <w:marTop w:val="0"/>
      <w:marBottom w:val="0"/>
      <w:divBdr>
        <w:top w:val="none" w:sz="0" w:space="0" w:color="auto"/>
        <w:left w:val="none" w:sz="0" w:space="0" w:color="auto"/>
        <w:bottom w:val="none" w:sz="0" w:space="0" w:color="auto"/>
        <w:right w:val="none" w:sz="0" w:space="0" w:color="auto"/>
      </w:divBdr>
    </w:div>
    <w:div w:id="1858537507">
      <w:bodyDiv w:val="1"/>
      <w:marLeft w:val="0"/>
      <w:marRight w:val="0"/>
      <w:marTop w:val="0"/>
      <w:marBottom w:val="0"/>
      <w:divBdr>
        <w:top w:val="none" w:sz="0" w:space="0" w:color="auto"/>
        <w:left w:val="none" w:sz="0" w:space="0" w:color="auto"/>
        <w:bottom w:val="none" w:sz="0" w:space="0" w:color="auto"/>
        <w:right w:val="none" w:sz="0" w:space="0" w:color="auto"/>
      </w:divBdr>
      <w:divsChild>
        <w:div w:id="474570668">
          <w:marLeft w:val="0"/>
          <w:marRight w:val="0"/>
          <w:marTop w:val="0"/>
          <w:marBottom w:val="0"/>
          <w:divBdr>
            <w:top w:val="none" w:sz="0" w:space="0" w:color="auto"/>
            <w:left w:val="none" w:sz="0" w:space="0" w:color="auto"/>
            <w:bottom w:val="none" w:sz="0" w:space="0" w:color="auto"/>
            <w:right w:val="none" w:sz="0" w:space="0" w:color="auto"/>
          </w:divBdr>
          <w:divsChild>
            <w:div w:id="908002378">
              <w:marLeft w:val="0"/>
              <w:marRight w:val="0"/>
              <w:marTop w:val="0"/>
              <w:marBottom w:val="0"/>
              <w:divBdr>
                <w:top w:val="none" w:sz="0" w:space="0" w:color="auto"/>
                <w:left w:val="none" w:sz="0" w:space="0" w:color="auto"/>
                <w:bottom w:val="none" w:sz="0" w:space="0" w:color="auto"/>
                <w:right w:val="none" w:sz="0" w:space="0" w:color="auto"/>
              </w:divBdr>
              <w:divsChild>
                <w:div w:id="20164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8359">
      <w:bodyDiv w:val="1"/>
      <w:marLeft w:val="0"/>
      <w:marRight w:val="0"/>
      <w:marTop w:val="0"/>
      <w:marBottom w:val="0"/>
      <w:divBdr>
        <w:top w:val="none" w:sz="0" w:space="0" w:color="auto"/>
        <w:left w:val="none" w:sz="0" w:space="0" w:color="auto"/>
        <w:bottom w:val="none" w:sz="0" w:space="0" w:color="auto"/>
        <w:right w:val="none" w:sz="0" w:space="0" w:color="auto"/>
      </w:divBdr>
      <w:divsChild>
        <w:div w:id="278267057">
          <w:marLeft w:val="0"/>
          <w:marRight w:val="0"/>
          <w:marTop w:val="0"/>
          <w:marBottom w:val="0"/>
          <w:divBdr>
            <w:top w:val="none" w:sz="0" w:space="0" w:color="auto"/>
            <w:left w:val="none" w:sz="0" w:space="0" w:color="auto"/>
            <w:bottom w:val="none" w:sz="0" w:space="0" w:color="auto"/>
            <w:right w:val="none" w:sz="0" w:space="0" w:color="auto"/>
          </w:divBdr>
          <w:divsChild>
            <w:div w:id="221258958">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F0F1-2E65-4343-9897-67B24B91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994</Words>
  <Characters>5666</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Vizcarra</dc:creator>
  <cp:lastModifiedBy>PRASAD</cp:lastModifiedBy>
  <cp:revision>8</cp:revision>
  <cp:lastPrinted>2022-04-04T15:28:00Z</cp:lastPrinted>
  <dcterms:created xsi:type="dcterms:W3CDTF">2022-06-22T14:41:00Z</dcterms:created>
  <dcterms:modified xsi:type="dcterms:W3CDTF">2022-08-18T06:40:00Z</dcterms:modified>
</cp:coreProperties>
</file>