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44E1" w14:textId="50730BE6" w:rsidR="00DA6D5E" w:rsidRDefault="00DA6D5E" w:rsidP="00DA6D5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Tables</w:t>
      </w:r>
    </w:p>
    <w:p w14:paraId="0AA5A298" w14:textId="586A6108" w:rsidR="00BF1550" w:rsidRPr="00894999" w:rsidRDefault="00BF1550" w:rsidP="00BF155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949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A2: </w:t>
      </w:r>
      <w:r w:rsidRPr="00894999">
        <w:rPr>
          <w:rFonts w:ascii="Times New Roman" w:hAnsi="Times New Roman"/>
          <w:b/>
          <w:sz w:val="24"/>
          <w:szCs w:val="24"/>
          <w:lang w:val="en-GB"/>
        </w:rPr>
        <w:t xml:space="preserve">ADF-GLS tests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1"/>
        <w:gridCol w:w="1059"/>
        <w:gridCol w:w="2251"/>
        <w:gridCol w:w="2073"/>
      </w:tblGrid>
      <w:tr w:rsidR="00BF1550" w:rsidRPr="00DA6D5E" w14:paraId="3D00EB85" w14:textId="77777777" w:rsidTr="00633750">
        <w:trPr>
          <w:trHeight w:val="332"/>
          <w:jc w:val="center"/>
        </w:trPr>
        <w:tc>
          <w:tcPr>
            <w:tcW w:w="8494" w:type="dxa"/>
            <w:gridSpan w:val="4"/>
            <w:vAlign w:val="center"/>
          </w:tcPr>
          <w:p w14:paraId="0F5B4F61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/>
                <w:sz w:val="20"/>
                <w:szCs w:val="20"/>
                <w:lang w:val="en-GB"/>
              </w:rPr>
              <w:t>Test with constant and without trend</w:t>
            </w:r>
          </w:p>
        </w:tc>
      </w:tr>
      <w:tr w:rsidR="00BF1550" w:rsidRPr="00894999" w14:paraId="1647A2AA" w14:textId="77777777" w:rsidTr="00633750">
        <w:trPr>
          <w:trHeight w:val="713"/>
          <w:jc w:val="center"/>
        </w:trPr>
        <w:tc>
          <w:tcPr>
            <w:tcW w:w="3111" w:type="dxa"/>
            <w:vAlign w:val="center"/>
          </w:tcPr>
          <w:p w14:paraId="67581864" w14:textId="77777777" w:rsidR="00BF1550" w:rsidRPr="00894999" w:rsidRDefault="00BF1550" w:rsidP="0063375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1059" w:type="dxa"/>
            <w:vAlign w:val="center"/>
          </w:tcPr>
          <w:p w14:paraId="39ACB4AE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Lags</w:t>
            </w:r>
          </w:p>
        </w:tc>
        <w:tc>
          <w:tcPr>
            <w:tcW w:w="2251" w:type="dxa"/>
            <w:vAlign w:val="center"/>
          </w:tcPr>
          <w:p w14:paraId="319C56D2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Test statistic</w:t>
            </w:r>
          </w:p>
        </w:tc>
        <w:tc>
          <w:tcPr>
            <w:tcW w:w="2073" w:type="dxa"/>
            <w:vAlign w:val="center"/>
          </w:tcPr>
          <w:p w14:paraId="55BB876F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Conclusion</w:t>
            </w:r>
          </w:p>
        </w:tc>
      </w:tr>
      <w:tr w:rsidR="00BF1550" w:rsidRPr="00894999" w14:paraId="57FCD98D" w14:textId="77777777" w:rsidTr="00633750">
        <w:trPr>
          <w:trHeight w:val="521"/>
          <w:jc w:val="center"/>
        </w:trPr>
        <w:tc>
          <w:tcPr>
            <w:tcW w:w="3111" w:type="dxa"/>
            <w:vAlign w:val="center"/>
          </w:tcPr>
          <w:p w14:paraId="55381877" w14:textId="77777777" w:rsidR="00BF1550" w:rsidRPr="00894999" w:rsidRDefault="008309C5" w:rsidP="0063375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059" w:type="dxa"/>
            <w:vAlign w:val="center"/>
          </w:tcPr>
          <w:p w14:paraId="640F7CB9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251" w:type="dxa"/>
            <w:vAlign w:val="center"/>
          </w:tcPr>
          <w:p w14:paraId="4130A9D6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-1.80 *</w:t>
            </w:r>
          </w:p>
        </w:tc>
        <w:tc>
          <w:tcPr>
            <w:tcW w:w="2073" w:type="dxa"/>
            <w:vMerge w:val="restart"/>
            <w:vAlign w:val="center"/>
          </w:tcPr>
          <w:p w14:paraId="02F04E6A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I(</w:t>
            </w:r>
            <w:proofErr w:type="gramEnd"/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0)</w:t>
            </w:r>
          </w:p>
        </w:tc>
      </w:tr>
      <w:tr w:rsidR="00BF1550" w:rsidRPr="00894999" w14:paraId="53576091" w14:textId="77777777" w:rsidTr="00633750">
        <w:trPr>
          <w:trHeight w:val="540"/>
          <w:jc w:val="center"/>
        </w:trPr>
        <w:tc>
          <w:tcPr>
            <w:tcW w:w="3111" w:type="dxa"/>
            <w:vAlign w:val="center"/>
          </w:tcPr>
          <w:p w14:paraId="1A32D40A" w14:textId="77777777" w:rsidR="00BF1550" w:rsidRPr="00894999" w:rsidRDefault="008309C5" w:rsidP="00633750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EDU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059" w:type="dxa"/>
            <w:vAlign w:val="center"/>
          </w:tcPr>
          <w:p w14:paraId="2AFD37A2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251" w:type="dxa"/>
            <w:vAlign w:val="center"/>
          </w:tcPr>
          <w:p w14:paraId="4F4C1DF0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-1.98 **</w:t>
            </w:r>
          </w:p>
        </w:tc>
        <w:tc>
          <w:tcPr>
            <w:tcW w:w="2073" w:type="dxa"/>
            <w:vMerge/>
            <w:vAlign w:val="center"/>
          </w:tcPr>
          <w:p w14:paraId="36256318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1550" w:rsidRPr="00894999" w14:paraId="5510559E" w14:textId="77777777" w:rsidTr="00633750">
        <w:trPr>
          <w:trHeight w:val="540"/>
          <w:jc w:val="center"/>
        </w:trPr>
        <w:tc>
          <w:tcPr>
            <w:tcW w:w="3111" w:type="dxa"/>
            <w:vAlign w:val="center"/>
          </w:tcPr>
          <w:p w14:paraId="5A207424" w14:textId="77777777" w:rsidR="00BF1550" w:rsidRPr="00894999" w:rsidRDefault="008309C5" w:rsidP="00633750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LIFE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059" w:type="dxa"/>
            <w:vAlign w:val="center"/>
          </w:tcPr>
          <w:p w14:paraId="2A145E46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251" w:type="dxa"/>
            <w:vAlign w:val="center"/>
          </w:tcPr>
          <w:p w14:paraId="6A716B0F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-2.68 ***</w:t>
            </w:r>
          </w:p>
        </w:tc>
        <w:tc>
          <w:tcPr>
            <w:tcW w:w="2073" w:type="dxa"/>
            <w:vMerge/>
            <w:vAlign w:val="center"/>
          </w:tcPr>
          <w:p w14:paraId="1C25112B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1550" w:rsidRPr="00894999" w14:paraId="0A869AC1" w14:textId="77777777" w:rsidTr="00633750">
        <w:trPr>
          <w:trHeight w:val="540"/>
          <w:jc w:val="center"/>
        </w:trPr>
        <w:tc>
          <w:tcPr>
            <w:tcW w:w="3111" w:type="dxa"/>
            <w:vAlign w:val="center"/>
          </w:tcPr>
          <w:p w14:paraId="6EB174AC" w14:textId="77777777" w:rsidR="00BF1550" w:rsidRPr="00894999" w:rsidRDefault="008309C5" w:rsidP="00633750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GFCF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059" w:type="dxa"/>
            <w:vAlign w:val="center"/>
          </w:tcPr>
          <w:p w14:paraId="28D5E85E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251" w:type="dxa"/>
            <w:vAlign w:val="center"/>
          </w:tcPr>
          <w:p w14:paraId="3140179F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-3.39 ***</w:t>
            </w:r>
          </w:p>
        </w:tc>
        <w:tc>
          <w:tcPr>
            <w:tcW w:w="2073" w:type="dxa"/>
            <w:vMerge/>
            <w:vAlign w:val="center"/>
          </w:tcPr>
          <w:p w14:paraId="02D6EE74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1550" w:rsidRPr="00894999" w14:paraId="094845E6" w14:textId="77777777" w:rsidTr="00633750">
        <w:trPr>
          <w:trHeight w:val="540"/>
          <w:jc w:val="center"/>
        </w:trPr>
        <w:tc>
          <w:tcPr>
            <w:tcW w:w="3111" w:type="dxa"/>
            <w:vAlign w:val="center"/>
          </w:tcPr>
          <w:p w14:paraId="68EBA3F2" w14:textId="77777777" w:rsidR="00BF1550" w:rsidRPr="00894999" w:rsidRDefault="008309C5" w:rsidP="00633750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en-GB"/>
                      </w:rPr>
                      <m:t>TRADE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059" w:type="dxa"/>
            <w:vAlign w:val="center"/>
          </w:tcPr>
          <w:p w14:paraId="32FD76D6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251" w:type="dxa"/>
            <w:vAlign w:val="center"/>
          </w:tcPr>
          <w:p w14:paraId="40C4CAEE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-3.11***</w:t>
            </w:r>
          </w:p>
        </w:tc>
        <w:tc>
          <w:tcPr>
            <w:tcW w:w="2073" w:type="dxa"/>
            <w:vMerge/>
            <w:vAlign w:val="center"/>
          </w:tcPr>
          <w:p w14:paraId="58A9E879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1550" w:rsidRPr="00894999" w14:paraId="52E3DA3E" w14:textId="77777777" w:rsidTr="00633750">
        <w:trPr>
          <w:trHeight w:val="540"/>
          <w:jc w:val="center"/>
        </w:trPr>
        <w:tc>
          <w:tcPr>
            <w:tcW w:w="3111" w:type="dxa"/>
            <w:vAlign w:val="center"/>
          </w:tcPr>
          <w:p w14:paraId="34AE3729" w14:textId="77777777" w:rsidR="00BF1550" w:rsidRPr="00894999" w:rsidRDefault="008309C5" w:rsidP="0063375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en-GB"/>
                      </w:rPr>
                      <m:t>OFMEU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059" w:type="dxa"/>
            <w:vAlign w:val="center"/>
          </w:tcPr>
          <w:p w14:paraId="1A86F8FD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251" w:type="dxa"/>
            <w:vAlign w:val="center"/>
          </w:tcPr>
          <w:p w14:paraId="470AB443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-3.70 ***</w:t>
            </w:r>
          </w:p>
        </w:tc>
        <w:tc>
          <w:tcPr>
            <w:tcW w:w="2073" w:type="dxa"/>
            <w:vMerge/>
            <w:vAlign w:val="center"/>
          </w:tcPr>
          <w:p w14:paraId="00B24A95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A386B7F" w14:textId="77777777" w:rsidR="00BF1550" w:rsidRPr="00894999" w:rsidRDefault="00BF1550" w:rsidP="00BF155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  <w:r w:rsidRPr="00894999">
        <w:rPr>
          <w:rFonts w:ascii="Times New Roman" w:hAnsi="Times New Roman" w:cs="Times New Roman"/>
          <w:b/>
          <w:color w:val="000000"/>
          <w:sz w:val="16"/>
          <w:szCs w:val="16"/>
          <w:lang w:val="en-GB"/>
        </w:rPr>
        <w:t>Note 1:</w:t>
      </w:r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 ADF-GLS (Elliot et al. 1996) tests were performed using </w:t>
      </w:r>
      <w:proofErr w:type="spellStart"/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>Gretl</w:t>
      </w:r>
      <w:proofErr w:type="spellEnd"/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 (2017).</w:t>
      </w:r>
    </w:p>
    <w:p w14:paraId="3180A674" w14:textId="77777777" w:rsidR="00BF1550" w:rsidRPr="00894999" w:rsidRDefault="00BF1550" w:rsidP="00BF155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  <w:r w:rsidRPr="00894999">
        <w:rPr>
          <w:rFonts w:ascii="Times New Roman" w:hAnsi="Times New Roman" w:cs="Times New Roman"/>
          <w:b/>
          <w:color w:val="000000"/>
          <w:sz w:val="16"/>
          <w:szCs w:val="16"/>
          <w:lang w:val="en-GB"/>
        </w:rPr>
        <w:t xml:space="preserve">Note 2: </w:t>
      </w:r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>In the ADF-GLS tests, *, ** and *** denote the rejection of the null hypothesis (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16"/>
                <w:szCs w:val="16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16"/>
                <w:szCs w:val="16"/>
                <w:lang w:val="en-GB"/>
              </w:rPr>
              <m:t>h</m:t>
            </m:r>
          </m:e>
          <m:sub>
            <m:r>
              <w:rPr>
                <w:rFonts w:ascii="Cambria Math" w:hAnsi="Cambria Math" w:cs="Times New Roman"/>
                <w:color w:val="000000"/>
                <w:sz w:val="16"/>
                <w:szCs w:val="16"/>
                <w:lang w:val="en-GB"/>
              </w:rPr>
              <m:t>0</m:t>
            </m:r>
          </m:sub>
        </m:sSub>
      </m:oMath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) of a unit root at the 10%, 5% and 1% levels. The maximum number of lags was chosen using the rule provided by </w:t>
      </w:r>
      <w:proofErr w:type="spellStart"/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>Schwert</w:t>
      </w:r>
      <w:proofErr w:type="spellEnd"/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 (1989). The actual lag was obtained by testing down </w:t>
      </w:r>
      <w:proofErr w:type="gramStart"/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>in order to</w:t>
      </w:r>
      <w:proofErr w:type="gramEnd"/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 optimise the Schwarz/Bayesian information criterion (SIC/BIC).</w:t>
      </w:r>
    </w:p>
    <w:p w14:paraId="2F7E7646" w14:textId="77777777" w:rsidR="00BF1550" w:rsidRPr="00894999" w:rsidRDefault="00BF1550" w:rsidP="00BF155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94999">
        <w:rPr>
          <w:rFonts w:ascii="Times New Roman" w:hAnsi="Times New Roman" w:cs="Times New Roman"/>
          <w:b/>
          <w:color w:val="000000"/>
          <w:sz w:val="16"/>
          <w:szCs w:val="16"/>
          <w:lang w:val="en-GB"/>
        </w:rPr>
        <w:t>Note 3:</w:t>
      </w:r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 ADF-GLS is not only considered </w:t>
      </w:r>
      <w:r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to be </w:t>
      </w:r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a modified and improved version of the original ADF test of Dickey and Fuller (1979), but also a more suitable test in the </w:t>
      </w:r>
      <w:r>
        <w:rPr>
          <w:rFonts w:ascii="Times New Roman" w:hAnsi="Times New Roman" w:cs="Times New Roman"/>
          <w:color w:val="000000"/>
          <w:sz w:val="16"/>
          <w:szCs w:val="16"/>
          <w:lang w:val="en-GB"/>
        </w:rPr>
        <w:t>case</w:t>
      </w:r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 of small samples (Baum, 2000).</w:t>
      </w:r>
    </w:p>
    <w:p w14:paraId="32DED672" w14:textId="77777777" w:rsidR="003471D7" w:rsidRPr="00BF1550" w:rsidRDefault="003471D7">
      <w:pPr>
        <w:rPr>
          <w:lang w:val="en-GB"/>
        </w:rPr>
      </w:pPr>
    </w:p>
    <w:p w14:paraId="30B29028" w14:textId="77777777" w:rsidR="00BF1550" w:rsidRPr="00894999" w:rsidRDefault="00BF1550" w:rsidP="00BF155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94999">
        <w:rPr>
          <w:rFonts w:ascii="Times New Roman" w:hAnsi="Times New Roman" w:cs="Times New Roman"/>
          <w:b/>
          <w:sz w:val="24"/>
          <w:szCs w:val="24"/>
          <w:lang w:val="en-GB"/>
        </w:rPr>
        <w:t>Table A3: KPSS tests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1"/>
        <w:gridCol w:w="876"/>
        <w:gridCol w:w="1685"/>
        <w:gridCol w:w="1692"/>
      </w:tblGrid>
      <w:tr w:rsidR="00BF1550" w:rsidRPr="00DA6D5E" w14:paraId="3E330E6D" w14:textId="77777777" w:rsidTr="00633750">
        <w:trPr>
          <w:trHeight w:val="332"/>
          <w:jc w:val="center"/>
        </w:trPr>
        <w:tc>
          <w:tcPr>
            <w:tcW w:w="8494" w:type="dxa"/>
            <w:gridSpan w:val="4"/>
            <w:vAlign w:val="center"/>
          </w:tcPr>
          <w:p w14:paraId="4D512CDE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/>
                <w:sz w:val="20"/>
                <w:szCs w:val="20"/>
                <w:lang w:val="en-GB"/>
              </w:rPr>
              <w:t>Test with constant and without trend</w:t>
            </w:r>
          </w:p>
        </w:tc>
      </w:tr>
      <w:tr w:rsidR="00BF1550" w:rsidRPr="00894999" w14:paraId="2FC532CB" w14:textId="77777777" w:rsidTr="00633750">
        <w:trPr>
          <w:trHeight w:val="713"/>
          <w:jc w:val="center"/>
        </w:trPr>
        <w:tc>
          <w:tcPr>
            <w:tcW w:w="4241" w:type="dxa"/>
            <w:vAlign w:val="center"/>
          </w:tcPr>
          <w:p w14:paraId="47BD33E7" w14:textId="77777777" w:rsidR="00BF1550" w:rsidRPr="00894999" w:rsidRDefault="00BF1550" w:rsidP="00633750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876" w:type="dxa"/>
            <w:vAlign w:val="center"/>
          </w:tcPr>
          <w:p w14:paraId="407D099F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Lags</w:t>
            </w:r>
          </w:p>
        </w:tc>
        <w:tc>
          <w:tcPr>
            <w:tcW w:w="1685" w:type="dxa"/>
            <w:vAlign w:val="center"/>
          </w:tcPr>
          <w:p w14:paraId="17E6F766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Test statistic</w:t>
            </w:r>
          </w:p>
        </w:tc>
        <w:tc>
          <w:tcPr>
            <w:tcW w:w="1692" w:type="dxa"/>
            <w:vAlign w:val="center"/>
          </w:tcPr>
          <w:p w14:paraId="12ADC758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Conclusion</w:t>
            </w:r>
          </w:p>
        </w:tc>
      </w:tr>
      <w:tr w:rsidR="00BF1550" w:rsidRPr="00894999" w14:paraId="4FAAD51E" w14:textId="77777777" w:rsidTr="00633750">
        <w:trPr>
          <w:trHeight w:val="521"/>
          <w:jc w:val="center"/>
        </w:trPr>
        <w:tc>
          <w:tcPr>
            <w:tcW w:w="4241" w:type="dxa"/>
            <w:vAlign w:val="center"/>
          </w:tcPr>
          <w:p w14:paraId="3B3A5596" w14:textId="77777777" w:rsidR="00BF1550" w:rsidRPr="00894999" w:rsidRDefault="008309C5" w:rsidP="0063375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76" w:type="dxa"/>
            <w:vAlign w:val="center"/>
          </w:tcPr>
          <w:p w14:paraId="47F22C0A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685" w:type="dxa"/>
            <w:vAlign w:val="center"/>
          </w:tcPr>
          <w:p w14:paraId="30905F97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0.11</w:t>
            </w:r>
          </w:p>
        </w:tc>
        <w:tc>
          <w:tcPr>
            <w:tcW w:w="1692" w:type="dxa"/>
            <w:vMerge w:val="restart"/>
            <w:vAlign w:val="center"/>
          </w:tcPr>
          <w:p w14:paraId="2DAFE32C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I(</w:t>
            </w:r>
            <w:proofErr w:type="gramEnd"/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0)</w:t>
            </w:r>
          </w:p>
        </w:tc>
      </w:tr>
      <w:tr w:rsidR="00BF1550" w:rsidRPr="00894999" w14:paraId="12EBB7F4" w14:textId="77777777" w:rsidTr="00633750">
        <w:trPr>
          <w:trHeight w:val="540"/>
          <w:jc w:val="center"/>
        </w:trPr>
        <w:tc>
          <w:tcPr>
            <w:tcW w:w="4241" w:type="dxa"/>
            <w:vAlign w:val="center"/>
          </w:tcPr>
          <w:p w14:paraId="67BEBA56" w14:textId="77777777" w:rsidR="00BF1550" w:rsidRPr="00894999" w:rsidRDefault="008309C5" w:rsidP="00633750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EDU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76" w:type="dxa"/>
            <w:vAlign w:val="center"/>
          </w:tcPr>
          <w:p w14:paraId="1AFF584D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685" w:type="dxa"/>
            <w:vAlign w:val="center"/>
          </w:tcPr>
          <w:p w14:paraId="50EB3A65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0.13</w:t>
            </w:r>
          </w:p>
        </w:tc>
        <w:tc>
          <w:tcPr>
            <w:tcW w:w="1692" w:type="dxa"/>
            <w:vMerge/>
            <w:vAlign w:val="center"/>
          </w:tcPr>
          <w:p w14:paraId="6B2C05E9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1550" w:rsidRPr="00894999" w14:paraId="74724CE9" w14:textId="77777777" w:rsidTr="00633750">
        <w:trPr>
          <w:trHeight w:val="540"/>
          <w:jc w:val="center"/>
        </w:trPr>
        <w:tc>
          <w:tcPr>
            <w:tcW w:w="4241" w:type="dxa"/>
            <w:vAlign w:val="center"/>
          </w:tcPr>
          <w:p w14:paraId="77FCCC4D" w14:textId="77777777" w:rsidR="00BF1550" w:rsidRPr="00894999" w:rsidRDefault="008309C5" w:rsidP="00633750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LIFE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76" w:type="dxa"/>
            <w:vAlign w:val="center"/>
          </w:tcPr>
          <w:p w14:paraId="38369CCF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685" w:type="dxa"/>
            <w:vAlign w:val="center"/>
          </w:tcPr>
          <w:p w14:paraId="222A8E56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0.15</w:t>
            </w:r>
          </w:p>
        </w:tc>
        <w:tc>
          <w:tcPr>
            <w:tcW w:w="1692" w:type="dxa"/>
            <w:vMerge/>
            <w:vAlign w:val="center"/>
          </w:tcPr>
          <w:p w14:paraId="55A34A9D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1550" w:rsidRPr="00894999" w14:paraId="4E0763D8" w14:textId="77777777" w:rsidTr="00633750">
        <w:trPr>
          <w:trHeight w:val="540"/>
          <w:jc w:val="center"/>
        </w:trPr>
        <w:tc>
          <w:tcPr>
            <w:tcW w:w="4241" w:type="dxa"/>
            <w:vAlign w:val="center"/>
          </w:tcPr>
          <w:p w14:paraId="5FFD8BB7" w14:textId="77777777" w:rsidR="00BF1550" w:rsidRPr="00894999" w:rsidRDefault="008309C5" w:rsidP="00633750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GFCF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76" w:type="dxa"/>
            <w:vAlign w:val="center"/>
          </w:tcPr>
          <w:p w14:paraId="1CE5DC1A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685" w:type="dxa"/>
            <w:vAlign w:val="center"/>
          </w:tcPr>
          <w:p w14:paraId="39398526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0.09</w:t>
            </w:r>
          </w:p>
        </w:tc>
        <w:tc>
          <w:tcPr>
            <w:tcW w:w="1692" w:type="dxa"/>
            <w:vMerge/>
            <w:vAlign w:val="center"/>
          </w:tcPr>
          <w:p w14:paraId="6EB5C304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1550" w:rsidRPr="00894999" w14:paraId="6EDBEF88" w14:textId="77777777" w:rsidTr="00633750">
        <w:trPr>
          <w:trHeight w:val="540"/>
          <w:jc w:val="center"/>
        </w:trPr>
        <w:tc>
          <w:tcPr>
            <w:tcW w:w="4241" w:type="dxa"/>
            <w:vAlign w:val="center"/>
          </w:tcPr>
          <w:p w14:paraId="0C8E24D2" w14:textId="77777777" w:rsidR="00BF1550" w:rsidRPr="00894999" w:rsidRDefault="008309C5" w:rsidP="00633750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en-GB"/>
                      </w:rPr>
                      <m:t>TRADE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76" w:type="dxa"/>
            <w:vAlign w:val="center"/>
          </w:tcPr>
          <w:p w14:paraId="44274D7A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685" w:type="dxa"/>
            <w:vAlign w:val="center"/>
          </w:tcPr>
          <w:p w14:paraId="32D41C36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0.12</w:t>
            </w:r>
          </w:p>
        </w:tc>
        <w:tc>
          <w:tcPr>
            <w:tcW w:w="1692" w:type="dxa"/>
            <w:vMerge/>
            <w:vAlign w:val="center"/>
          </w:tcPr>
          <w:p w14:paraId="0E4B03C2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F1550" w:rsidRPr="00894999" w14:paraId="40AC2419" w14:textId="77777777" w:rsidTr="00633750">
        <w:trPr>
          <w:trHeight w:val="540"/>
          <w:jc w:val="center"/>
        </w:trPr>
        <w:tc>
          <w:tcPr>
            <w:tcW w:w="4241" w:type="dxa"/>
            <w:vAlign w:val="center"/>
          </w:tcPr>
          <w:p w14:paraId="06812E3E" w14:textId="77777777" w:rsidR="00BF1550" w:rsidRPr="00894999" w:rsidRDefault="008309C5" w:rsidP="0063375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en-GB"/>
                      </w:rPr>
                      <m:t>OFMEU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876" w:type="dxa"/>
            <w:vAlign w:val="center"/>
          </w:tcPr>
          <w:p w14:paraId="24D7C17D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685" w:type="dxa"/>
            <w:vAlign w:val="center"/>
          </w:tcPr>
          <w:p w14:paraId="04269E66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1692" w:type="dxa"/>
            <w:vMerge/>
            <w:vAlign w:val="center"/>
          </w:tcPr>
          <w:p w14:paraId="58975531" w14:textId="77777777" w:rsidR="00BF1550" w:rsidRPr="00894999" w:rsidRDefault="00BF1550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6F1B11E" w14:textId="77777777" w:rsidR="00BF1550" w:rsidRPr="00894999" w:rsidRDefault="00BF1550" w:rsidP="00BF1550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  <w:r w:rsidRPr="00894999">
        <w:rPr>
          <w:rFonts w:ascii="Times New Roman" w:hAnsi="Times New Roman" w:cs="Times New Roman"/>
          <w:b/>
          <w:color w:val="000000"/>
          <w:sz w:val="16"/>
          <w:szCs w:val="16"/>
          <w:lang w:val="en-GB"/>
        </w:rPr>
        <w:t>Note 1:</w:t>
      </w:r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 KPSS tests (</w:t>
      </w:r>
      <w:proofErr w:type="spellStart"/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>Kwiatkwoski</w:t>
      </w:r>
      <w:proofErr w:type="spellEnd"/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 et al. 1992) were performed using </w:t>
      </w:r>
      <w:proofErr w:type="spellStart"/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>Gretl</w:t>
      </w:r>
      <w:proofErr w:type="spellEnd"/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 (2017). </w:t>
      </w:r>
    </w:p>
    <w:p w14:paraId="223C12FC" w14:textId="06027806" w:rsidR="007B692E" w:rsidRPr="007B692E" w:rsidRDefault="00BF1550" w:rsidP="007B692E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  <w:r w:rsidRPr="00894999">
        <w:rPr>
          <w:rFonts w:ascii="Times New Roman" w:hAnsi="Times New Roman" w:cs="Times New Roman"/>
          <w:b/>
          <w:color w:val="000000"/>
          <w:sz w:val="16"/>
          <w:szCs w:val="16"/>
          <w:lang w:val="en-GB"/>
        </w:rPr>
        <w:t>Note 2:</w:t>
      </w:r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 In the KPSS test, *, ** and *** denote the rejection of the null hypothesis (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16"/>
                <w:szCs w:val="16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16"/>
                <w:szCs w:val="16"/>
                <w:lang w:val="en-GB"/>
              </w:rPr>
              <m:t>h</m:t>
            </m:r>
          </m:e>
          <m:sub>
            <m:r>
              <w:rPr>
                <w:rFonts w:ascii="Cambria Math" w:hAnsi="Cambria Math" w:cs="Times New Roman"/>
                <w:color w:val="000000"/>
                <w:sz w:val="16"/>
                <w:szCs w:val="16"/>
                <w:lang w:val="en-GB"/>
              </w:rPr>
              <m:t>0</m:t>
            </m:r>
          </m:sub>
        </m:sSub>
      </m:oMath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>) of stationarity at the 10%, 5% and 1% levels. The optimal lag was obtained using the Newey-West automatic bandwidth selection.</w:t>
      </w:r>
    </w:p>
    <w:p w14:paraId="7BBBF2A9" w14:textId="58E34788" w:rsidR="00624122" w:rsidRPr="00894999" w:rsidRDefault="00624122" w:rsidP="0062412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94999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A4: Unit root tests with a breakpoint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1"/>
        <w:gridCol w:w="1130"/>
        <w:gridCol w:w="921"/>
        <w:gridCol w:w="1610"/>
        <w:gridCol w:w="1722"/>
      </w:tblGrid>
      <w:tr w:rsidR="00624122" w:rsidRPr="00DA6D5E" w14:paraId="1E498C28" w14:textId="77777777" w:rsidTr="00633750">
        <w:trPr>
          <w:trHeight w:val="539"/>
          <w:jc w:val="center"/>
        </w:trPr>
        <w:tc>
          <w:tcPr>
            <w:tcW w:w="8494" w:type="dxa"/>
            <w:gridSpan w:val="5"/>
            <w:shd w:val="clear" w:color="auto" w:fill="auto"/>
            <w:vAlign w:val="center"/>
          </w:tcPr>
          <w:p w14:paraId="74593B6C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/>
                <w:sz w:val="20"/>
                <w:szCs w:val="20"/>
                <w:lang w:val="en-GB"/>
              </w:rPr>
              <w:t>Test with constant and without trend</w:t>
            </w:r>
          </w:p>
        </w:tc>
      </w:tr>
      <w:tr w:rsidR="00624122" w:rsidRPr="00894999" w14:paraId="7A8D9E66" w14:textId="77777777" w:rsidTr="00633750">
        <w:trPr>
          <w:trHeight w:val="539"/>
          <w:jc w:val="center"/>
        </w:trPr>
        <w:tc>
          <w:tcPr>
            <w:tcW w:w="3111" w:type="dxa"/>
            <w:shd w:val="clear" w:color="auto" w:fill="auto"/>
            <w:vAlign w:val="center"/>
          </w:tcPr>
          <w:p w14:paraId="06929FFE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210955C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Break date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13ECC35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Lags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12CC24E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Test Statistic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D26F4E4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Conclusion</w:t>
            </w:r>
          </w:p>
        </w:tc>
      </w:tr>
      <w:tr w:rsidR="00624122" w:rsidRPr="00894999" w14:paraId="4A107328" w14:textId="77777777" w:rsidTr="00633750">
        <w:trPr>
          <w:trHeight w:val="539"/>
          <w:jc w:val="center"/>
        </w:trPr>
        <w:tc>
          <w:tcPr>
            <w:tcW w:w="3111" w:type="dxa"/>
            <w:shd w:val="clear" w:color="auto" w:fill="auto"/>
            <w:vAlign w:val="center"/>
          </w:tcPr>
          <w:p w14:paraId="2602AB83" w14:textId="77777777" w:rsidR="00624122" w:rsidRPr="00894999" w:rsidRDefault="008309C5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30" w:type="dxa"/>
            <w:shd w:val="clear" w:color="auto" w:fill="auto"/>
            <w:vAlign w:val="center"/>
          </w:tcPr>
          <w:p w14:paraId="4F7A8F30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1974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BD41309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1EAF7A5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-4.70 **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14:paraId="2E2B3156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gramStart"/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I(</w:t>
            </w:r>
            <w:proofErr w:type="gramEnd"/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0)</w:t>
            </w:r>
          </w:p>
        </w:tc>
      </w:tr>
      <w:tr w:rsidR="00624122" w:rsidRPr="00894999" w14:paraId="0AF7C1B8" w14:textId="77777777" w:rsidTr="00633750">
        <w:trPr>
          <w:trHeight w:val="539"/>
          <w:jc w:val="center"/>
        </w:trPr>
        <w:tc>
          <w:tcPr>
            <w:tcW w:w="3111" w:type="dxa"/>
            <w:shd w:val="clear" w:color="auto" w:fill="auto"/>
            <w:vAlign w:val="center"/>
          </w:tcPr>
          <w:p w14:paraId="741E97E0" w14:textId="77777777" w:rsidR="00624122" w:rsidRPr="00894999" w:rsidRDefault="008309C5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EDU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30" w:type="dxa"/>
            <w:shd w:val="clear" w:color="auto" w:fill="auto"/>
            <w:vAlign w:val="center"/>
          </w:tcPr>
          <w:p w14:paraId="54B55E1D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1969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CE8748C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CCBFBEC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-10.35 ***</w:t>
            </w: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088C5724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24122" w:rsidRPr="00894999" w14:paraId="3D453832" w14:textId="77777777" w:rsidTr="00633750">
        <w:trPr>
          <w:trHeight w:val="539"/>
          <w:jc w:val="center"/>
        </w:trPr>
        <w:tc>
          <w:tcPr>
            <w:tcW w:w="3111" w:type="dxa"/>
            <w:shd w:val="clear" w:color="auto" w:fill="auto"/>
            <w:vAlign w:val="center"/>
          </w:tcPr>
          <w:p w14:paraId="5DCF67D0" w14:textId="77777777" w:rsidR="00624122" w:rsidRPr="00894999" w:rsidRDefault="008309C5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LIFE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30" w:type="dxa"/>
            <w:shd w:val="clear" w:color="auto" w:fill="auto"/>
            <w:vAlign w:val="center"/>
          </w:tcPr>
          <w:p w14:paraId="78CE8AB3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1954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6ABE3B3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B4B0872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-11.48 ***</w:t>
            </w: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788FBCA7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624122" w:rsidRPr="00894999" w14:paraId="4A99C5D5" w14:textId="77777777" w:rsidTr="00633750">
        <w:trPr>
          <w:trHeight w:val="539"/>
          <w:jc w:val="center"/>
        </w:trPr>
        <w:tc>
          <w:tcPr>
            <w:tcW w:w="3111" w:type="dxa"/>
            <w:shd w:val="clear" w:color="auto" w:fill="auto"/>
            <w:vAlign w:val="center"/>
          </w:tcPr>
          <w:p w14:paraId="2389B4CD" w14:textId="77777777" w:rsidR="00624122" w:rsidRPr="00894999" w:rsidRDefault="008309C5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GFCF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30" w:type="dxa"/>
            <w:shd w:val="clear" w:color="auto" w:fill="auto"/>
            <w:vAlign w:val="center"/>
          </w:tcPr>
          <w:p w14:paraId="74E9DFC1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1972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B39F3A9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94580AD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-6.35 **</w:t>
            </w: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4A661E00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624122" w:rsidRPr="00894999" w14:paraId="55E48099" w14:textId="77777777" w:rsidTr="00633750">
        <w:trPr>
          <w:trHeight w:val="539"/>
          <w:jc w:val="center"/>
        </w:trPr>
        <w:tc>
          <w:tcPr>
            <w:tcW w:w="3111" w:type="dxa"/>
            <w:shd w:val="clear" w:color="auto" w:fill="auto"/>
            <w:vAlign w:val="center"/>
          </w:tcPr>
          <w:p w14:paraId="0847626F" w14:textId="77777777" w:rsidR="00624122" w:rsidRPr="00894999" w:rsidRDefault="008309C5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en-GB"/>
                      </w:rPr>
                      <m:t>TRADE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30" w:type="dxa"/>
            <w:shd w:val="clear" w:color="auto" w:fill="auto"/>
            <w:vAlign w:val="center"/>
          </w:tcPr>
          <w:p w14:paraId="3597FEF0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1974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31C0306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4ACBBC0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-6.30 ***</w:t>
            </w: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71AB5B8F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24122" w:rsidRPr="00894999" w14:paraId="3436BB11" w14:textId="77777777" w:rsidTr="00633750">
        <w:trPr>
          <w:trHeight w:val="539"/>
          <w:jc w:val="center"/>
        </w:trPr>
        <w:tc>
          <w:tcPr>
            <w:tcW w:w="3111" w:type="dxa"/>
            <w:shd w:val="clear" w:color="auto" w:fill="auto"/>
            <w:vAlign w:val="center"/>
          </w:tcPr>
          <w:p w14:paraId="3A264CF7" w14:textId="77777777" w:rsidR="00624122" w:rsidRPr="00894999" w:rsidRDefault="008309C5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en-GB"/>
                      </w:rPr>
                      <m:t>OFMEU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130" w:type="dxa"/>
            <w:shd w:val="clear" w:color="auto" w:fill="auto"/>
            <w:vAlign w:val="center"/>
          </w:tcPr>
          <w:p w14:paraId="6A638255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1959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68BF895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2CC2FB7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9499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-6.54 ***</w:t>
            </w:r>
          </w:p>
        </w:tc>
        <w:tc>
          <w:tcPr>
            <w:tcW w:w="1722" w:type="dxa"/>
            <w:vMerge/>
            <w:shd w:val="clear" w:color="auto" w:fill="auto"/>
            <w:vAlign w:val="center"/>
          </w:tcPr>
          <w:p w14:paraId="2E4F532D" w14:textId="77777777" w:rsidR="00624122" w:rsidRPr="00894999" w:rsidRDefault="00624122" w:rsidP="00633750">
            <w:pPr>
              <w:tabs>
                <w:tab w:val="left" w:pos="796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14:paraId="32B34D39" w14:textId="77777777" w:rsidR="00624122" w:rsidRDefault="00624122" w:rsidP="00624122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en-GB"/>
        </w:rPr>
      </w:pPr>
    </w:p>
    <w:p w14:paraId="23A65994" w14:textId="77777777" w:rsidR="00624122" w:rsidRPr="00894999" w:rsidRDefault="00624122" w:rsidP="00624122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  <w:r w:rsidRPr="00894999">
        <w:rPr>
          <w:rFonts w:ascii="Times New Roman" w:hAnsi="Times New Roman" w:cs="Times New Roman"/>
          <w:b/>
          <w:color w:val="000000"/>
          <w:sz w:val="16"/>
          <w:szCs w:val="16"/>
          <w:lang w:val="en-GB"/>
        </w:rPr>
        <w:t>Note 1:</w:t>
      </w:r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 Unit root tests with a breakpoint (EViews 2020 following Perron 1989) were performed using EViews (2020).</w:t>
      </w:r>
    </w:p>
    <w:p w14:paraId="3FC73C63" w14:textId="77777777" w:rsidR="00624122" w:rsidRPr="00894999" w:rsidRDefault="00624122" w:rsidP="00624122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  <w:r w:rsidRPr="00894999">
        <w:rPr>
          <w:rFonts w:ascii="Times New Roman" w:hAnsi="Times New Roman" w:cs="Times New Roman"/>
          <w:b/>
          <w:color w:val="000000"/>
          <w:sz w:val="16"/>
          <w:szCs w:val="16"/>
          <w:lang w:val="en-GB"/>
        </w:rPr>
        <w:t>Note 2:</w:t>
      </w:r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 In the unit root tests with a breakpoint, *, ** and *** denote the rejection of the null hypothesis (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16"/>
                <w:szCs w:val="16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16"/>
                <w:szCs w:val="16"/>
                <w:lang w:val="en-GB"/>
              </w:rPr>
              <m:t>h</m:t>
            </m:r>
          </m:e>
          <m:sub>
            <m:r>
              <w:rPr>
                <w:rFonts w:ascii="Cambria Math" w:hAnsi="Cambria Math" w:cs="Times New Roman"/>
                <w:color w:val="000000"/>
                <w:sz w:val="16"/>
                <w:szCs w:val="16"/>
                <w:lang w:val="en-GB"/>
              </w:rPr>
              <m:t>0</m:t>
            </m:r>
          </m:sub>
        </m:sSub>
      </m:oMath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) of a unit root with a possible break at the 10%, 5% and 1% levels. The maximum number of lags was chosen using the rule provided by </w:t>
      </w:r>
      <w:proofErr w:type="spellStart"/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>Schwert</w:t>
      </w:r>
      <w:proofErr w:type="spellEnd"/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 (1989). The actual lag was obtained by testing down </w:t>
      </w:r>
      <w:proofErr w:type="gramStart"/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>in order to</w:t>
      </w:r>
      <w:proofErr w:type="gramEnd"/>
      <w:r w:rsidRPr="00894999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 optimise the Schwarz/Bayesian information criterion (SIC/BIC).</w:t>
      </w:r>
    </w:p>
    <w:p w14:paraId="05019AF8" w14:textId="77777777" w:rsidR="007B692E" w:rsidRDefault="007B692E">
      <w:pPr>
        <w:rPr>
          <w:lang w:val="en-GB"/>
        </w:rPr>
      </w:pPr>
    </w:p>
    <w:p w14:paraId="7236A646" w14:textId="29A2C2AF" w:rsidR="00DA6D5E" w:rsidRPr="00E73FA2" w:rsidRDefault="00DA6D5E" w:rsidP="00DA6D5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73FA2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14:paraId="1D679F46" w14:textId="764E926B" w:rsidR="00E73FA2" w:rsidRPr="00E73FA2" w:rsidRDefault="00E73FA2" w:rsidP="00E73F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73FA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BAUM, C. (2000). “Tests for Stationarity of a Time Series”. </w:t>
      </w:r>
      <w:r w:rsidRPr="00E73FA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State Technical Bulletin</w:t>
      </w:r>
      <w:r w:rsidRPr="00E73FA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57, pp. 36-39</w:t>
      </w:r>
    </w:p>
    <w:p w14:paraId="3F54183E" w14:textId="1832E8A7" w:rsidR="00E73FA2" w:rsidRPr="00E73FA2" w:rsidRDefault="00E73FA2" w:rsidP="00E73F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414183F" w14:textId="24DE92BF" w:rsidR="00E73FA2" w:rsidRPr="00E73FA2" w:rsidRDefault="00E73FA2" w:rsidP="00E73FA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73FA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DICKEY, D. and FULLER, W. (1979). “Distribution of the Estimators for Time Series Regressions with a Unit Root”. </w:t>
      </w:r>
      <w:r w:rsidRPr="00E73FA2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Journal of the American Statistical Association </w:t>
      </w:r>
      <w:r w:rsidRPr="00E73FA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74 (366), pp. 427-431 </w:t>
      </w:r>
    </w:p>
    <w:p w14:paraId="164199C8" w14:textId="77777777" w:rsidR="00E73FA2" w:rsidRPr="00E73FA2" w:rsidRDefault="00E73FA2" w:rsidP="00E73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4137BF4" w14:textId="01683839" w:rsidR="007B692E" w:rsidRPr="00E73FA2" w:rsidRDefault="00E73FA2" w:rsidP="00E73F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FA2">
        <w:rPr>
          <w:rFonts w:ascii="Times New Roman" w:hAnsi="Times New Roman" w:cs="Times New Roman"/>
          <w:sz w:val="24"/>
          <w:szCs w:val="24"/>
          <w:lang w:val="en-GB"/>
        </w:rPr>
        <w:t xml:space="preserve">ELLIOT, G., ROTHENBERG, T. and STOCK, J. (1996). “Efficient tests for an autoregressive unit root”. </w:t>
      </w:r>
      <w:proofErr w:type="spellStart"/>
      <w:r w:rsidRPr="00E73FA2">
        <w:rPr>
          <w:rFonts w:ascii="Times New Roman" w:hAnsi="Times New Roman" w:cs="Times New Roman"/>
          <w:i/>
          <w:iCs/>
          <w:sz w:val="24"/>
          <w:szCs w:val="24"/>
          <w:lang w:val="en-GB"/>
        </w:rPr>
        <w:t>Econometrica</w:t>
      </w:r>
      <w:proofErr w:type="spellEnd"/>
      <w:r w:rsidRPr="00E73FA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E73FA2">
        <w:rPr>
          <w:rFonts w:ascii="Times New Roman" w:hAnsi="Times New Roman" w:cs="Times New Roman"/>
          <w:sz w:val="24"/>
          <w:szCs w:val="24"/>
          <w:lang w:val="en-GB"/>
        </w:rPr>
        <w:t>64, pp. 813-836</w:t>
      </w:r>
    </w:p>
    <w:p w14:paraId="45D0B974" w14:textId="77777777" w:rsidR="00E73FA2" w:rsidRPr="00E73FA2" w:rsidRDefault="00E73FA2" w:rsidP="00E73F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21203CD" w14:textId="77777777" w:rsidR="00E73FA2" w:rsidRPr="00E73FA2" w:rsidRDefault="00E73FA2" w:rsidP="00E73FA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t-PT"/>
        </w:rPr>
      </w:pPr>
      <w:r w:rsidRPr="00E73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t-PT"/>
        </w:rPr>
        <w:t xml:space="preserve">EVIEWS. (2020). “EViews Version 11 for Econometric Analysis”. </w:t>
      </w:r>
      <w:r w:rsidRPr="00E73FA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Downloaded</w:t>
      </w:r>
      <w:r w:rsidRPr="00E73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t-PT"/>
        </w:rPr>
        <w:t xml:space="preserve"> 30 April 2020. www.eviews.com</w:t>
      </w:r>
      <w:r w:rsidRPr="00E73FA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25830AF3" w14:textId="4AD8A5E9" w:rsidR="00E73FA2" w:rsidRPr="00E73FA2" w:rsidRDefault="00E73FA2" w:rsidP="00E73F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59B9985" w14:textId="366E537E" w:rsidR="00E73FA2" w:rsidRPr="00E73FA2" w:rsidRDefault="00E73FA2" w:rsidP="00E73F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Hiperligao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GB" w:eastAsia="pt-PT"/>
        </w:rPr>
      </w:pPr>
      <w:r w:rsidRPr="00E73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t-PT"/>
        </w:rPr>
        <w:t>GRETL. (2017). “</w:t>
      </w:r>
      <w:r w:rsidRPr="00E73F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 w:eastAsia="pt-PT"/>
        </w:rPr>
        <w:t>Gnu Regression, Econometrics and Time-Series Library”.</w:t>
      </w:r>
      <w:r w:rsidRPr="00E73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t-PT"/>
        </w:rPr>
        <w:t xml:space="preserve"> Downloaded 19 July 2017. </w:t>
      </w:r>
      <w:hyperlink r:id="rId6" w:history="1">
        <w:r w:rsidRPr="00E73FA2">
          <w:rPr>
            <w:rStyle w:val="Hiperligao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pt-PT"/>
          </w:rPr>
          <w:t>http://gretl.sourceforge.net/</w:t>
        </w:r>
      </w:hyperlink>
    </w:p>
    <w:p w14:paraId="4185CDEF" w14:textId="453A1667" w:rsidR="00E73FA2" w:rsidRPr="00E73FA2" w:rsidRDefault="00E73FA2" w:rsidP="00E73F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Hiperligao"/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t-PT"/>
        </w:rPr>
      </w:pPr>
    </w:p>
    <w:p w14:paraId="4BF5D8B4" w14:textId="77777777" w:rsidR="00E73FA2" w:rsidRPr="00E73FA2" w:rsidRDefault="00E73FA2" w:rsidP="00E73F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t-PT"/>
        </w:rPr>
      </w:pPr>
      <w:r w:rsidRPr="00E73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t-PT"/>
        </w:rPr>
        <w:t xml:space="preserve">KWIATKOWSKI, D., PHILLIPS, P., SCHMIDT, P. and SHIN, Y. (1992). “Testing the Null Hypothesis of Stationarity against the Alternative of a Unit Root”. </w:t>
      </w:r>
      <w:r w:rsidRPr="00E73F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GB" w:eastAsia="pt-PT"/>
        </w:rPr>
        <w:t>Journal of Econometrics</w:t>
      </w:r>
      <w:r w:rsidRPr="00E73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t-PT"/>
        </w:rPr>
        <w:t xml:space="preserve"> 54 (1-3), pp. 159-178</w:t>
      </w:r>
    </w:p>
    <w:p w14:paraId="7461C19E" w14:textId="77777777" w:rsidR="00E73FA2" w:rsidRPr="00E73FA2" w:rsidRDefault="00E73FA2" w:rsidP="00E73F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00A6E57" w14:textId="77777777" w:rsidR="00E73FA2" w:rsidRPr="00E73FA2" w:rsidRDefault="00E73FA2" w:rsidP="00E73FA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t-PT"/>
        </w:rPr>
      </w:pPr>
      <w:r w:rsidRPr="00E73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t-PT"/>
        </w:rPr>
        <w:t xml:space="preserve">PERRON, P. (1989). “The Great Crash, the Oil Price Shock, and the Unit Root Hypothesis”. </w:t>
      </w:r>
      <w:proofErr w:type="spellStart"/>
      <w:r w:rsidRPr="00E73FA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pt-PT"/>
        </w:rPr>
        <w:t>Econometrica</w:t>
      </w:r>
      <w:proofErr w:type="spellEnd"/>
      <w:r w:rsidRPr="00E73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t-PT"/>
        </w:rPr>
        <w:t xml:space="preserve"> 57 (6), pp. 1361-1401</w:t>
      </w:r>
    </w:p>
    <w:p w14:paraId="52B433B8" w14:textId="6630FD6C" w:rsidR="00DA6D5E" w:rsidRPr="00E73FA2" w:rsidRDefault="00DA6D5E" w:rsidP="00E73FA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C2F3D50" w14:textId="77777777" w:rsidR="00E73FA2" w:rsidRPr="00E73FA2" w:rsidRDefault="00E73FA2" w:rsidP="00E73F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73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t-PT"/>
        </w:rPr>
        <w:lastRenderedPageBreak/>
        <w:t xml:space="preserve">SCHWERT, G. (1989). “Tests for Unit Roots: A Monte Carlo Investigation”. </w:t>
      </w:r>
      <w:proofErr w:type="spellStart"/>
      <w:r w:rsidRPr="00E73F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PT"/>
        </w:rPr>
        <w:t>Journal</w:t>
      </w:r>
      <w:proofErr w:type="spellEnd"/>
      <w:r w:rsidRPr="00E73F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PT"/>
        </w:rPr>
        <w:t xml:space="preserve"> </w:t>
      </w:r>
      <w:proofErr w:type="spellStart"/>
      <w:r w:rsidRPr="00E73F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PT"/>
        </w:rPr>
        <w:t>of</w:t>
      </w:r>
      <w:proofErr w:type="spellEnd"/>
      <w:r w:rsidRPr="00E73F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PT"/>
        </w:rPr>
        <w:t xml:space="preserve"> Business &amp; </w:t>
      </w:r>
      <w:proofErr w:type="spellStart"/>
      <w:r w:rsidRPr="00E73F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PT"/>
        </w:rPr>
        <w:t>Economic</w:t>
      </w:r>
      <w:proofErr w:type="spellEnd"/>
      <w:r w:rsidRPr="00E73F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PT"/>
        </w:rPr>
        <w:t xml:space="preserve"> </w:t>
      </w:r>
      <w:proofErr w:type="spellStart"/>
      <w:r w:rsidRPr="00E73F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PT"/>
        </w:rPr>
        <w:t>Statistics</w:t>
      </w:r>
      <w:proofErr w:type="spellEnd"/>
      <w:r w:rsidRPr="00E73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 7 (2), pp. 147-159</w:t>
      </w:r>
    </w:p>
    <w:p w14:paraId="00770CE7" w14:textId="77777777" w:rsidR="00DA6D5E" w:rsidRPr="00BF1550" w:rsidRDefault="00DA6D5E">
      <w:pPr>
        <w:rPr>
          <w:lang w:val="en-GB"/>
        </w:rPr>
      </w:pPr>
    </w:p>
    <w:sectPr w:rsidR="00DA6D5E" w:rsidRPr="00BF1550" w:rsidSect="007B692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69FA" w14:textId="77777777" w:rsidR="008309C5" w:rsidRDefault="008309C5" w:rsidP="003471D7">
      <w:pPr>
        <w:spacing w:after="0" w:line="240" w:lineRule="auto"/>
      </w:pPr>
      <w:r>
        <w:separator/>
      </w:r>
    </w:p>
  </w:endnote>
  <w:endnote w:type="continuationSeparator" w:id="0">
    <w:p w14:paraId="2109E645" w14:textId="77777777" w:rsidR="008309C5" w:rsidRDefault="008309C5" w:rsidP="0034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241633"/>
      <w:docPartObj>
        <w:docPartGallery w:val="Page Numbers (Bottom of Page)"/>
        <w:docPartUnique/>
      </w:docPartObj>
    </w:sdtPr>
    <w:sdtEndPr/>
    <w:sdtContent>
      <w:p w14:paraId="377BC435" w14:textId="32F77506" w:rsidR="003471D7" w:rsidRDefault="003471D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5DD7D3" w14:textId="77777777" w:rsidR="003471D7" w:rsidRDefault="00347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7FC5" w14:textId="77777777" w:rsidR="008309C5" w:rsidRDefault="008309C5" w:rsidP="003471D7">
      <w:pPr>
        <w:spacing w:after="0" w:line="240" w:lineRule="auto"/>
      </w:pPr>
      <w:r>
        <w:separator/>
      </w:r>
    </w:p>
  </w:footnote>
  <w:footnote w:type="continuationSeparator" w:id="0">
    <w:p w14:paraId="7E5C96F0" w14:textId="77777777" w:rsidR="008309C5" w:rsidRDefault="008309C5" w:rsidP="00347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AB"/>
    <w:rsid w:val="003471D7"/>
    <w:rsid w:val="00624122"/>
    <w:rsid w:val="00631A95"/>
    <w:rsid w:val="007B692E"/>
    <w:rsid w:val="008309C5"/>
    <w:rsid w:val="00BE71AB"/>
    <w:rsid w:val="00BF1550"/>
    <w:rsid w:val="00DA6D5E"/>
    <w:rsid w:val="00E7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69CF"/>
  <w15:chartTrackingRefBased/>
  <w15:docId w15:val="{A71A5CB9-5FCC-4EDE-8924-3547B070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50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47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471D7"/>
  </w:style>
  <w:style w:type="paragraph" w:styleId="Rodap">
    <w:name w:val="footer"/>
    <w:basedOn w:val="Normal"/>
    <w:link w:val="RodapCarter"/>
    <w:uiPriority w:val="99"/>
    <w:unhideWhenUsed/>
    <w:rsid w:val="00347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471D7"/>
  </w:style>
  <w:style w:type="character" w:styleId="Hiperligao">
    <w:name w:val="Hyperlink"/>
    <w:basedOn w:val="Tipodeletrapredefinidodopargrafo"/>
    <w:uiPriority w:val="99"/>
    <w:unhideWhenUsed/>
    <w:rsid w:val="00E73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etl.sourceforge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535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Ricardo Ferraz</cp:lastModifiedBy>
  <cp:revision>4</cp:revision>
  <dcterms:created xsi:type="dcterms:W3CDTF">2021-10-05T12:44:00Z</dcterms:created>
  <dcterms:modified xsi:type="dcterms:W3CDTF">2021-10-13T14:22:00Z</dcterms:modified>
</cp:coreProperties>
</file>