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6E6194" w14:textId="01116C4C" w:rsidR="0080623C" w:rsidRDefault="0080623C" w:rsidP="0080623C">
      <w:pPr>
        <w:pStyle w:val="Ttulo1"/>
        <w:numPr>
          <w:ilvl w:val="0"/>
          <w:numId w:val="0"/>
        </w:numPr>
        <w:spacing w:after="0" w:line="480" w:lineRule="auto"/>
        <w:ind w:left="622" w:hanging="637"/>
        <w:jc w:val="center"/>
        <w:rPr>
          <w:color w:val="auto"/>
          <w:sz w:val="28"/>
          <w:szCs w:val="28"/>
          <w:lang w:val="en-GB"/>
        </w:rPr>
      </w:pPr>
      <w:r>
        <w:rPr>
          <w:color w:val="auto"/>
          <w:sz w:val="28"/>
          <w:szCs w:val="28"/>
          <w:lang w:val="en-GB"/>
        </w:rPr>
        <w:t>APPENDIX</w:t>
      </w:r>
    </w:p>
    <w:p w14:paraId="1773D6C2" w14:textId="415560C6" w:rsidR="00286915" w:rsidRPr="00902557" w:rsidRDefault="00902557" w:rsidP="00DC15C9">
      <w:pPr>
        <w:pStyle w:val="Ttulo1"/>
        <w:numPr>
          <w:ilvl w:val="0"/>
          <w:numId w:val="0"/>
        </w:numPr>
        <w:spacing w:after="0" w:line="480" w:lineRule="auto"/>
        <w:ind w:left="622" w:hanging="637"/>
        <w:rPr>
          <w:color w:val="auto"/>
          <w:sz w:val="28"/>
          <w:szCs w:val="28"/>
          <w:lang w:val="en-GB"/>
        </w:rPr>
      </w:pPr>
      <w:r w:rsidRPr="00902557">
        <w:rPr>
          <w:color w:val="auto"/>
          <w:sz w:val="28"/>
          <w:szCs w:val="28"/>
          <w:lang w:val="en-GB"/>
        </w:rPr>
        <w:t>A</w:t>
      </w:r>
      <w:r w:rsidR="0064558D">
        <w:rPr>
          <w:color w:val="auto"/>
          <w:sz w:val="28"/>
          <w:szCs w:val="28"/>
          <w:lang w:val="en-GB"/>
        </w:rPr>
        <w:t>.</w:t>
      </w:r>
      <w:r w:rsidRPr="00902557">
        <w:rPr>
          <w:color w:val="auto"/>
          <w:sz w:val="28"/>
          <w:szCs w:val="28"/>
          <w:lang w:val="en-GB"/>
        </w:rPr>
        <w:t xml:space="preserve"> </w:t>
      </w:r>
      <w:r w:rsidR="002161AD" w:rsidRPr="00902557">
        <w:rPr>
          <w:color w:val="auto"/>
          <w:sz w:val="28"/>
          <w:szCs w:val="28"/>
          <w:lang w:val="en-GB"/>
        </w:rPr>
        <w:t xml:space="preserve">Gross and net enrolment rates in upper secondary </w:t>
      </w:r>
      <w:r w:rsidR="0074257C" w:rsidRPr="00902557">
        <w:rPr>
          <w:color w:val="auto"/>
          <w:sz w:val="28"/>
          <w:szCs w:val="28"/>
          <w:lang w:val="en-GB"/>
        </w:rPr>
        <w:t>e</w:t>
      </w:r>
      <w:r w:rsidR="002161AD" w:rsidRPr="00902557">
        <w:rPr>
          <w:color w:val="auto"/>
          <w:sz w:val="28"/>
          <w:szCs w:val="28"/>
          <w:lang w:val="en-GB"/>
        </w:rPr>
        <w:t>ducation, Brazil</w:t>
      </w:r>
    </w:p>
    <w:p w14:paraId="4924CFEE" w14:textId="2FB1D8DB" w:rsidR="00286915" w:rsidRPr="0021776B" w:rsidRDefault="002161AD" w:rsidP="0074257C">
      <w:pPr>
        <w:spacing w:line="480" w:lineRule="auto"/>
        <w:ind w:left="-5" w:right="19"/>
        <w:rPr>
          <w:color w:val="auto"/>
          <w:lang w:val="en-GB"/>
        </w:rPr>
      </w:pPr>
      <w:r w:rsidRPr="0021776B">
        <w:rPr>
          <w:color w:val="auto"/>
          <w:lang w:val="en-GB"/>
        </w:rPr>
        <w:t xml:space="preserve">Enrolment rates in </w:t>
      </w:r>
      <w:proofErr w:type="spellStart"/>
      <w:r w:rsidRPr="0021776B">
        <w:rPr>
          <w:i/>
          <w:color w:val="auto"/>
          <w:lang w:val="en-GB"/>
        </w:rPr>
        <w:t>ensino</w:t>
      </w:r>
      <w:proofErr w:type="spellEnd"/>
      <w:r w:rsidRPr="0021776B">
        <w:rPr>
          <w:i/>
          <w:color w:val="auto"/>
          <w:lang w:val="en-GB"/>
        </w:rPr>
        <w:t xml:space="preserve"> </w:t>
      </w:r>
      <w:proofErr w:type="spellStart"/>
      <w:r w:rsidRPr="0021776B">
        <w:rPr>
          <w:i/>
          <w:color w:val="auto"/>
          <w:lang w:val="en-GB"/>
        </w:rPr>
        <w:t>médio</w:t>
      </w:r>
      <w:proofErr w:type="spellEnd"/>
      <w:r w:rsidRPr="0021776B">
        <w:rPr>
          <w:i/>
          <w:color w:val="auto"/>
          <w:lang w:val="en-GB"/>
        </w:rPr>
        <w:t xml:space="preserve"> </w:t>
      </w:r>
      <w:r w:rsidRPr="0021776B">
        <w:rPr>
          <w:color w:val="auto"/>
          <w:lang w:val="en-GB"/>
        </w:rPr>
        <w:t xml:space="preserve">between 1940 and 2004 are plotted </w:t>
      </w:r>
      <w:r w:rsidR="00F40C9E">
        <w:rPr>
          <w:color w:val="auto"/>
          <w:lang w:val="en-GB"/>
        </w:rPr>
        <w:t>in</w:t>
      </w:r>
      <w:r w:rsidR="00F40C9E" w:rsidRPr="0021776B">
        <w:rPr>
          <w:color w:val="auto"/>
          <w:lang w:val="en-GB"/>
        </w:rPr>
        <w:t xml:space="preserve"> </w:t>
      </w:r>
      <w:r w:rsidRPr="0021776B">
        <w:rPr>
          <w:color w:val="auto"/>
          <w:lang w:val="en-GB"/>
        </w:rPr>
        <w:t xml:space="preserve">Figure </w:t>
      </w:r>
      <w:r w:rsidR="00D0024C">
        <w:rPr>
          <w:color w:val="auto"/>
          <w:lang w:val="en-GB"/>
        </w:rPr>
        <w:t>A1</w:t>
      </w:r>
      <w:r w:rsidRPr="0021776B">
        <w:rPr>
          <w:color w:val="auto"/>
          <w:lang w:val="en-GB"/>
        </w:rPr>
        <w:t>. The number of enrolments is almost identical compar</w:t>
      </w:r>
      <w:r w:rsidR="00F40C9E">
        <w:rPr>
          <w:color w:val="auto"/>
          <w:lang w:val="en-GB"/>
        </w:rPr>
        <w:t>ed</w:t>
      </w:r>
      <w:r w:rsidRPr="0021776B">
        <w:rPr>
          <w:color w:val="auto"/>
          <w:lang w:val="en-GB"/>
        </w:rPr>
        <w:t xml:space="preserve"> to </w:t>
      </w:r>
      <w:r w:rsidR="00427A8C" w:rsidRPr="0021776B">
        <w:rPr>
          <w:color w:val="auto"/>
          <w:lang w:val="en-GB"/>
        </w:rPr>
        <w:t xml:space="preserve">Maduro </w:t>
      </w:r>
      <w:r w:rsidRPr="0021776B">
        <w:rPr>
          <w:color w:val="auto"/>
          <w:lang w:val="en-GB"/>
        </w:rPr>
        <w:t>(Pearson correlation of 0.999) (Maduro 2007). Here</w:t>
      </w:r>
      <w:r w:rsidR="00F40C9E">
        <w:rPr>
          <w:color w:val="auto"/>
          <w:lang w:val="en-GB"/>
        </w:rPr>
        <w:t>,</w:t>
      </w:r>
      <w:r w:rsidRPr="0021776B">
        <w:rPr>
          <w:color w:val="auto"/>
          <w:lang w:val="en-GB"/>
        </w:rPr>
        <w:t xml:space="preserve"> we also kept the time span as constructed</w:t>
      </w:r>
      <w:r w:rsidR="0074257C" w:rsidRPr="0021776B">
        <w:rPr>
          <w:color w:val="auto"/>
          <w:lang w:val="en-GB"/>
        </w:rPr>
        <w:t xml:space="preserve"> </w:t>
      </w:r>
      <w:r w:rsidRPr="0021776B">
        <w:rPr>
          <w:color w:val="auto"/>
          <w:lang w:val="en-GB"/>
        </w:rPr>
        <w:t>by Maduro (until 2004) for comparisons (Maduro 2007).</w:t>
      </w:r>
    </w:p>
    <w:p w14:paraId="2449A877" w14:textId="54D90979" w:rsidR="00286915" w:rsidRDefault="002161AD" w:rsidP="0021776B">
      <w:pPr>
        <w:spacing w:line="480" w:lineRule="auto"/>
        <w:ind w:left="-15" w:right="19" w:firstLine="735"/>
        <w:rPr>
          <w:color w:val="auto"/>
          <w:lang w:val="en-GB"/>
        </w:rPr>
      </w:pPr>
      <w:r w:rsidRPr="0021776B">
        <w:rPr>
          <w:color w:val="auto"/>
          <w:lang w:val="en-GB"/>
        </w:rPr>
        <w:t xml:space="preserve">Net enrolment rates are found from 1970 onwards in the case of </w:t>
      </w:r>
      <w:proofErr w:type="spellStart"/>
      <w:r w:rsidRPr="0021776B">
        <w:rPr>
          <w:i/>
          <w:color w:val="auto"/>
          <w:lang w:val="en-GB"/>
        </w:rPr>
        <w:t>ensino</w:t>
      </w:r>
      <w:proofErr w:type="spellEnd"/>
      <w:r w:rsidRPr="0021776B">
        <w:rPr>
          <w:i/>
          <w:color w:val="auto"/>
          <w:lang w:val="en-GB"/>
        </w:rPr>
        <w:t xml:space="preserve"> </w:t>
      </w:r>
      <w:proofErr w:type="spellStart"/>
      <w:r w:rsidRPr="0021776B">
        <w:rPr>
          <w:i/>
          <w:color w:val="auto"/>
          <w:lang w:val="en-GB"/>
        </w:rPr>
        <w:t>médio</w:t>
      </w:r>
      <w:proofErr w:type="spellEnd"/>
      <w:r w:rsidRPr="0021776B">
        <w:rPr>
          <w:color w:val="auto"/>
          <w:lang w:val="en-GB"/>
        </w:rPr>
        <w:t xml:space="preserve">. In 1970, only 5 per cent of the children aged between 15 and 17 were </w:t>
      </w:r>
      <w:r w:rsidR="006220A8" w:rsidRPr="0021776B">
        <w:rPr>
          <w:color w:val="auto"/>
          <w:lang w:val="en-GB"/>
        </w:rPr>
        <w:t>enrolled</w:t>
      </w:r>
      <w:r w:rsidRPr="0021776B">
        <w:rPr>
          <w:color w:val="auto"/>
          <w:lang w:val="en-GB"/>
        </w:rPr>
        <w:t xml:space="preserve"> </w:t>
      </w:r>
      <w:r w:rsidR="00F40C9E">
        <w:rPr>
          <w:color w:val="auto"/>
          <w:lang w:val="en-GB"/>
        </w:rPr>
        <w:t>in</w:t>
      </w:r>
      <w:r w:rsidR="00F40C9E" w:rsidRPr="0021776B">
        <w:rPr>
          <w:color w:val="auto"/>
          <w:lang w:val="en-GB"/>
        </w:rPr>
        <w:t xml:space="preserve"> </w:t>
      </w:r>
      <w:r w:rsidRPr="0021776B">
        <w:rPr>
          <w:color w:val="auto"/>
          <w:lang w:val="en-GB"/>
        </w:rPr>
        <w:t xml:space="preserve">the upper secondary. Although improvements occurred, only a third of the children at this age group were in the schooling level considered adequate for their age in 2000. In 2010, this figure was around 54 per cent (Figure </w:t>
      </w:r>
      <w:r w:rsidR="00D0024C">
        <w:rPr>
          <w:color w:val="auto"/>
          <w:lang w:val="en-GB"/>
        </w:rPr>
        <w:t>A2</w:t>
      </w:r>
      <w:r w:rsidRPr="0021776B">
        <w:rPr>
          <w:color w:val="auto"/>
          <w:lang w:val="en-GB"/>
        </w:rPr>
        <w:t>).</w:t>
      </w:r>
    </w:p>
    <w:p w14:paraId="748C914D" w14:textId="77777777" w:rsidR="006C4172" w:rsidRPr="0021776B" w:rsidRDefault="006C4172" w:rsidP="0021776B">
      <w:pPr>
        <w:spacing w:line="480" w:lineRule="auto"/>
        <w:ind w:left="-15" w:right="19" w:firstLine="735"/>
        <w:rPr>
          <w:color w:val="auto"/>
          <w:lang w:val="en-GB"/>
        </w:rPr>
      </w:pPr>
    </w:p>
    <w:p w14:paraId="2C2926A0" w14:textId="68A62C25" w:rsidR="00902557" w:rsidRPr="0064558D" w:rsidRDefault="001A6D23" w:rsidP="00902557">
      <w:pPr>
        <w:spacing w:after="0" w:line="276" w:lineRule="auto"/>
        <w:ind w:left="-5" w:right="19"/>
        <w:jc w:val="center"/>
        <w:rPr>
          <w:color w:val="auto"/>
          <w:szCs w:val="24"/>
          <w:lang w:val="en-GB"/>
        </w:rPr>
      </w:pPr>
      <w:r w:rsidRPr="0064558D">
        <w:rPr>
          <w:noProof/>
          <w:color w:val="auto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4E19F2" wp14:editId="5DCC1E5F">
                <wp:simplePos x="0" y="0"/>
                <wp:positionH relativeFrom="column">
                  <wp:posOffset>4759325</wp:posOffset>
                </wp:positionH>
                <wp:positionV relativeFrom="paragraph">
                  <wp:posOffset>1450340</wp:posOffset>
                </wp:positionV>
                <wp:extent cx="206465" cy="119742"/>
                <wp:effectExtent l="0" t="0" r="22225" b="1397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65" cy="11974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56073" id="Retângulo 18" o:spid="_x0000_s1026" style="position:absolute;margin-left:374.75pt;margin-top:114.2pt;width:16.25pt;height: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" fillcolor="white [3201]" strokecolor="white [3212]" strokeweight="1pt"/>
            </w:pict>
          </mc:Fallback>
        </mc:AlternateContent>
      </w:r>
      <w:r w:rsidR="00902557" w:rsidRPr="0064558D">
        <w:rPr>
          <w:color w:val="auto"/>
          <w:szCs w:val="24"/>
          <w:lang w:val="en-GB"/>
        </w:rPr>
        <w:t xml:space="preserve">FIGURE </w:t>
      </w:r>
      <w:r w:rsidR="00D0024C" w:rsidRPr="0064558D">
        <w:rPr>
          <w:color w:val="auto"/>
          <w:szCs w:val="24"/>
          <w:lang w:val="en-GB"/>
        </w:rPr>
        <w:t>A1</w:t>
      </w:r>
    </w:p>
    <w:p w14:paraId="38D0B040" w14:textId="5D6B65D8" w:rsidR="00286915" w:rsidRPr="0064558D" w:rsidRDefault="00AD69AF" w:rsidP="00902557">
      <w:pPr>
        <w:spacing w:after="0" w:line="276" w:lineRule="auto"/>
        <w:ind w:left="-5" w:right="19"/>
        <w:jc w:val="center"/>
        <w:rPr>
          <w:color w:val="auto"/>
          <w:szCs w:val="24"/>
          <w:lang w:val="en-GB"/>
        </w:rPr>
      </w:pPr>
      <w:r w:rsidRPr="0064558D">
        <w:rPr>
          <w:color w:val="auto"/>
          <w:szCs w:val="24"/>
          <w:lang w:val="en-GB"/>
        </w:rPr>
        <w:t xml:space="preserve">Gross enrolment rates, </w:t>
      </w:r>
      <w:r w:rsidR="00922E68" w:rsidRPr="0064558D">
        <w:rPr>
          <w:color w:val="auto"/>
          <w:szCs w:val="24"/>
          <w:lang w:val="en-GB"/>
        </w:rPr>
        <w:t>new secondary education (</w:t>
      </w:r>
      <w:proofErr w:type="spellStart"/>
      <w:r w:rsidRPr="0064558D">
        <w:rPr>
          <w:i/>
          <w:color w:val="auto"/>
          <w:szCs w:val="24"/>
          <w:lang w:val="en-GB"/>
        </w:rPr>
        <w:t>ensino</w:t>
      </w:r>
      <w:proofErr w:type="spellEnd"/>
      <w:r w:rsidRPr="0064558D">
        <w:rPr>
          <w:i/>
          <w:color w:val="auto"/>
          <w:szCs w:val="24"/>
          <w:lang w:val="en-GB"/>
        </w:rPr>
        <w:t xml:space="preserve"> </w:t>
      </w:r>
      <w:proofErr w:type="spellStart"/>
      <w:r w:rsidRPr="0064558D">
        <w:rPr>
          <w:i/>
          <w:color w:val="auto"/>
          <w:szCs w:val="24"/>
          <w:lang w:val="en-GB"/>
        </w:rPr>
        <w:t>médio</w:t>
      </w:r>
      <w:proofErr w:type="spellEnd"/>
      <w:r w:rsidR="00922E68" w:rsidRPr="0064558D">
        <w:rPr>
          <w:color w:val="auto"/>
          <w:szCs w:val="24"/>
          <w:lang w:val="en-GB"/>
        </w:rPr>
        <w:t xml:space="preserve"> / </w:t>
      </w:r>
      <w:r w:rsidRPr="0064558D">
        <w:rPr>
          <w:color w:val="auto"/>
          <w:szCs w:val="24"/>
          <w:lang w:val="en-GB"/>
        </w:rPr>
        <w:t>upper secondary leve</w:t>
      </w:r>
      <w:r w:rsidR="00922E68" w:rsidRPr="0064558D">
        <w:rPr>
          <w:color w:val="auto"/>
          <w:szCs w:val="24"/>
          <w:lang w:val="en-GB"/>
        </w:rPr>
        <w:t>l - EM</w:t>
      </w:r>
      <w:r w:rsidR="0065281B" w:rsidRPr="0064558D">
        <w:rPr>
          <w:color w:val="auto"/>
          <w:szCs w:val="24"/>
          <w:lang w:val="en-GB"/>
        </w:rPr>
        <w:t xml:space="preserve">), </w:t>
      </w:r>
      <w:r w:rsidR="00002A75" w:rsidRPr="0064558D">
        <w:rPr>
          <w:color w:val="auto"/>
          <w:szCs w:val="24"/>
          <w:lang w:val="en-GB"/>
        </w:rPr>
        <w:t xml:space="preserve">Brazil, </w:t>
      </w:r>
      <w:r w:rsidR="0065281B" w:rsidRPr="0064558D">
        <w:rPr>
          <w:color w:val="auto"/>
          <w:szCs w:val="24"/>
          <w:lang w:val="en-GB"/>
        </w:rPr>
        <w:t>1933-2010</w:t>
      </w:r>
    </w:p>
    <w:p w14:paraId="5C7F3E98" w14:textId="519076BD" w:rsidR="0065281B" w:rsidRPr="0064558D" w:rsidRDefault="0064558D" w:rsidP="0021776B">
      <w:pPr>
        <w:spacing w:line="480" w:lineRule="auto"/>
        <w:ind w:left="0" w:right="19" w:firstLine="0"/>
        <w:jc w:val="center"/>
        <w:rPr>
          <w:color w:val="auto"/>
          <w:sz w:val="22"/>
          <w:lang w:val="en-GB"/>
        </w:rPr>
      </w:pPr>
      <w:r w:rsidRPr="0021776B">
        <w:rPr>
          <w:noProof/>
          <w:color w:val="auto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16BB3993" wp14:editId="2DDEE5A5">
            <wp:simplePos x="0" y="0"/>
            <wp:positionH relativeFrom="column">
              <wp:posOffset>561975</wp:posOffset>
            </wp:positionH>
            <wp:positionV relativeFrom="paragraph">
              <wp:posOffset>156845</wp:posOffset>
            </wp:positionV>
            <wp:extent cx="4672584" cy="2596896"/>
            <wp:effectExtent l="0" t="0" r="0" b="0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25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81B" w:rsidRPr="0064558D">
        <w:rPr>
          <w:color w:val="auto"/>
          <w:sz w:val="22"/>
          <w:lang w:val="en-GB"/>
        </w:rPr>
        <w:t>Source</w:t>
      </w:r>
      <w:r w:rsidR="0080623C">
        <w:rPr>
          <w:color w:val="auto"/>
          <w:sz w:val="22"/>
          <w:lang w:val="en-GB"/>
        </w:rPr>
        <w:t>s</w:t>
      </w:r>
      <w:r w:rsidR="0065281B" w:rsidRPr="0064558D">
        <w:rPr>
          <w:color w:val="auto"/>
          <w:sz w:val="22"/>
          <w:lang w:val="en-GB"/>
        </w:rPr>
        <w:t xml:space="preserve">: Maduro </w:t>
      </w:r>
      <w:r w:rsidR="0037788E" w:rsidRPr="0064558D">
        <w:rPr>
          <w:color w:val="auto"/>
          <w:sz w:val="22"/>
          <w:lang w:val="en-GB"/>
        </w:rPr>
        <w:t>(</w:t>
      </w:r>
      <w:r w:rsidR="0065281B" w:rsidRPr="0064558D">
        <w:rPr>
          <w:color w:val="auto"/>
          <w:sz w:val="22"/>
          <w:lang w:val="en-GB"/>
        </w:rPr>
        <w:t>2007</w:t>
      </w:r>
      <w:r w:rsidR="0037788E" w:rsidRPr="0064558D">
        <w:rPr>
          <w:color w:val="auto"/>
          <w:sz w:val="22"/>
          <w:lang w:val="en-GB"/>
        </w:rPr>
        <w:t>)</w:t>
      </w:r>
      <w:r w:rsidR="0065281B" w:rsidRPr="0064558D">
        <w:rPr>
          <w:color w:val="auto"/>
          <w:sz w:val="22"/>
          <w:lang w:val="en-GB"/>
        </w:rPr>
        <w:t xml:space="preserve"> and </w:t>
      </w:r>
      <w:r w:rsidR="00695B71" w:rsidRPr="0064558D">
        <w:rPr>
          <w:color w:val="auto"/>
          <w:sz w:val="22"/>
          <w:lang w:val="en-GB"/>
        </w:rPr>
        <w:t>see Section 2</w:t>
      </w:r>
      <w:r w:rsidR="0037788E" w:rsidRPr="0064558D">
        <w:rPr>
          <w:color w:val="auto"/>
          <w:sz w:val="22"/>
          <w:lang w:val="en-GB"/>
        </w:rPr>
        <w:t>.</w:t>
      </w:r>
    </w:p>
    <w:p w14:paraId="7D7823EF" w14:textId="77777777" w:rsidR="00902557" w:rsidRDefault="00902557" w:rsidP="0021776B">
      <w:pPr>
        <w:spacing w:line="480" w:lineRule="auto"/>
        <w:ind w:left="0" w:right="19" w:firstLine="0"/>
        <w:jc w:val="center"/>
        <w:rPr>
          <w:color w:val="auto"/>
          <w:sz w:val="20"/>
          <w:szCs w:val="18"/>
          <w:lang w:val="en-GB"/>
        </w:rPr>
      </w:pPr>
    </w:p>
    <w:p w14:paraId="2CBD83FA" w14:textId="77777777" w:rsidR="00902557" w:rsidRPr="0021776B" w:rsidRDefault="00902557" w:rsidP="0021776B">
      <w:pPr>
        <w:spacing w:line="480" w:lineRule="auto"/>
        <w:ind w:left="0" w:right="19" w:firstLine="0"/>
        <w:jc w:val="center"/>
        <w:rPr>
          <w:color w:val="auto"/>
          <w:lang w:val="en-GB"/>
        </w:rPr>
      </w:pPr>
    </w:p>
    <w:p w14:paraId="37E80EEE" w14:textId="464EB00F" w:rsidR="00021407" w:rsidRPr="0021776B" w:rsidRDefault="00021407">
      <w:pPr>
        <w:spacing w:after="160" w:line="259" w:lineRule="auto"/>
        <w:ind w:left="0" w:right="0" w:firstLine="0"/>
        <w:jc w:val="left"/>
        <w:rPr>
          <w:color w:val="auto"/>
          <w:sz w:val="20"/>
          <w:szCs w:val="18"/>
          <w:lang w:val="en-GB"/>
        </w:rPr>
      </w:pPr>
    </w:p>
    <w:p w14:paraId="24ABB1D2" w14:textId="2E281836" w:rsidR="00902557" w:rsidRPr="00902557" w:rsidRDefault="007F49F2" w:rsidP="0080623C">
      <w:pPr>
        <w:spacing w:after="160" w:line="259" w:lineRule="auto"/>
        <w:ind w:left="0" w:right="0" w:firstLine="0"/>
        <w:jc w:val="center"/>
        <w:rPr>
          <w:color w:val="auto"/>
          <w:szCs w:val="24"/>
          <w:lang w:val="en-GB"/>
        </w:rPr>
      </w:pPr>
      <w:r w:rsidRPr="0021776B">
        <w:rPr>
          <w:color w:val="auto"/>
          <w:sz w:val="20"/>
          <w:szCs w:val="18"/>
          <w:lang w:val="en-GB"/>
        </w:rPr>
        <w:br w:type="page"/>
      </w:r>
      <w:r w:rsidR="00902557" w:rsidRPr="00902557">
        <w:rPr>
          <w:color w:val="auto"/>
          <w:szCs w:val="24"/>
          <w:lang w:val="en-GB"/>
        </w:rPr>
        <w:lastRenderedPageBreak/>
        <w:t xml:space="preserve">FIGURE </w:t>
      </w:r>
      <w:r w:rsidR="00D0024C" w:rsidRPr="00902557">
        <w:rPr>
          <w:color w:val="auto"/>
          <w:szCs w:val="24"/>
          <w:lang w:val="en-GB"/>
        </w:rPr>
        <w:t>A2</w:t>
      </w:r>
    </w:p>
    <w:p w14:paraId="0C479ADB" w14:textId="69D179D0" w:rsidR="00AD69AF" w:rsidRDefault="00AD69AF" w:rsidP="00902557">
      <w:pPr>
        <w:spacing w:after="0" w:line="276" w:lineRule="auto"/>
        <w:ind w:left="-5" w:right="19"/>
        <w:jc w:val="center"/>
        <w:rPr>
          <w:color w:val="auto"/>
          <w:szCs w:val="24"/>
          <w:lang w:val="en-GB"/>
        </w:rPr>
      </w:pPr>
      <w:r w:rsidRPr="00902557">
        <w:rPr>
          <w:color w:val="auto"/>
          <w:szCs w:val="24"/>
          <w:lang w:val="en-GB"/>
        </w:rPr>
        <w:t xml:space="preserve">Net and gross enrolment rates, </w:t>
      </w:r>
      <w:proofErr w:type="spellStart"/>
      <w:r w:rsidRPr="00902557">
        <w:rPr>
          <w:i/>
          <w:color w:val="auto"/>
          <w:szCs w:val="24"/>
          <w:lang w:val="en-GB"/>
        </w:rPr>
        <w:t>ensino</w:t>
      </w:r>
      <w:proofErr w:type="spellEnd"/>
      <w:r w:rsidRPr="00902557">
        <w:rPr>
          <w:i/>
          <w:color w:val="auto"/>
          <w:szCs w:val="24"/>
          <w:lang w:val="en-GB"/>
        </w:rPr>
        <w:t xml:space="preserve"> </w:t>
      </w:r>
      <w:proofErr w:type="spellStart"/>
      <w:r w:rsidRPr="00902557">
        <w:rPr>
          <w:i/>
          <w:color w:val="auto"/>
          <w:szCs w:val="24"/>
          <w:lang w:val="en-GB"/>
        </w:rPr>
        <w:t>médio</w:t>
      </w:r>
      <w:proofErr w:type="spellEnd"/>
      <w:r w:rsidRPr="00902557">
        <w:rPr>
          <w:i/>
          <w:color w:val="auto"/>
          <w:szCs w:val="24"/>
          <w:lang w:val="en-GB"/>
        </w:rPr>
        <w:t xml:space="preserve"> </w:t>
      </w:r>
      <w:r w:rsidRPr="00902557">
        <w:rPr>
          <w:color w:val="auto"/>
          <w:szCs w:val="24"/>
          <w:lang w:val="en-GB"/>
        </w:rPr>
        <w:t xml:space="preserve">(upper secondary level), </w:t>
      </w:r>
      <w:r w:rsidR="0065281B" w:rsidRPr="00902557">
        <w:rPr>
          <w:color w:val="auto"/>
          <w:szCs w:val="24"/>
          <w:lang w:val="en-GB"/>
        </w:rPr>
        <w:t>Brazil</w:t>
      </w:r>
      <w:r w:rsidR="00922E68" w:rsidRPr="00902557">
        <w:rPr>
          <w:color w:val="auto"/>
          <w:szCs w:val="24"/>
          <w:lang w:val="en-GB"/>
        </w:rPr>
        <w:t>, 1981-2006</w:t>
      </w:r>
    </w:p>
    <w:p w14:paraId="310F1F1B" w14:textId="77777777" w:rsidR="00902557" w:rsidRPr="00902557" w:rsidRDefault="00902557" w:rsidP="00902557">
      <w:pPr>
        <w:spacing w:after="0" w:line="276" w:lineRule="auto"/>
        <w:ind w:left="-5" w:right="19"/>
        <w:jc w:val="center"/>
        <w:rPr>
          <w:color w:val="auto"/>
          <w:szCs w:val="24"/>
          <w:lang w:val="en-GB"/>
        </w:rPr>
      </w:pPr>
    </w:p>
    <w:p w14:paraId="00E8E030" w14:textId="553D123B" w:rsidR="00286915" w:rsidRPr="0021776B" w:rsidRDefault="0065281B" w:rsidP="0021776B">
      <w:pPr>
        <w:spacing w:after="209" w:line="480" w:lineRule="auto"/>
        <w:ind w:left="307" w:right="0" w:firstLine="0"/>
        <w:jc w:val="center"/>
        <w:rPr>
          <w:color w:val="auto"/>
          <w:lang w:val="en-GB"/>
        </w:rPr>
      </w:pPr>
      <w:r w:rsidRPr="0021776B">
        <w:rPr>
          <w:noProof/>
          <w:color w:val="auto"/>
          <w:lang w:val="es-ES" w:eastAsia="es-ES"/>
        </w:rPr>
        <w:drawing>
          <wp:inline distT="0" distB="0" distL="0" distR="0" wp14:anchorId="5B9E1917" wp14:editId="3C1F8F74">
            <wp:extent cx="4822702" cy="2679278"/>
            <wp:effectExtent l="0" t="0" r="0" b="127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702" cy="267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CA22A" w14:textId="5335AA81" w:rsidR="0065281B" w:rsidRPr="0021776B" w:rsidRDefault="0065281B" w:rsidP="0021776B">
      <w:pPr>
        <w:spacing w:after="426" w:line="480" w:lineRule="auto"/>
        <w:ind w:left="-5" w:right="19"/>
        <w:jc w:val="center"/>
        <w:rPr>
          <w:color w:val="auto"/>
          <w:lang w:val="en-GB"/>
        </w:rPr>
      </w:pPr>
      <w:r w:rsidRPr="0021776B">
        <w:rPr>
          <w:color w:val="auto"/>
          <w:sz w:val="20"/>
          <w:szCs w:val="18"/>
          <w:lang w:val="en-GB"/>
        </w:rPr>
        <w:t>Source</w:t>
      </w:r>
      <w:r w:rsidR="0080623C">
        <w:rPr>
          <w:color w:val="auto"/>
          <w:sz w:val="20"/>
          <w:szCs w:val="18"/>
          <w:lang w:val="en-GB"/>
        </w:rPr>
        <w:t>s</w:t>
      </w:r>
      <w:r w:rsidRPr="0021776B">
        <w:rPr>
          <w:color w:val="auto"/>
          <w:sz w:val="20"/>
          <w:szCs w:val="18"/>
          <w:lang w:val="en-GB"/>
        </w:rPr>
        <w:t xml:space="preserve">: </w:t>
      </w:r>
      <w:r w:rsidR="00695B71" w:rsidRPr="001A6D23">
        <w:rPr>
          <w:color w:val="auto"/>
          <w:sz w:val="20"/>
          <w:szCs w:val="18"/>
          <w:lang w:val="en-GB"/>
        </w:rPr>
        <w:t>see Section 2.</w:t>
      </w:r>
    </w:p>
    <w:p w14:paraId="1D46EB59" w14:textId="4FAF2CD6" w:rsidR="00002A75" w:rsidRPr="00902557" w:rsidRDefault="00902557" w:rsidP="00002A75">
      <w:pPr>
        <w:pStyle w:val="Ttulo1"/>
        <w:numPr>
          <w:ilvl w:val="0"/>
          <w:numId w:val="0"/>
        </w:numPr>
        <w:tabs>
          <w:tab w:val="center" w:pos="3701"/>
        </w:tabs>
        <w:spacing w:line="480" w:lineRule="auto"/>
        <w:ind w:left="-15"/>
        <w:rPr>
          <w:color w:val="auto"/>
          <w:sz w:val="28"/>
          <w:szCs w:val="28"/>
          <w:lang w:val="en-GB"/>
        </w:rPr>
      </w:pPr>
      <w:r w:rsidRPr="00902557">
        <w:rPr>
          <w:color w:val="auto"/>
          <w:sz w:val="28"/>
          <w:szCs w:val="28"/>
          <w:lang w:val="en-GB"/>
        </w:rPr>
        <w:t>B</w:t>
      </w:r>
      <w:r w:rsidR="006C4172">
        <w:rPr>
          <w:color w:val="auto"/>
          <w:sz w:val="28"/>
          <w:szCs w:val="28"/>
          <w:lang w:val="en-GB"/>
        </w:rPr>
        <w:t>.</w:t>
      </w:r>
      <w:r w:rsidRPr="00902557">
        <w:rPr>
          <w:color w:val="auto"/>
          <w:sz w:val="28"/>
          <w:szCs w:val="28"/>
          <w:lang w:val="en-GB"/>
        </w:rPr>
        <w:t xml:space="preserve"> </w:t>
      </w:r>
      <w:r w:rsidR="00002A75" w:rsidRPr="00902557">
        <w:rPr>
          <w:color w:val="auto"/>
          <w:sz w:val="28"/>
          <w:szCs w:val="28"/>
          <w:lang w:val="en-GB"/>
        </w:rPr>
        <w:t>GDR in Brazilian states, 1960-2000</w:t>
      </w:r>
    </w:p>
    <w:p w14:paraId="44BF69C8" w14:textId="4DDCA85A" w:rsidR="00002A75" w:rsidRPr="0080623C" w:rsidRDefault="00002A75" w:rsidP="00002A75">
      <w:pPr>
        <w:spacing w:line="480" w:lineRule="auto"/>
        <w:ind w:left="-5" w:right="19"/>
        <w:rPr>
          <w:color w:val="auto"/>
          <w:lang w:val="en-GB"/>
        </w:rPr>
      </w:pPr>
      <w:r w:rsidRPr="0021776B">
        <w:rPr>
          <w:color w:val="auto"/>
          <w:lang w:val="en-GB"/>
        </w:rPr>
        <w:t>GDR in Brazil demand</w:t>
      </w:r>
      <w:r w:rsidR="00F40C9E">
        <w:rPr>
          <w:color w:val="auto"/>
          <w:lang w:val="en-GB"/>
        </w:rPr>
        <w:t>s</w:t>
      </w:r>
      <w:r w:rsidRPr="0021776B">
        <w:rPr>
          <w:color w:val="auto"/>
          <w:lang w:val="en-GB"/>
        </w:rPr>
        <w:t xml:space="preserve"> special attention. In 1960</w:t>
      </w:r>
      <w:r w:rsidR="00F40C9E">
        <w:rPr>
          <w:color w:val="auto"/>
          <w:lang w:val="en-GB"/>
        </w:rPr>
        <w:t>,</w:t>
      </w:r>
      <w:r w:rsidRPr="0021776B">
        <w:rPr>
          <w:color w:val="auto"/>
          <w:lang w:val="en-GB"/>
        </w:rPr>
        <w:t xml:space="preserve"> the Latin American GDR was 0.41. Caribbean islands such as Trinidad y Tobago, Guyana and Barbados presented GDR above 0.80. Among Latin American countries, Argentina (0.63), Uruguay (0.58) and Panama (0.57) stood out (Frankema 2009). On the other hand, Brazil presented a GDR of 0.19 according to our dataset (Frankema found an even lower GDR: 0.17 in 1960). This index was comparable </w:t>
      </w:r>
      <w:r w:rsidRPr="0080623C">
        <w:rPr>
          <w:color w:val="auto"/>
          <w:lang w:val="en-GB"/>
        </w:rPr>
        <w:t xml:space="preserve">only to countries such as Nicaragua (0.18), Honduras (0.20) and Colombia (0.20). The first grid </w:t>
      </w:r>
      <w:r w:rsidR="00F40C9E" w:rsidRPr="0080623C">
        <w:rPr>
          <w:color w:val="auto"/>
          <w:lang w:val="en-GB"/>
        </w:rPr>
        <w:t xml:space="preserve">in </w:t>
      </w:r>
      <w:r w:rsidRPr="0080623C">
        <w:rPr>
          <w:color w:val="auto"/>
          <w:lang w:val="en-GB"/>
        </w:rPr>
        <w:t xml:space="preserve">Figure 15 </w:t>
      </w:r>
      <w:r w:rsidR="00DE33AA" w:rsidRPr="0080623C">
        <w:rPr>
          <w:color w:val="auto"/>
          <w:lang w:val="en-GB"/>
        </w:rPr>
        <w:t>illustrates this</w:t>
      </w:r>
      <w:r w:rsidR="00B61FE2" w:rsidRPr="0080623C">
        <w:rPr>
          <w:color w:val="auto"/>
          <w:lang w:val="en-GB"/>
        </w:rPr>
        <w:t>;</w:t>
      </w:r>
      <w:r w:rsidRPr="0080623C">
        <w:rPr>
          <w:color w:val="auto"/>
          <w:lang w:val="en-GB"/>
        </w:rPr>
        <w:t xml:space="preserve"> Brazilian GDR was comparatively low</w:t>
      </w:r>
      <w:r w:rsidR="00F40C9E" w:rsidRPr="0080623C">
        <w:rPr>
          <w:color w:val="auto"/>
          <w:lang w:val="en-GB"/>
        </w:rPr>
        <w:t>,</w:t>
      </w:r>
      <w:r w:rsidRPr="0080623C">
        <w:rPr>
          <w:color w:val="auto"/>
          <w:lang w:val="en-GB"/>
        </w:rPr>
        <w:t xml:space="preserve"> </w:t>
      </w:r>
      <w:r w:rsidR="00F40C9E" w:rsidRPr="0080623C">
        <w:rPr>
          <w:color w:val="auto"/>
          <w:lang w:val="en-GB"/>
        </w:rPr>
        <w:t>considering</w:t>
      </w:r>
      <w:r w:rsidRPr="0080623C">
        <w:rPr>
          <w:color w:val="auto"/>
          <w:lang w:val="en-GB"/>
        </w:rPr>
        <w:t xml:space="preserve"> Latin American standards.</w:t>
      </w:r>
    </w:p>
    <w:p w14:paraId="1759A0C8" w14:textId="23C7836D" w:rsidR="0074257C" w:rsidRPr="0080623C" w:rsidRDefault="002161AD" w:rsidP="0021776B">
      <w:pPr>
        <w:spacing w:after="191" w:line="480" w:lineRule="auto"/>
        <w:ind w:left="-5" w:right="19" w:firstLine="725"/>
        <w:rPr>
          <w:color w:val="auto"/>
          <w:lang w:val="en-GB"/>
        </w:rPr>
      </w:pPr>
      <w:r w:rsidRPr="0080623C">
        <w:rPr>
          <w:color w:val="auto"/>
          <w:lang w:val="en-GB"/>
        </w:rPr>
        <w:t xml:space="preserve">Applying GDR </w:t>
      </w:r>
      <w:r w:rsidR="00F40C9E" w:rsidRPr="0080623C">
        <w:rPr>
          <w:color w:val="auto"/>
          <w:lang w:val="en-GB"/>
        </w:rPr>
        <w:t xml:space="preserve">to </w:t>
      </w:r>
      <w:r w:rsidRPr="0080623C">
        <w:rPr>
          <w:color w:val="auto"/>
          <w:lang w:val="en-GB"/>
        </w:rPr>
        <w:t>Brazilian regions and states show</w:t>
      </w:r>
      <w:r w:rsidR="00B61FE2" w:rsidRPr="0080623C">
        <w:rPr>
          <w:color w:val="auto"/>
          <w:lang w:val="en-GB"/>
        </w:rPr>
        <w:t>s</w:t>
      </w:r>
      <w:r w:rsidRPr="0080623C">
        <w:rPr>
          <w:color w:val="auto"/>
          <w:lang w:val="en-GB"/>
        </w:rPr>
        <w:t xml:space="preserve"> that the </w:t>
      </w:r>
      <w:r w:rsidRPr="0021776B">
        <w:rPr>
          <w:color w:val="auto"/>
          <w:lang w:val="en-GB"/>
        </w:rPr>
        <w:t>situation was even worse.</w:t>
      </w:r>
      <w:r w:rsidR="006A4EC0">
        <w:rPr>
          <w:color w:val="auto"/>
          <w:lang w:val="en-GB"/>
        </w:rPr>
        <w:t xml:space="preserve"> </w:t>
      </w:r>
      <w:r w:rsidRPr="0021776B">
        <w:rPr>
          <w:color w:val="auto"/>
          <w:lang w:val="en-GB"/>
        </w:rPr>
        <w:t xml:space="preserve">In </w:t>
      </w:r>
      <w:r w:rsidRPr="0080623C">
        <w:rPr>
          <w:color w:val="auto"/>
          <w:lang w:val="en-GB"/>
        </w:rPr>
        <w:t xml:space="preserve">1960, </w:t>
      </w:r>
      <w:r w:rsidR="00B61FE2" w:rsidRPr="0080623C">
        <w:rPr>
          <w:color w:val="auto"/>
          <w:lang w:val="en-GB"/>
        </w:rPr>
        <w:t xml:space="preserve">the </w:t>
      </w:r>
      <w:r w:rsidR="00AD1EEF" w:rsidRPr="0080623C">
        <w:rPr>
          <w:color w:val="auto"/>
          <w:lang w:val="en-GB"/>
        </w:rPr>
        <w:t>North and</w:t>
      </w:r>
      <w:r w:rsidR="00B61FE2" w:rsidRPr="0080623C">
        <w:rPr>
          <w:color w:val="auto"/>
          <w:lang w:val="en-GB"/>
        </w:rPr>
        <w:t xml:space="preserve"> the</w:t>
      </w:r>
      <w:r w:rsidR="00AD1EEF" w:rsidRPr="0080623C">
        <w:rPr>
          <w:color w:val="auto"/>
          <w:lang w:val="en-GB"/>
        </w:rPr>
        <w:t xml:space="preserve"> North</w:t>
      </w:r>
      <w:r w:rsidR="00B61FE2" w:rsidRPr="0080623C">
        <w:rPr>
          <w:color w:val="auto"/>
          <w:lang w:val="en-GB"/>
        </w:rPr>
        <w:t>e</w:t>
      </w:r>
      <w:r w:rsidR="00AD1EEF" w:rsidRPr="0080623C">
        <w:rPr>
          <w:color w:val="auto"/>
          <w:lang w:val="en-GB"/>
        </w:rPr>
        <w:t>ast</w:t>
      </w:r>
      <w:r w:rsidRPr="0080623C">
        <w:rPr>
          <w:i/>
          <w:color w:val="auto"/>
          <w:lang w:val="en-GB"/>
        </w:rPr>
        <w:t xml:space="preserve"> </w:t>
      </w:r>
      <w:r w:rsidR="00F40C9E" w:rsidRPr="0080623C">
        <w:rPr>
          <w:i/>
          <w:color w:val="auto"/>
          <w:lang w:val="en-GB"/>
        </w:rPr>
        <w:t>both</w:t>
      </w:r>
      <w:r w:rsidR="00F40C9E" w:rsidRPr="0080623C">
        <w:rPr>
          <w:color w:val="auto"/>
          <w:lang w:val="en-GB"/>
        </w:rPr>
        <w:t xml:space="preserve"> </w:t>
      </w:r>
      <w:r w:rsidRPr="0021776B">
        <w:rPr>
          <w:color w:val="auto"/>
          <w:lang w:val="en-GB"/>
        </w:rPr>
        <w:t>had</w:t>
      </w:r>
      <w:r w:rsidR="00AD1EEF" w:rsidRPr="0021776B">
        <w:rPr>
          <w:color w:val="auto"/>
          <w:lang w:val="en-GB"/>
        </w:rPr>
        <w:t xml:space="preserve"> </w:t>
      </w:r>
      <w:r w:rsidRPr="0021776B">
        <w:rPr>
          <w:color w:val="auto"/>
          <w:lang w:val="en-GB"/>
        </w:rPr>
        <w:t xml:space="preserve">a GDR of 0.13, </w:t>
      </w:r>
      <w:r w:rsidR="00F40C9E">
        <w:rPr>
          <w:color w:val="auto"/>
          <w:lang w:val="en-GB"/>
        </w:rPr>
        <w:t>which is</w:t>
      </w:r>
      <w:r w:rsidRPr="0021776B">
        <w:rPr>
          <w:color w:val="auto"/>
          <w:lang w:val="en-GB"/>
        </w:rPr>
        <w:t xml:space="preserve"> lower than any other small Central American country according to </w:t>
      </w:r>
      <w:proofErr w:type="spellStart"/>
      <w:r w:rsidR="00427A8C" w:rsidRPr="0021776B">
        <w:rPr>
          <w:color w:val="auto"/>
          <w:lang w:val="en-GB"/>
        </w:rPr>
        <w:t>Frankema</w:t>
      </w:r>
      <w:r w:rsidR="00427A8C">
        <w:rPr>
          <w:color w:val="auto"/>
          <w:lang w:val="en-GB"/>
        </w:rPr>
        <w:t>'</w:t>
      </w:r>
      <w:r w:rsidR="00427A8C" w:rsidRPr="0021776B">
        <w:rPr>
          <w:color w:val="auto"/>
          <w:lang w:val="en-GB"/>
        </w:rPr>
        <w:t>s</w:t>
      </w:r>
      <w:proofErr w:type="spellEnd"/>
      <w:r w:rsidR="00427A8C" w:rsidRPr="0021776B">
        <w:rPr>
          <w:color w:val="auto"/>
          <w:lang w:val="en-GB"/>
        </w:rPr>
        <w:t xml:space="preserve"> </w:t>
      </w:r>
      <w:r w:rsidRPr="0021776B">
        <w:rPr>
          <w:color w:val="auto"/>
          <w:lang w:val="en-GB"/>
        </w:rPr>
        <w:t xml:space="preserve">dataset. </w:t>
      </w:r>
      <w:r w:rsidRPr="0080623C">
        <w:rPr>
          <w:color w:val="auto"/>
          <w:lang w:val="en-GB"/>
        </w:rPr>
        <w:t>The industrial</w:t>
      </w:r>
      <w:r w:rsidR="00AD1EEF" w:rsidRPr="0080623C">
        <w:rPr>
          <w:color w:val="auto"/>
          <w:lang w:val="en-GB"/>
        </w:rPr>
        <w:t xml:space="preserve"> South</w:t>
      </w:r>
      <w:r w:rsidR="00B61FE2" w:rsidRPr="0080623C">
        <w:rPr>
          <w:color w:val="auto"/>
          <w:lang w:val="en-GB"/>
        </w:rPr>
        <w:t>e</w:t>
      </w:r>
      <w:r w:rsidR="00AD1EEF" w:rsidRPr="0080623C">
        <w:rPr>
          <w:color w:val="auto"/>
          <w:lang w:val="en-GB"/>
        </w:rPr>
        <w:t>ast</w:t>
      </w:r>
      <w:r w:rsidRPr="0080623C">
        <w:rPr>
          <w:i/>
          <w:color w:val="auto"/>
          <w:lang w:val="en-GB"/>
        </w:rPr>
        <w:t xml:space="preserve"> </w:t>
      </w:r>
      <w:r w:rsidRPr="0080623C">
        <w:rPr>
          <w:color w:val="auto"/>
          <w:lang w:val="en-GB"/>
        </w:rPr>
        <w:t xml:space="preserve">presented a less unbalanced pattern of enrolment across grades (0.23), close to the result </w:t>
      </w:r>
      <w:r w:rsidRPr="0080623C">
        <w:rPr>
          <w:color w:val="auto"/>
          <w:lang w:val="en-GB"/>
        </w:rPr>
        <w:lastRenderedPageBreak/>
        <w:t xml:space="preserve">presented by the Dominican Republic (0.24) but far from the results of </w:t>
      </w:r>
      <w:r w:rsidR="00AD1EEF" w:rsidRPr="0080623C">
        <w:rPr>
          <w:color w:val="auto"/>
          <w:lang w:val="en-GB"/>
        </w:rPr>
        <w:t>neighbouring</w:t>
      </w:r>
      <w:r w:rsidRPr="0080623C">
        <w:rPr>
          <w:color w:val="auto"/>
          <w:lang w:val="en-GB"/>
        </w:rPr>
        <w:t xml:space="preserve"> countries such as Uruguay (0.58) and Argentina (0.63). </w:t>
      </w:r>
      <w:r w:rsidR="00F40C9E" w:rsidRPr="0080623C">
        <w:rPr>
          <w:color w:val="auto"/>
          <w:lang w:val="en-GB"/>
        </w:rPr>
        <w:t>Hence, i</w:t>
      </w:r>
      <w:r w:rsidRPr="0080623C">
        <w:rPr>
          <w:color w:val="auto"/>
          <w:lang w:val="en-GB"/>
        </w:rPr>
        <w:t xml:space="preserve">t becomes clear how unequal </w:t>
      </w:r>
      <w:r w:rsidR="00F40C9E" w:rsidRPr="0080623C">
        <w:rPr>
          <w:color w:val="auto"/>
          <w:lang w:val="en-GB"/>
        </w:rPr>
        <w:t xml:space="preserve">schooling was in different parts of Brazil since GDR </w:t>
      </w:r>
      <w:r w:rsidR="0088636B" w:rsidRPr="0080623C">
        <w:rPr>
          <w:color w:val="auto"/>
          <w:lang w:val="en-GB"/>
        </w:rPr>
        <w:t>in most states was lower</w:t>
      </w:r>
      <w:r w:rsidR="00F40C9E" w:rsidRPr="0080623C">
        <w:rPr>
          <w:color w:val="auto"/>
          <w:lang w:val="en-GB"/>
        </w:rPr>
        <w:t xml:space="preserve"> than </w:t>
      </w:r>
      <w:r w:rsidRPr="0080623C">
        <w:rPr>
          <w:color w:val="auto"/>
          <w:lang w:val="en-GB"/>
        </w:rPr>
        <w:t xml:space="preserve">almost all Latin American countries. The </w:t>
      </w:r>
      <w:r w:rsidR="00F40C9E" w:rsidRPr="0080623C">
        <w:rPr>
          <w:color w:val="auto"/>
          <w:lang w:val="en-GB"/>
        </w:rPr>
        <w:t xml:space="preserve">wealthier </w:t>
      </w:r>
      <w:r w:rsidRPr="0080623C">
        <w:rPr>
          <w:color w:val="auto"/>
          <w:lang w:val="en-GB"/>
        </w:rPr>
        <w:t xml:space="preserve">states of São Paulo and Rio de Janeiro in the </w:t>
      </w:r>
      <w:r w:rsidR="00461246" w:rsidRPr="0080623C">
        <w:rPr>
          <w:color w:val="auto"/>
          <w:lang w:val="en-GB"/>
        </w:rPr>
        <w:t>South</w:t>
      </w:r>
      <w:r w:rsidR="009579BF" w:rsidRPr="0080623C">
        <w:rPr>
          <w:color w:val="auto"/>
          <w:lang w:val="en-GB"/>
        </w:rPr>
        <w:t>e</w:t>
      </w:r>
      <w:r w:rsidR="00461246" w:rsidRPr="0080623C">
        <w:rPr>
          <w:color w:val="auto"/>
          <w:lang w:val="en-GB"/>
        </w:rPr>
        <w:t>ast</w:t>
      </w:r>
      <w:r w:rsidRPr="0080623C">
        <w:rPr>
          <w:color w:val="auto"/>
          <w:lang w:val="en-GB"/>
        </w:rPr>
        <w:t xml:space="preserve"> region presented relatively better indicators. The </w:t>
      </w:r>
      <w:r w:rsidR="00F40C9E" w:rsidRPr="0080623C">
        <w:rPr>
          <w:color w:val="auto"/>
          <w:lang w:val="en-GB"/>
        </w:rPr>
        <w:t>backward situation</w:t>
      </w:r>
      <w:r w:rsidR="00B47C3F" w:rsidRPr="0080623C">
        <w:rPr>
          <w:color w:val="auto"/>
          <w:lang w:val="en-GB"/>
        </w:rPr>
        <w:t xml:space="preserve"> in the Northeast</w:t>
      </w:r>
      <w:r w:rsidRPr="0080623C">
        <w:rPr>
          <w:color w:val="auto"/>
          <w:lang w:val="en-GB"/>
        </w:rPr>
        <w:t xml:space="preserve"> becomes </w:t>
      </w:r>
      <w:r w:rsidR="00F40C9E" w:rsidRPr="0080623C">
        <w:rPr>
          <w:color w:val="auto"/>
          <w:lang w:val="en-GB"/>
        </w:rPr>
        <w:t xml:space="preserve">clear </w:t>
      </w:r>
      <w:r w:rsidRPr="0080623C">
        <w:rPr>
          <w:color w:val="auto"/>
          <w:lang w:val="en-GB"/>
        </w:rPr>
        <w:t xml:space="preserve">in Figure </w:t>
      </w:r>
      <w:r w:rsidR="008204EB" w:rsidRPr="0080623C">
        <w:rPr>
          <w:color w:val="auto"/>
          <w:lang w:val="en-GB"/>
        </w:rPr>
        <w:t>7</w:t>
      </w:r>
      <w:r w:rsidRPr="0080623C">
        <w:rPr>
          <w:color w:val="auto"/>
          <w:lang w:val="en-GB"/>
        </w:rPr>
        <w:t xml:space="preserve">, which shows the distribution of enrolments by the eight grades of </w:t>
      </w:r>
      <w:r w:rsidR="00686561" w:rsidRPr="0080623C">
        <w:rPr>
          <w:iCs/>
          <w:color w:val="auto"/>
          <w:lang w:val="en-GB"/>
        </w:rPr>
        <w:t>the new primary education</w:t>
      </w:r>
      <w:r w:rsidRPr="0080623C">
        <w:rPr>
          <w:i/>
          <w:color w:val="auto"/>
          <w:lang w:val="en-GB"/>
        </w:rPr>
        <w:t xml:space="preserve"> </w:t>
      </w:r>
      <w:r w:rsidRPr="0080623C">
        <w:rPr>
          <w:color w:val="auto"/>
          <w:lang w:val="en-GB"/>
        </w:rPr>
        <w:t xml:space="preserve">in </w:t>
      </w:r>
      <w:r w:rsidR="008F198A" w:rsidRPr="0080623C">
        <w:rPr>
          <w:color w:val="auto"/>
          <w:lang w:val="en-GB"/>
        </w:rPr>
        <w:t xml:space="preserve">the </w:t>
      </w:r>
      <w:r w:rsidR="00AD1EEF" w:rsidRPr="0080623C">
        <w:rPr>
          <w:color w:val="auto"/>
          <w:lang w:val="en-GB"/>
        </w:rPr>
        <w:t>North</w:t>
      </w:r>
      <w:r w:rsidR="008F198A" w:rsidRPr="0080623C">
        <w:rPr>
          <w:color w:val="auto"/>
          <w:lang w:val="en-GB"/>
        </w:rPr>
        <w:t>e</w:t>
      </w:r>
      <w:r w:rsidR="00AD1EEF" w:rsidRPr="0080623C">
        <w:rPr>
          <w:color w:val="auto"/>
          <w:lang w:val="en-GB"/>
        </w:rPr>
        <w:t xml:space="preserve">ast </w:t>
      </w:r>
      <w:r w:rsidRPr="0080623C">
        <w:rPr>
          <w:color w:val="auto"/>
          <w:lang w:val="en-GB"/>
        </w:rPr>
        <w:t xml:space="preserve">and </w:t>
      </w:r>
      <w:r w:rsidR="008F198A" w:rsidRPr="0080623C">
        <w:rPr>
          <w:color w:val="auto"/>
          <w:lang w:val="en-GB"/>
        </w:rPr>
        <w:t xml:space="preserve">the </w:t>
      </w:r>
      <w:r w:rsidR="00AD1EEF" w:rsidRPr="0080623C">
        <w:rPr>
          <w:color w:val="auto"/>
          <w:lang w:val="en-GB"/>
        </w:rPr>
        <w:t>South</w:t>
      </w:r>
      <w:r w:rsidR="008F198A" w:rsidRPr="0080623C">
        <w:rPr>
          <w:color w:val="auto"/>
          <w:lang w:val="en-GB"/>
        </w:rPr>
        <w:t>e</w:t>
      </w:r>
      <w:r w:rsidR="00AD1EEF" w:rsidRPr="0080623C">
        <w:rPr>
          <w:color w:val="auto"/>
          <w:lang w:val="en-GB"/>
        </w:rPr>
        <w:t>ast</w:t>
      </w:r>
      <w:r w:rsidRPr="0080623C">
        <w:rPr>
          <w:color w:val="auto"/>
          <w:lang w:val="en-GB"/>
        </w:rPr>
        <w:t xml:space="preserve"> in 1960. Although the </w:t>
      </w:r>
      <w:r w:rsidR="00AD1EEF" w:rsidRPr="0080623C">
        <w:rPr>
          <w:color w:val="auto"/>
          <w:lang w:val="en-GB"/>
        </w:rPr>
        <w:t>South</w:t>
      </w:r>
      <w:r w:rsidR="008F198A" w:rsidRPr="0080623C">
        <w:rPr>
          <w:color w:val="auto"/>
          <w:lang w:val="en-GB"/>
        </w:rPr>
        <w:t>e</w:t>
      </w:r>
      <w:r w:rsidR="00AD1EEF" w:rsidRPr="0080623C">
        <w:rPr>
          <w:color w:val="auto"/>
          <w:lang w:val="en-GB"/>
        </w:rPr>
        <w:t xml:space="preserve">ast’s </w:t>
      </w:r>
      <w:r w:rsidRPr="0080623C">
        <w:rPr>
          <w:color w:val="auto"/>
          <w:lang w:val="en-GB"/>
        </w:rPr>
        <w:t>results were already worr</w:t>
      </w:r>
      <w:r w:rsidR="00F21EE7" w:rsidRPr="0080623C">
        <w:rPr>
          <w:color w:val="auto"/>
          <w:lang w:val="en-GB"/>
        </w:rPr>
        <w:t>ying</w:t>
      </w:r>
      <w:r w:rsidRPr="0080623C">
        <w:rPr>
          <w:color w:val="auto"/>
          <w:lang w:val="en-GB"/>
        </w:rPr>
        <w:t xml:space="preserve">, 60 per cent of </w:t>
      </w:r>
      <w:r w:rsidR="00F40C9E" w:rsidRPr="0080623C">
        <w:rPr>
          <w:color w:val="auto"/>
          <w:lang w:val="en-GB"/>
        </w:rPr>
        <w:t>pupils</w:t>
      </w:r>
      <w:r w:rsidR="00AA4D43" w:rsidRPr="0080623C">
        <w:rPr>
          <w:color w:val="auto"/>
          <w:lang w:val="en-GB"/>
        </w:rPr>
        <w:t xml:space="preserve"> in the </w:t>
      </w:r>
      <w:r w:rsidR="00AA4D43" w:rsidRPr="0080623C">
        <w:rPr>
          <w:iCs/>
          <w:color w:val="auto"/>
          <w:lang w:val="en-GB"/>
        </w:rPr>
        <w:t>new primary education</w:t>
      </w:r>
      <w:r w:rsidRPr="0080623C">
        <w:rPr>
          <w:i/>
          <w:color w:val="auto"/>
          <w:lang w:val="en-GB"/>
        </w:rPr>
        <w:t xml:space="preserve"> </w:t>
      </w:r>
      <w:r w:rsidRPr="0080623C">
        <w:rPr>
          <w:color w:val="auto"/>
          <w:lang w:val="en-GB"/>
        </w:rPr>
        <w:t>were</w:t>
      </w:r>
      <w:r w:rsidR="0074257C" w:rsidRPr="0080623C">
        <w:rPr>
          <w:color w:val="auto"/>
          <w:lang w:val="en-GB"/>
        </w:rPr>
        <w:t xml:space="preserve"> </w:t>
      </w:r>
      <w:r w:rsidR="006220A8" w:rsidRPr="0080623C">
        <w:rPr>
          <w:color w:val="auto"/>
          <w:lang w:val="en-GB"/>
        </w:rPr>
        <w:t>enrolled</w:t>
      </w:r>
      <w:r w:rsidR="0074257C" w:rsidRPr="0080623C">
        <w:rPr>
          <w:color w:val="auto"/>
          <w:lang w:val="en-GB"/>
        </w:rPr>
        <w:t xml:space="preserve"> in the first grade in the </w:t>
      </w:r>
      <w:r w:rsidR="00AD1EEF" w:rsidRPr="0080623C">
        <w:rPr>
          <w:color w:val="auto"/>
          <w:lang w:val="en-GB"/>
        </w:rPr>
        <w:t>North</w:t>
      </w:r>
      <w:r w:rsidR="00F21EE7" w:rsidRPr="0080623C">
        <w:rPr>
          <w:color w:val="auto"/>
          <w:lang w:val="en-GB"/>
        </w:rPr>
        <w:t>e</w:t>
      </w:r>
      <w:r w:rsidR="00AD1EEF" w:rsidRPr="0080623C">
        <w:rPr>
          <w:color w:val="auto"/>
          <w:lang w:val="en-GB"/>
        </w:rPr>
        <w:t>ast</w:t>
      </w:r>
      <w:r w:rsidR="0074257C" w:rsidRPr="0080623C">
        <w:rPr>
          <w:color w:val="auto"/>
          <w:lang w:val="en-GB"/>
        </w:rPr>
        <w:t xml:space="preserve">. This proportion cannot </w:t>
      </w:r>
      <w:r w:rsidR="00F40C9E" w:rsidRPr="0080623C">
        <w:rPr>
          <w:color w:val="auto"/>
          <w:lang w:val="en-GB"/>
        </w:rPr>
        <w:t xml:space="preserve">be clearly </w:t>
      </w:r>
      <w:r w:rsidR="0074257C" w:rsidRPr="0080623C">
        <w:rPr>
          <w:color w:val="auto"/>
          <w:lang w:val="en-GB"/>
        </w:rPr>
        <w:t xml:space="preserve">attributed to a mass schooling policy or </w:t>
      </w:r>
      <w:r w:rsidR="00F40C9E" w:rsidRPr="0080623C">
        <w:rPr>
          <w:color w:val="auto"/>
          <w:lang w:val="en-GB"/>
        </w:rPr>
        <w:t xml:space="preserve">any </w:t>
      </w:r>
      <w:r w:rsidR="0074257C" w:rsidRPr="0080623C">
        <w:rPr>
          <w:color w:val="auto"/>
          <w:lang w:val="en-GB"/>
        </w:rPr>
        <w:t>demographic phenomenon.</w:t>
      </w:r>
    </w:p>
    <w:p w14:paraId="01C8BE4C" w14:textId="75D7B0C8" w:rsidR="0074257C" w:rsidRPr="0080623C" w:rsidRDefault="00002A75" w:rsidP="0074257C">
      <w:pPr>
        <w:tabs>
          <w:tab w:val="left" w:pos="0"/>
        </w:tabs>
        <w:spacing w:after="181" w:line="480" w:lineRule="auto"/>
        <w:ind w:right="60"/>
        <w:rPr>
          <w:color w:val="auto"/>
          <w:lang w:val="en-GB"/>
        </w:rPr>
      </w:pPr>
      <w:r w:rsidRPr="0080623C">
        <w:rPr>
          <w:color w:val="auto"/>
          <w:lang w:val="en-GB"/>
        </w:rPr>
        <w:tab/>
      </w:r>
      <w:r w:rsidRPr="0080623C">
        <w:rPr>
          <w:color w:val="auto"/>
          <w:lang w:val="en-GB"/>
        </w:rPr>
        <w:tab/>
      </w:r>
      <w:r w:rsidR="0074257C" w:rsidRPr="0080623C">
        <w:rPr>
          <w:color w:val="auto"/>
          <w:lang w:val="en-GB"/>
        </w:rPr>
        <w:t xml:space="preserve">We </w:t>
      </w:r>
      <w:r w:rsidR="00F21EE7" w:rsidRPr="0080623C">
        <w:rPr>
          <w:color w:val="auto"/>
          <w:lang w:val="en-GB"/>
        </w:rPr>
        <w:t>carried out</w:t>
      </w:r>
      <w:r w:rsidR="0074257C" w:rsidRPr="0080623C">
        <w:rPr>
          <w:color w:val="auto"/>
          <w:lang w:val="en-GB"/>
        </w:rPr>
        <w:t xml:space="preserve"> an extensive analysis of 1970 </w:t>
      </w:r>
      <w:r w:rsidR="00F21EE7" w:rsidRPr="0080623C">
        <w:rPr>
          <w:color w:val="auto"/>
          <w:lang w:val="en-GB"/>
        </w:rPr>
        <w:t>in</w:t>
      </w:r>
      <w:r w:rsidR="00F64D3E" w:rsidRPr="0080623C">
        <w:rPr>
          <w:color w:val="auto"/>
          <w:lang w:val="en-GB"/>
        </w:rPr>
        <w:t xml:space="preserve"> the present study</w:t>
      </w:r>
      <w:r w:rsidR="0074257C" w:rsidRPr="0080623C">
        <w:rPr>
          <w:color w:val="auto"/>
          <w:lang w:val="en-GB"/>
        </w:rPr>
        <w:t xml:space="preserve">. In 1980, </w:t>
      </w:r>
      <w:r w:rsidR="00427A8C" w:rsidRPr="0080623C">
        <w:rPr>
          <w:color w:val="auto"/>
          <w:lang w:val="en-GB"/>
        </w:rPr>
        <w:t xml:space="preserve">Brazil's </w:t>
      </w:r>
      <w:r w:rsidR="0074257C" w:rsidRPr="0080623C">
        <w:rPr>
          <w:color w:val="auto"/>
          <w:lang w:val="en-GB"/>
        </w:rPr>
        <w:t>GDR was 0.46,</w:t>
      </w:r>
      <w:r w:rsidR="00F64D3E" w:rsidRPr="0080623C">
        <w:rPr>
          <w:color w:val="auto"/>
          <w:lang w:val="en-GB"/>
        </w:rPr>
        <w:t xml:space="preserve"> which is</w:t>
      </w:r>
      <w:r w:rsidR="0074257C" w:rsidRPr="0080623C">
        <w:rPr>
          <w:color w:val="auto"/>
          <w:lang w:val="en-GB"/>
        </w:rPr>
        <w:t xml:space="preserve"> still much lower than the Latin American average (0.68).</w:t>
      </w:r>
      <w:r w:rsidR="006B573D" w:rsidRPr="0080623C">
        <w:rPr>
          <w:color w:val="auto"/>
          <w:lang w:val="en-GB"/>
        </w:rPr>
        <w:t xml:space="preserve"> The</w:t>
      </w:r>
      <w:r w:rsidR="0074257C" w:rsidRPr="0080623C">
        <w:rPr>
          <w:color w:val="auto"/>
          <w:lang w:val="en-GB"/>
        </w:rPr>
        <w:t xml:space="preserve"> </w:t>
      </w:r>
      <w:r w:rsidR="006B573D" w:rsidRPr="0080623C">
        <w:rPr>
          <w:iCs/>
          <w:color w:val="auto"/>
          <w:lang w:val="en-GB"/>
        </w:rPr>
        <w:t>North</w:t>
      </w:r>
      <w:r w:rsidR="009C7F35" w:rsidRPr="0080623C">
        <w:rPr>
          <w:iCs/>
          <w:color w:val="auto"/>
          <w:lang w:val="en-GB"/>
        </w:rPr>
        <w:t>e</w:t>
      </w:r>
      <w:r w:rsidR="006B573D" w:rsidRPr="0080623C">
        <w:rPr>
          <w:iCs/>
          <w:color w:val="auto"/>
          <w:lang w:val="en-GB"/>
        </w:rPr>
        <w:t>ast</w:t>
      </w:r>
      <w:r w:rsidR="0074257C" w:rsidRPr="0080623C">
        <w:rPr>
          <w:i/>
          <w:color w:val="auto"/>
          <w:lang w:val="en-GB"/>
        </w:rPr>
        <w:t xml:space="preserve"> </w:t>
      </w:r>
      <w:r w:rsidR="0074257C" w:rsidRPr="0080623C">
        <w:rPr>
          <w:color w:val="auto"/>
          <w:lang w:val="en-GB"/>
        </w:rPr>
        <w:t xml:space="preserve">(0.30) and </w:t>
      </w:r>
      <w:r w:rsidR="009C7F35" w:rsidRPr="0080623C">
        <w:rPr>
          <w:color w:val="auto"/>
          <w:lang w:val="en-GB"/>
        </w:rPr>
        <w:t xml:space="preserve">the </w:t>
      </w:r>
      <w:r w:rsidR="006B573D" w:rsidRPr="0080623C">
        <w:rPr>
          <w:iCs/>
          <w:color w:val="auto"/>
          <w:lang w:val="en-GB"/>
        </w:rPr>
        <w:t>North</w:t>
      </w:r>
      <w:r w:rsidR="0074257C" w:rsidRPr="0080623C">
        <w:rPr>
          <w:i/>
          <w:color w:val="auto"/>
          <w:lang w:val="en-GB"/>
        </w:rPr>
        <w:t xml:space="preserve"> </w:t>
      </w:r>
      <w:r w:rsidR="0074257C" w:rsidRPr="0080623C">
        <w:rPr>
          <w:color w:val="auto"/>
          <w:lang w:val="en-GB"/>
        </w:rPr>
        <w:t>(0.32) achieved level</w:t>
      </w:r>
      <w:r w:rsidR="009C7F35" w:rsidRPr="0080623C">
        <w:rPr>
          <w:color w:val="auto"/>
          <w:lang w:val="en-GB"/>
        </w:rPr>
        <w:t>s</w:t>
      </w:r>
      <w:r w:rsidR="0074257C" w:rsidRPr="0080623C">
        <w:rPr>
          <w:color w:val="auto"/>
          <w:lang w:val="en-GB"/>
        </w:rPr>
        <w:t xml:space="preserve"> similar to Nicaragua (0.32), which occupied the last position in the ranking of Latin American countries. </w:t>
      </w:r>
      <w:r w:rsidR="00F64D3E" w:rsidRPr="0080623C">
        <w:rPr>
          <w:color w:val="auto"/>
          <w:lang w:val="en-GB"/>
        </w:rPr>
        <w:t xml:space="preserve">The </w:t>
      </w:r>
      <w:r w:rsidR="006B573D" w:rsidRPr="0080623C">
        <w:rPr>
          <w:color w:val="auto"/>
          <w:lang w:val="en-GB"/>
        </w:rPr>
        <w:t>S</w:t>
      </w:r>
      <w:r w:rsidR="00AD1EEF" w:rsidRPr="0080623C">
        <w:rPr>
          <w:color w:val="auto"/>
          <w:lang w:val="en-GB"/>
        </w:rPr>
        <w:t xml:space="preserve">outh </w:t>
      </w:r>
      <w:r w:rsidR="0074257C" w:rsidRPr="0080623C">
        <w:rPr>
          <w:color w:val="auto"/>
          <w:lang w:val="en-GB"/>
        </w:rPr>
        <w:t xml:space="preserve">and </w:t>
      </w:r>
      <w:r w:rsidR="009C7F35" w:rsidRPr="0080623C">
        <w:rPr>
          <w:color w:val="auto"/>
          <w:lang w:val="en-GB"/>
        </w:rPr>
        <w:t xml:space="preserve">the </w:t>
      </w:r>
      <w:r w:rsidR="006B573D" w:rsidRPr="0080623C">
        <w:rPr>
          <w:color w:val="auto"/>
          <w:lang w:val="en-GB"/>
        </w:rPr>
        <w:t>S</w:t>
      </w:r>
      <w:r w:rsidR="00AD1EEF" w:rsidRPr="0080623C">
        <w:rPr>
          <w:color w:val="auto"/>
          <w:lang w:val="en-GB"/>
        </w:rPr>
        <w:t>outh</w:t>
      </w:r>
      <w:r w:rsidR="00F64D3E" w:rsidRPr="0080623C">
        <w:rPr>
          <w:color w:val="auto"/>
          <w:lang w:val="en-GB"/>
        </w:rPr>
        <w:t>e</w:t>
      </w:r>
      <w:r w:rsidR="00AD1EEF" w:rsidRPr="0080623C">
        <w:rPr>
          <w:color w:val="auto"/>
          <w:lang w:val="en-GB"/>
        </w:rPr>
        <w:t xml:space="preserve">ast </w:t>
      </w:r>
      <w:r w:rsidR="0074257C" w:rsidRPr="0080623C">
        <w:rPr>
          <w:color w:val="auto"/>
          <w:lang w:val="en-GB"/>
        </w:rPr>
        <w:t>(0.59 and 0.58</w:t>
      </w:r>
      <w:r w:rsidR="00F64D3E" w:rsidRPr="0080623C">
        <w:rPr>
          <w:color w:val="auto"/>
          <w:lang w:val="en-GB"/>
        </w:rPr>
        <w:t>,</w:t>
      </w:r>
      <w:r w:rsidR="0074257C" w:rsidRPr="0080623C">
        <w:rPr>
          <w:color w:val="auto"/>
          <w:lang w:val="en-GB"/>
        </w:rPr>
        <w:t xml:space="preserve"> respectively) had better indicators than Paraguay and El Salvador, but still worse than Ecuador (0.64), Mexico (0.64) and even the Latin American average (0.68). Despite considerable improvements until 1980, the </w:t>
      </w:r>
      <w:r w:rsidR="00F64D3E" w:rsidRPr="0080623C">
        <w:rPr>
          <w:color w:val="auto"/>
          <w:lang w:val="en-GB"/>
        </w:rPr>
        <w:t xml:space="preserve">more impoverished </w:t>
      </w:r>
      <w:r w:rsidR="0074257C" w:rsidRPr="0080623C">
        <w:rPr>
          <w:color w:val="auto"/>
          <w:lang w:val="en-GB"/>
        </w:rPr>
        <w:t xml:space="preserve">regions still had a long way to go in order to </w:t>
      </w:r>
      <w:r w:rsidR="009C7F35" w:rsidRPr="0080623C">
        <w:rPr>
          <w:color w:val="auto"/>
          <w:lang w:val="en-GB"/>
        </w:rPr>
        <w:t>overtake</w:t>
      </w:r>
      <w:r w:rsidR="0074257C" w:rsidRPr="0080623C">
        <w:rPr>
          <w:color w:val="auto"/>
          <w:lang w:val="en-GB"/>
        </w:rPr>
        <w:t xml:space="preserve"> </w:t>
      </w:r>
      <w:r w:rsidR="00C06C78" w:rsidRPr="0080623C">
        <w:rPr>
          <w:color w:val="auto"/>
          <w:lang w:val="en-GB"/>
        </w:rPr>
        <w:t xml:space="preserve">some </w:t>
      </w:r>
      <w:r w:rsidR="0074257C" w:rsidRPr="0080623C">
        <w:rPr>
          <w:color w:val="auto"/>
          <w:lang w:val="en-GB"/>
        </w:rPr>
        <w:t>poor Central American countries.</w:t>
      </w:r>
    </w:p>
    <w:p w14:paraId="4DD166D2" w14:textId="20E64D3D" w:rsidR="00E32630" w:rsidRPr="0021776B" w:rsidRDefault="0074257C" w:rsidP="00AA4D43">
      <w:pPr>
        <w:spacing w:line="480" w:lineRule="auto"/>
        <w:ind w:left="-15" w:right="19" w:firstLine="735"/>
        <w:rPr>
          <w:color w:val="auto"/>
          <w:sz w:val="20"/>
          <w:szCs w:val="18"/>
          <w:lang w:val="en-GB"/>
        </w:rPr>
      </w:pPr>
      <w:r w:rsidRPr="0080623C">
        <w:rPr>
          <w:color w:val="auto"/>
          <w:lang w:val="en-GB"/>
        </w:rPr>
        <w:t xml:space="preserve">Brazilian figures were not available for 1990, so we selected 1991 indicators. Democracy seems to have </w:t>
      </w:r>
      <w:r w:rsidR="00F64D3E" w:rsidRPr="0080623C">
        <w:rPr>
          <w:color w:val="auto"/>
          <w:lang w:val="en-GB"/>
        </w:rPr>
        <w:t>influenced</w:t>
      </w:r>
      <w:r w:rsidRPr="0080623C">
        <w:rPr>
          <w:color w:val="auto"/>
          <w:lang w:val="en-GB"/>
        </w:rPr>
        <w:t xml:space="preserve"> Brazilian elementary education since results became relatively better in the early 1990s (0.68 against 0.75 of Latin America). </w:t>
      </w:r>
      <w:r w:rsidR="00E32630" w:rsidRPr="0080623C">
        <w:rPr>
          <w:color w:val="auto"/>
          <w:lang w:val="en-GB"/>
        </w:rPr>
        <w:t xml:space="preserve">These figures seem consistent with the literature on late </w:t>
      </w:r>
      <w:r w:rsidR="00F64D3E" w:rsidRPr="0080623C">
        <w:rPr>
          <w:color w:val="auto"/>
          <w:lang w:val="en-GB"/>
        </w:rPr>
        <w:t>twentieth-</w:t>
      </w:r>
      <w:r w:rsidR="00E32630" w:rsidRPr="0080623C">
        <w:rPr>
          <w:color w:val="auto"/>
          <w:lang w:val="en-GB"/>
        </w:rPr>
        <w:t xml:space="preserve">century democratisation in Latin America and Brazil (Brown 2002; Brown and Hunter 2004). In regional terms, </w:t>
      </w:r>
      <w:r w:rsidR="00C06C78" w:rsidRPr="0080623C">
        <w:rPr>
          <w:color w:val="auto"/>
          <w:lang w:val="en-GB"/>
        </w:rPr>
        <w:t xml:space="preserve">the </w:t>
      </w:r>
      <w:r w:rsidR="00E32630" w:rsidRPr="0080623C">
        <w:rPr>
          <w:color w:val="auto"/>
          <w:lang w:val="en-GB"/>
        </w:rPr>
        <w:t>North</w:t>
      </w:r>
      <w:r w:rsidR="00C06C78" w:rsidRPr="0080623C">
        <w:rPr>
          <w:color w:val="auto"/>
          <w:lang w:val="en-GB"/>
        </w:rPr>
        <w:t>e</w:t>
      </w:r>
      <w:r w:rsidR="00E32630" w:rsidRPr="0080623C">
        <w:rPr>
          <w:color w:val="auto"/>
          <w:lang w:val="en-GB"/>
        </w:rPr>
        <w:t xml:space="preserve">ast and </w:t>
      </w:r>
      <w:r w:rsidR="00C06C78" w:rsidRPr="0080623C">
        <w:rPr>
          <w:color w:val="auto"/>
          <w:lang w:val="en-GB"/>
        </w:rPr>
        <w:t xml:space="preserve">the </w:t>
      </w:r>
      <w:r w:rsidR="00E32630" w:rsidRPr="0080623C">
        <w:rPr>
          <w:color w:val="auto"/>
          <w:lang w:val="en-GB"/>
        </w:rPr>
        <w:t>North (</w:t>
      </w:r>
      <w:r w:rsidR="00C06C78" w:rsidRPr="0080623C">
        <w:rPr>
          <w:color w:val="auto"/>
          <w:lang w:val="en-GB"/>
        </w:rPr>
        <w:t xml:space="preserve">both </w:t>
      </w:r>
      <w:r w:rsidR="00E32630" w:rsidRPr="0080623C">
        <w:rPr>
          <w:color w:val="auto"/>
          <w:lang w:val="en-GB"/>
        </w:rPr>
        <w:t>0</w:t>
      </w:r>
      <w:r w:rsidR="00F64D3E" w:rsidRPr="0080623C">
        <w:rPr>
          <w:color w:val="auto"/>
          <w:lang w:val="en-GB"/>
        </w:rPr>
        <w:t>.</w:t>
      </w:r>
      <w:r w:rsidR="00E32630" w:rsidRPr="0080623C">
        <w:rPr>
          <w:color w:val="auto"/>
          <w:lang w:val="en-GB"/>
        </w:rPr>
        <w:t xml:space="preserve">45) were stuck </w:t>
      </w:r>
      <w:r w:rsidR="00C06C78" w:rsidRPr="0080623C">
        <w:rPr>
          <w:color w:val="auto"/>
          <w:lang w:val="en-GB"/>
        </w:rPr>
        <w:t>at</w:t>
      </w:r>
      <w:r w:rsidR="00E32630" w:rsidRPr="0080623C">
        <w:rPr>
          <w:color w:val="auto"/>
          <w:lang w:val="en-GB"/>
        </w:rPr>
        <w:t xml:space="preserve"> levels not substantially </w:t>
      </w:r>
      <w:r w:rsidR="00C06C78" w:rsidRPr="0080623C">
        <w:rPr>
          <w:color w:val="auto"/>
          <w:lang w:val="en-GB"/>
        </w:rPr>
        <w:t>better</w:t>
      </w:r>
      <w:r w:rsidR="00E32630" w:rsidRPr="0080623C">
        <w:rPr>
          <w:color w:val="auto"/>
          <w:lang w:val="en-GB"/>
        </w:rPr>
        <w:t xml:space="preserve"> than</w:t>
      </w:r>
      <w:r w:rsidR="00C06C78" w:rsidRPr="0080623C">
        <w:rPr>
          <w:color w:val="auto"/>
          <w:lang w:val="en-GB"/>
        </w:rPr>
        <w:t xml:space="preserve"> those of</w:t>
      </w:r>
      <w:r w:rsidR="00E32630" w:rsidRPr="0080623C">
        <w:rPr>
          <w:color w:val="auto"/>
          <w:lang w:val="en-GB"/>
        </w:rPr>
        <w:t xml:space="preserve"> Nicaragua (0.41). In 2000, the centre-south portion of the country was clearly ahead the rest of Latin America. Finding the </w:t>
      </w:r>
      <w:r w:rsidR="00E32630" w:rsidRPr="0021776B">
        <w:rPr>
          <w:color w:val="auto"/>
          <w:lang w:val="en-GB"/>
        </w:rPr>
        <w:lastRenderedPageBreak/>
        <w:t xml:space="preserve">reasons </w:t>
      </w:r>
      <w:r w:rsidR="00F64D3E">
        <w:rPr>
          <w:color w:val="auto"/>
          <w:lang w:val="en-GB"/>
        </w:rPr>
        <w:t>for</w:t>
      </w:r>
      <w:r w:rsidR="00F64D3E" w:rsidRPr="0021776B">
        <w:rPr>
          <w:color w:val="auto"/>
          <w:lang w:val="en-GB"/>
        </w:rPr>
        <w:t xml:space="preserve"> </w:t>
      </w:r>
      <w:r w:rsidR="00E32630" w:rsidRPr="0021776B">
        <w:rPr>
          <w:color w:val="auto"/>
          <w:lang w:val="en-GB"/>
        </w:rPr>
        <w:t>such a transition in the 1990s in a comparative perspective is also an important research agenda.</w:t>
      </w:r>
    </w:p>
    <w:p w14:paraId="0E57DCF2" w14:textId="2A249DFA" w:rsidR="006C4172" w:rsidRPr="006C4172" w:rsidRDefault="006C4172" w:rsidP="006C4172">
      <w:pPr>
        <w:spacing w:after="0" w:line="276" w:lineRule="auto"/>
        <w:ind w:left="811" w:right="0" w:firstLine="0"/>
        <w:jc w:val="center"/>
        <w:rPr>
          <w:color w:val="auto"/>
          <w:szCs w:val="24"/>
          <w:lang w:val="en-GB"/>
        </w:rPr>
      </w:pPr>
      <w:r w:rsidRPr="006C4172">
        <w:rPr>
          <w:color w:val="auto"/>
          <w:szCs w:val="24"/>
          <w:lang w:val="en-GB"/>
        </w:rPr>
        <w:t xml:space="preserve">FIGURE </w:t>
      </w:r>
      <w:r w:rsidR="007446C2" w:rsidRPr="006C4172">
        <w:rPr>
          <w:color w:val="auto"/>
          <w:szCs w:val="24"/>
          <w:lang w:val="en-GB"/>
        </w:rPr>
        <w:t>A3</w:t>
      </w:r>
    </w:p>
    <w:p w14:paraId="779BA562" w14:textId="77777777" w:rsidR="006C4172" w:rsidRDefault="00EF4561" w:rsidP="006C4172">
      <w:pPr>
        <w:spacing w:after="0" w:line="276" w:lineRule="auto"/>
        <w:ind w:left="811" w:right="0" w:firstLine="0"/>
        <w:jc w:val="center"/>
        <w:rPr>
          <w:color w:val="auto"/>
          <w:szCs w:val="24"/>
          <w:lang w:val="en-GB"/>
        </w:rPr>
      </w:pPr>
      <w:r w:rsidRPr="006C4172">
        <w:rPr>
          <w:color w:val="auto"/>
          <w:szCs w:val="24"/>
          <w:lang w:val="en-GB"/>
        </w:rPr>
        <w:t>GDR 1-6, Latin American countries and Brazilian states, 1960, 1980 and 2000.</w:t>
      </w:r>
    </w:p>
    <w:p w14:paraId="7D790DBC" w14:textId="77777777" w:rsidR="006C4172" w:rsidRDefault="006C4172" w:rsidP="006C4172">
      <w:pPr>
        <w:spacing w:after="0" w:line="276" w:lineRule="auto"/>
        <w:ind w:left="811" w:right="0" w:firstLine="0"/>
        <w:jc w:val="center"/>
        <w:rPr>
          <w:color w:val="auto"/>
          <w:sz w:val="20"/>
          <w:szCs w:val="18"/>
          <w:lang w:val="en-GB"/>
        </w:rPr>
      </w:pPr>
    </w:p>
    <w:p w14:paraId="2C9FE776" w14:textId="2924A274" w:rsidR="008204EB" w:rsidRPr="0021776B" w:rsidRDefault="008204EB" w:rsidP="006C4172">
      <w:pPr>
        <w:spacing w:after="0" w:line="276" w:lineRule="auto"/>
        <w:ind w:left="0" w:right="0" w:firstLine="0"/>
        <w:jc w:val="center"/>
        <w:rPr>
          <w:color w:val="auto"/>
          <w:lang w:val="en-GB"/>
        </w:rPr>
      </w:pPr>
      <w:r w:rsidRPr="0021776B">
        <w:rPr>
          <w:noProof/>
          <w:color w:val="auto"/>
          <w:lang w:val="es-ES" w:eastAsia="es-ES"/>
        </w:rPr>
        <w:drawing>
          <wp:inline distT="0" distB="0" distL="0" distR="0" wp14:anchorId="41E2FDF7" wp14:editId="6B85658B">
            <wp:extent cx="5749925" cy="2473325"/>
            <wp:effectExtent l="0" t="0" r="3175" b="317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76B">
        <w:rPr>
          <w:noProof/>
          <w:color w:val="auto"/>
          <w:lang w:val="es-ES" w:eastAsia="es-ES"/>
        </w:rPr>
        <w:drawing>
          <wp:inline distT="0" distB="0" distL="0" distR="0" wp14:anchorId="78920A99" wp14:editId="15AD75DD">
            <wp:extent cx="5749925" cy="2215515"/>
            <wp:effectExtent l="0" t="0" r="317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76B">
        <w:rPr>
          <w:noProof/>
          <w:color w:val="auto"/>
          <w:lang w:val="es-ES" w:eastAsia="es-ES"/>
        </w:rPr>
        <w:drawing>
          <wp:inline distT="0" distB="0" distL="0" distR="0" wp14:anchorId="0CF4945D" wp14:editId="5E3A613E">
            <wp:extent cx="5749925" cy="2227580"/>
            <wp:effectExtent l="0" t="0" r="3175" b="127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CE9B6" w14:textId="4CDAFD5D" w:rsidR="008204EB" w:rsidRPr="0021776B" w:rsidRDefault="008204EB" w:rsidP="006C4172">
      <w:pPr>
        <w:spacing w:after="160" w:line="259" w:lineRule="auto"/>
        <w:ind w:left="0" w:right="0" w:firstLine="0"/>
        <w:jc w:val="center"/>
        <w:rPr>
          <w:color w:val="auto"/>
          <w:lang w:val="en-GB"/>
        </w:rPr>
      </w:pPr>
      <w:r w:rsidRPr="0021776B">
        <w:rPr>
          <w:color w:val="auto"/>
          <w:sz w:val="20"/>
          <w:szCs w:val="18"/>
          <w:lang w:val="en-GB"/>
        </w:rPr>
        <w:t>Source</w:t>
      </w:r>
      <w:r w:rsidR="0080623C">
        <w:rPr>
          <w:color w:val="auto"/>
          <w:sz w:val="20"/>
          <w:szCs w:val="18"/>
          <w:lang w:val="en-GB"/>
        </w:rPr>
        <w:t>s</w:t>
      </w:r>
      <w:r w:rsidRPr="0021776B">
        <w:rPr>
          <w:color w:val="auto"/>
          <w:sz w:val="20"/>
          <w:szCs w:val="18"/>
          <w:lang w:val="en-GB"/>
        </w:rPr>
        <w:t xml:space="preserve">: </w:t>
      </w:r>
      <w:r w:rsidR="00695B71" w:rsidRPr="001A6D23">
        <w:rPr>
          <w:color w:val="auto"/>
          <w:sz w:val="20"/>
          <w:szCs w:val="18"/>
          <w:lang w:val="en-GB"/>
        </w:rPr>
        <w:t>see Section 2.</w:t>
      </w:r>
      <w:r w:rsidRPr="0021776B" w:rsidDel="00EF4561">
        <w:rPr>
          <w:color w:val="auto"/>
          <w:lang w:val="en-GB"/>
        </w:rPr>
        <w:t xml:space="preserve"> </w:t>
      </w:r>
      <w:r w:rsidRPr="0021776B">
        <w:rPr>
          <w:color w:val="auto"/>
          <w:lang w:val="en-GB"/>
        </w:rPr>
        <w:br w:type="page"/>
      </w:r>
    </w:p>
    <w:p w14:paraId="56F51943" w14:textId="4E137CA1" w:rsidR="008204EB" w:rsidRPr="00902557" w:rsidRDefault="00902557" w:rsidP="008204EB">
      <w:pPr>
        <w:pStyle w:val="Ttulo1"/>
        <w:numPr>
          <w:ilvl w:val="0"/>
          <w:numId w:val="0"/>
        </w:numPr>
        <w:tabs>
          <w:tab w:val="center" w:pos="3701"/>
        </w:tabs>
        <w:spacing w:line="480" w:lineRule="auto"/>
        <w:ind w:left="-15"/>
        <w:rPr>
          <w:color w:val="auto"/>
          <w:sz w:val="28"/>
          <w:szCs w:val="28"/>
          <w:lang w:val="en-GB"/>
        </w:rPr>
      </w:pPr>
      <w:r w:rsidRPr="00902557">
        <w:rPr>
          <w:color w:val="auto"/>
          <w:sz w:val="28"/>
          <w:szCs w:val="28"/>
          <w:lang w:val="en-GB"/>
        </w:rPr>
        <w:lastRenderedPageBreak/>
        <w:t xml:space="preserve">C. </w:t>
      </w:r>
      <w:r w:rsidR="008204EB" w:rsidRPr="00902557">
        <w:rPr>
          <w:color w:val="auto"/>
          <w:sz w:val="28"/>
          <w:szCs w:val="28"/>
          <w:lang w:val="en-GB"/>
        </w:rPr>
        <w:t>Gross enrolment rates, states, 1955-2010</w:t>
      </w:r>
    </w:p>
    <w:p w14:paraId="3113DDC3" w14:textId="4F2C2CF0" w:rsidR="00EA091C" w:rsidRPr="0080623C" w:rsidRDefault="008204EB" w:rsidP="00EA091C">
      <w:pPr>
        <w:tabs>
          <w:tab w:val="right" w:pos="9060"/>
        </w:tabs>
        <w:spacing w:line="480" w:lineRule="auto"/>
        <w:ind w:left="-15" w:right="0" w:firstLine="0"/>
        <w:rPr>
          <w:color w:val="auto"/>
          <w:lang w:val="en-GB"/>
        </w:rPr>
      </w:pPr>
      <w:r w:rsidRPr="0080623C">
        <w:rPr>
          <w:color w:val="auto"/>
          <w:lang w:val="en-GB"/>
        </w:rPr>
        <w:t>Estimates of gross enrolment rates are</w:t>
      </w:r>
      <w:r w:rsidR="00A00E61" w:rsidRPr="0080623C">
        <w:rPr>
          <w:color w:val="auto"/>
          <w:lang w:val="en-GB"/>
        </w:rPr>
        <w:t>,</w:t>
      </w:r>
      <w:r w:rsidRPr="0080623C">
        <w:rPr>
          <w:color w:val="auto"/>
          <w:lang w:val="en-GB"/>
        </w:rPr>
        <w:t xml:space="preserve"> </w:t>
      </w:r>
      <w:r w:rsidR="00EA091C" w:rsidRPr="0080623C">
        <w:rPr>
          <w:color w:val="auto"/>
          <w:lang w:val="en-GB"/>
        </w:rPr>
        <w:t>to a large extent</w:t>
      </w:r>
      <w:r w:rsidR="00A00E61" w:rsidRPr="0080623C">
        <w:rPr>
          <w:color w:val="auto"/>
          <w:lang w:val="en-GB"/>
        </w:rPr>
        <w:t>,</w:t>
      </w:r>
      <w:r w:rsidR="00EA091C" w:rsidRPr="0080623C">
        <w:rPr>
          <w:color w:val="auto"/>
          <w:lang w:val="en-GB"/>
        </w:rPr>
        <w:t xml:space="preserve"> based on Goldenberg (1990). Summ</w:t>
      </w:r>
      <w:r w:rsidR="00A00E61" w:rsidRPr="0080623C">
        <w:rPr>
          <w:color w:val="auto"/>
          <w:lang w:val="en-GB"/>
        </w:rPr>
        <w:t>arising</w:t>
      </w:r>
      <w:r w:rsidR="00EA091C" w:rsidRPr="0080623C">
        <w:rPr>
          <w:color w:val="auto"/>
          <w:lang w:val="en-GB"/>
        </w:rPr>
        <w:t xml:space="preserve"> state-level enrolments did not match national figures in several years, which led us to adopt a mathematical adaptation to make the dataset consistent. The differences between the original numbers and the standard</w:t>
      </w:r>
      <w:r w:rsidR="00BF1E12" w:rsidRPr="0080623C">
        <w:rPr>
          <w:color w:val="auto"/>
          <w:lang w:val="en-GB"/>
        </w:rPr>
        <w:t>ise</w:t>
      </w:r>
      <w:r w:rsidR="00EA091C" w:rsidRPr="0080623C">
        <w:rPr>
          <w:color w:val="auto"/>
          <w:lang w:val="en-GB"/>
        </w:rPr>
        <w:t xml:space="preserve">d rate </w:t>
      </w:r>
      <w:r w:rsidR="00A00E61" w:rsidRPr="0080623C">
        <w:rPr>
          <w:color w:val="auto"/>
          <w:lang w:val="en-GB"/>
        </w:rPr>
        <w:t xml:space="preserve">that </w:t>
      </w:r>
      <w:r w:rsidR="00EA091C" w:rsidRPr="0080623C">
        <w:rPr>
          <w:color w:val="auto"/>
          <w:lang w:val="en-GB"/>
        </w:rPr>
        <w:t>we adopted</w:t>
      </w:r>
      <w:r w:rsidR="00382F5F" w:rsidRPr="0080623C">
        <w:rPr>
          <w:color w:val="auto"/>
          <w:lang w:val="en-GB"/>
        </w:rPr>
        <w:t xml:space="preserve"> are small (</w:t>
      </w:r>
      <w:r w:rsidR="00EA091C" w:rsidRPr="0080623C">
        <w:rPr>
          <w:color w:val="auto"/>
          <w:lang w:val="en-GB"/>
        </w:rPr>
        <w:t>Figure 16</w:t>
      </w:r>
      <w:r w:rsidR="00382F5F" w:rsidRPr="0080623C">
        <w:rPr>
          <w:color w:val="auto"/>
          <w:lang w:val="en-GB"/>
        </w:rPr>
        <w:t>)</w:t>
      </w:r>
      <w:r w:rsidR="00EA091C" w:rsidRPr="0080623C">
        <w:rPr>
          <w:color w:val="auto"/>
          <w:lang w:val="en-GB"/>
        </w:rPr>
        <w:t xml:space="preserve">. </w:t>
      </w:r>
    </w:p>
    <w:p w14:paraId="767F9B22" w14:textId="5745E1B2" w:rsidR="00FB5437" w:rsidRPr="0080623C" w:rsidRDefault="00FB5437" w:rsidP="0021776B">
      <w:pPr>
        <w:spacing w:after="427" w:line="480" w:lineRule="auto"/>
        <w:ind w:left="-5" w:right="19" w:firstLine="725"/>
        <w:rPr>
          <w:color w:val="auto"/>
          <w:lang w:val="en-GB"/>
        </w:rPr>
      </w:pPr>
      <w:r w:rsidRPr="0080623C">
        <w:rPr>
          <w:color w:val="auto"/>
          <w:lang w:val="en-GB"/>
        </w:rPr>
        <w:t xml:space="preserve">Some outliers, such as </w:t>
      </w:r>
      <w:proofErr w:type="spellStart"/>
      <w:r w:rsidRPr="0080623C">
        <w:rPr>
          <w:color w:val="auto"/>
          <w:lang w:val="en-GB"/>
        </w:rPr>
        <w:t>Espírito</w:t>
      </w:r>
      <w:proofErr w:type="spellEnd"/>
      <w:r w:rsidRPr="0080623C">
        <w:rPr>
          <w:color w:val="auto"/>
          <w:lang w:val="en-GB"/>
        </w:rPr>
        <w:t xml:space="preserve"> Santo in 1980 </w:t>
      </w:r>
      <w:r w:rsidR="00A23160" w:rsidRPr="0080623C">
        <w:rPr>
          <w:color w:val="auto"/>
          <w:lang w:val="en-GB"/>
        </w:rPr>
        <w:t xml:space="preserve">and </w:t>
      </w:r>
      <w:proofErr w:type="spellStart"/>
      <w:r w:rsidRPr="0080623C">
        <w:rPr>
          <w:color w:val="auto"/>
          <w:lang w:val="en-GB"/>
        </w:rPr>
        <w:t>Goiás</w:t>
      </w:r>
      <w:proofErr w:type="spellEnd"/>
      <w:r w:rsidRPr="0080623C">
        <w:rPr>
          <w:color w:val="auto"/>
          <w:lang w:val="en-GB"/>
        </w:rPr>
        <w:t xml:space="preserve"> in 1981</w:t>
      </w:r>
      <w:r w:rsidR="006643D6" w:rsidRPr="0080623C">
        <w:rPr>
          <w:color w:val="auto"/>
          <w:lang w:val="en-GB"/>
        </w:rPr>
        <w:t>, draw our attention</w:t>
      </w:r>
      <w:r w:rsidRPr="0080623C">
        <w:rPr>
          <w:color w:val="auto"/>
          <w:lang w:val="en-GB"/>
        </w:rPr>
        <w:t xml:space="preserve">. Although these are </w:t>
      </w:r>
      <w:r w:rsidR="00A23160" w:rsidRPr="0080623C">
        <w:rPr>
          <w:color w:val="auto"/>
          <w:lang w:val="en-GB"/>
        </w:rPr>
        <w:t xml:space="preserve">apparent </w:t>
      </w:r>
      <w:r w:rsidRPr="0080623C">
        <w:rPr>
          <w:color w:val="auto"/>
          <w:lang w:val="en-GB"/>
        </w:rPr>
        <w:t xml:space="preserve">mistakes, it is not clear how we should proceed to correct the data. Minas Gerais reportedly adopted an extra school year that was not documented in Goldenberg (1990) in the late 1980s, </w:t>
      </w:r>
      <w:r w:rsidR="00A23160" w:rsidRPr="0080623C">
        <w:rPr>
          <w:color w:val="auto"/>
          <w:lang w:val="en-GB"/>
        </w:rPr>
        <w:t>explaining</w:t>
      </w:r>
      <w:r w:rsidRPr="0080623C">
        <w:rPr>
          <w:color w:val="auto"/>
          <w:lang w:val="en-GB"/>
        </w:rPr>
        <w:t xml:space="preserve"> the sudden drop during that period. Even though we are confident </w:t>
      </w:r>
      <w:r w:rsidR="00A33DB6" w:rsidRPr="0080623C">
        <w:rPr>
          <w:color w:val="auto"/>
          <w:lang w:val="en-GB"/>
        </w:rPr>
        <w:t>about</w:t>
      </w:r>
      <w:r w:rsidRPr="0080623C">
        <w:rPr>
          <w:color w:val="auto"/>
          <w:lang w:val="en-GB"/>
        </w:rPr>
        <w:t xml:space="preserve"> the large majority of the estimates, specific information for a </w:t>
      </w:r>
      <w:r w:rsidR="00A23160" w:rsidRPr="0080623C">
        <w:rPr>
          <w:color w:val="auto"/>
          <w:lang w:val="en-GB"/>
        </w:rPr>
        <w:t xml:space="preserve">particular </w:t>
      </w:r>
      <w:r w:rsidRPr="0080623C">
        <w:rPr>
          <w:color w:val="auto"/>
          <w:lang w:val="en-GB"/>
        </w:rPr>
        <w:t xml:space="preserve">year and state should be analysed with care. </w:t>
      </w:r>
    </w:p>
    <w:p w14:paraId="5F7A6B9F" w14:textId="77777777" w:rsidR="00FB5437" w:rsidRPr="0080623C" w:rsidRDefault="00FB5437" w:rsidP="00EA091C">
      <w:pPr>
        <w:tabs>
          <w:tab w:val="right" w:pos="9060"/>
        </w:tabs>
        <w:spacing w:line="480" w:lineRule="auto"/>
        <w:ind w:left="-15" w:right="0" w:firstLine="0"/>
        <w:rPr>
          <w:color w:val="auto"/>
          <w:lang w:val="en-GB"/>
        </w:rPr>
      </w:pPr>
    </w:p>
    <w:p w14:paraId="0509E295" w14:textId="77777777" w:rsidR="00FB5437" w:rsidRPr="0080623C" w:rsidRDefault="00FB5437">
      <w:pPr>
        <w:spacing w:after="160" w:line="259" w:lineRule="auto"/>
        <w:ind w:left="0" w:right="0" w:firstLine="0"/>
        <w:jc w:val="left"/>
        <w:rPr>
          <w:color w:val="auto"/>
          <w:sz w:val="20"/>
          <w:szCs w:val="18"/>
          <w:lang w:val="en-GB"/>
        </w:rPr>
      </w:pPr>
      <w:r w:rsidRPr="0080623C">
        <w:rPr>
          <w:color w:val="auto"/>
          <w:sz w:val="20"/>
          <w:szCs w:val="18"/>
          <w:lang w:val="en-GB"/>
        </w:rPr>
        <w:br w:type="page"/>
      </w:r>
    </w:p>
    <w:p w14:paraId="479426DA" w14:textId="49987E94" w:rsidR="00902557" w:rsidRPr="006C4172" w:rsidRDefault="00902557" w:rsidP="00902557">
      <w:pPr>
        <w:tabs>
          <w:tab w:val="right" w:pos="9060"/>
        </w:tabs>
        <w:spacing w:line="276" w:lineRule="auto"/>
        <w:ind w:left="-15" w:right="0" w:firstLine="0"/>
        <w:jc w:val="center"/>
        <w:rPr>
          <w:color w:val="auto"/>
          <w:szCs w:val="24"/>
          <w:lang w:val="en-GB"/>
        </w:rPr>
      </w:pPr>
      <w:r w:rsidRPr="006C4172">
        <w:rPr>
          <w:color w:val="auto"/>
          <w:szCs w:val="24"/>
          <w:lang w:val="en-GB"/>
        </w:rPr>
        <w:lastRenderedPageBreak/>
        <w:t xml:space="preserve">FIGURE </w:t>
      </w:r>
      <w:r w:rsidR="007446C2" w:rsidRPr="006C4172">
        <w:rPr>
          <w:color w:val="auto"/>
          <w:szCs w:val="24"/>
          <w:lang w:val="en-GB"/>
        </w:rPr>
        <w:t>A4</w:t>
      </w:r>
    </w:p>
    <w:p w14:paraId="531411A4" w14:textId="46EFEA18" w:rsidR="00EA091C" w:rsidRPr="006C4172" w:rsidRDefault="00EA091C" w:rsidP="00902557">
      <w:pPr>
        <w:tabs>
          <w:tab w:val="right" w:pos="9060"/>
        </w:tabs>
        <w:spacing w:line="276" w:lineRule="auto"/>
        <w:ind w:left="-15" w:right="0" w:firstLine="0"/>
        <w:jc w:val="center"/>
        <w:rPr>
          <w:color w:val="auto"/>
          <w:szCs w:val="24"/>
          <w:lang w:val="en-GB"/>
        </w:rPr>
      </w:pPr>
      <w:r w:rsidRPr="006C4172">
        <w:rPr>
          <w:color w:val="auto"/>
          <w:szCs w:val="24"/>
          <w:lang w:val="en-GB"/>
        </w:rPr>
        <w:t>Gross enrolment rates,</w:t>
      </w:r>
      <w:r w:rsidR="00686561" w:rsidRPr="006C4172">
        <w:rPr>
          <w:color w:val="auto"/>
          <w:szCs w:val="24"/>
          <w:lang w:val="en-GB"/>
        </w:rPr>
        <w:t xml:space="preserve"> new primary education</w:t>
      </w:r>
      <w:r w:rsidRPr="006C4172">
        <w:rPr>
          <w:color w:val="auto"/>
          <w:szCs w:val="24"/>
          <w:lang w:val="en-GB"/>
        </w:rPr>
        <w:t xml:space="preserve"> </w:t>
      </w:r>
      <w:r w:rsidR="00686561" w:rsidRPr="006C4172">
        <w:rPr>
          <w:color w:val="auto"/>
          <w:szCs w:val="24"/>
          <w:lang w:val="en-GB"/>
        </w:rPr>
        <w:t>(</w:t>
      </w:r>
      <w:proofErr w:type="spellStart"/>
      <w:r w:rsidR="00FB5437" w:rsidRPr="006C4172">
        <w:rPr>
          <w:i/>
          <w:iCs/>
          <w:color w:val="auto"/>
          <w:szCs w:val="24"/>
          <w:lang w:val="en-GB"/>
        </w:rPr>
        <w:t>ensino</w:t>
      </w:r>
      <w:proofErr w:type="spellEnd"/>
      <w:r w:rsidR="00FB5437" w:rsidRPr="006C4172">
        <w:rPr>
          <w:i/>
          <w:iCs/>
          <w:color w:val="auto"/>
          <w:szCs w:val="24"/>
          <w:lang w:val="en-GB"/>
        </w:rPr>
        <w:t xml:space="preserve"> fundamental</w:t>
      </w:r>
      <w:r w:rsidR="00902557" w:rsidRPr="006C4172">
        <w:rPr>
          <w:i/>
          <w:iCs/>
          <w:color w:val="auto"/>
          <w:szCs w:val="24"/>
          <w:lang w:val="en-GB"/>
        </w:rPr>
        <w:t xml:space="preserve"> </w:t>
      </w:r>
      <w:r w:rsidR="00686561" w:rsidRPr="006C4172">
        <w:rPr>
          <w:color w:val="auto"/>
          <w:szCs w:val="24"/>
          <w:lang w:val="en-GB"/>
        </w:rPr>
        <w:t xml:space="preserve">- </w:t>
      </w:r>
      <w:r w:rsidR="0096012F" w:rsidRPr="006C4172">
        <w:rPr>
          <w:color w:val="auto"/>
          <w:szCs w:val="24"/>
          <w:lang w:val="en-GB"/>
        </w:rPr>
        <w:t>EF</w:t>
      </w:r>
      <w:r w:rsidR="00FB5437" w:rsidRPr="006C4172">
        <w:rPr>
          <w:color w:val="auto"/>
          <w:szCs w:val="24"/>
          <w:lang w:val="en-GB"/>
        </w:rPr>
        <w:t>)</w:t>
      </w:r>
      <w:r w:rsidR="00FB5437" w:rsidRPr="006C4172">
        <w:rPr>
          <w:iCs/>
          <w:color w:val="auto"/>
          <w:szCs w:val="24"/>
          <w:lang w:val="en-GB"/>
        </w:rPr>
        <w:t>,</w:t>
      </w:r>
      <w:r w:rsidR="00FB5437" w:rsidRPr="006C4172">
        <w:rPr>
          <w:i/>
          <w:iCs/>
          <w:color w:val="auto"/>
          <w:szCs w:val="24"/>
          <w:lang w:val="en-GB"/>
        </w:rPr>
        <w:t xml:space="preserve"> </w:t>
      </w:r>
      <w:r w:rsidRPr="006C4172">
        <w:rPr>
          <w:color w:val="auto"/>
          <w:szCs w:val="24"/>
          <w:lang w:val="en-GB"/>
        </w:rPr>
        <w:t>states, Brazil, 1955-2010</w:t>
      </w:r>
    </w:p>
    <w:p w14:paraId="30F439BA" w14:textId="77777777" w:rsidR="00902557" w:rsidRPr="00902557" w:rsidRDefault="00902557" w:rsidP="00902557">
      <w:pPr>
        <w:tabs>
          <w:tab w:val="right" w:pos="9060"/>
        </w:tabs>
        <w:spacing w:line="276" w:lineRule="auto"/>
        <w:ind w:left="-15" w:right="0" w:firstLine="0"/>
        <w:jc w:val="center"/>
        <w:rPr>
          <w:color w:val="auto"/>
          <w:sz w:val="22"/>
          <w:lang w:val="en-GB"/>
        </w:rPr>
      </w:pPr>
    </w:p>
    <w:p w14:paraId="6BA2932D" w14:textId="3AD4DD5B" w:rsidR="008204EB" w:rsidRPr="0021776B" w:rsidRDefault="00EA091C" w:rsidP="00902557">
      <w:pPr>
        <w:tabs>
          <w:tab w:val="right" w:pos="9060"/>
        </w:tabs>
        <w:spacing w:line="480" w:lineRule="auto"/>
        <w:ind w:left="-15" w:right="0" w:firstLine="0"/>
        <w:jc w:val="center"/>
        <w:rPr>
          <w:color w:val="auto"/>
          <w:lang w:val="en-GB"/>
        </w:rPr>
      </w:pPr>
      <w:r w:rsidRPr="0021776B">
        <w:rPr>
          <w:noProof/>
          <w:color w:val="auto"/>
          <w:lang w:val="es-ES" w:eastAsia="es-ES"/>
        </w:rPr>
        <w:drawing>
          <wp:inline distT="0" distB="0" distL="0" distR="0" wp14:anchorId="36A67D67" wp14:editId="774498A7">
            <wp:extent cx="5744210" cy="5744210"/>
            <wp:effectExtent l="0" t="0" r="8890" b="889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57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1780" w14:textId="0836C536" w:rsidR="00EA091C" w:rsidRPr="0021776B" w:rsidRDefault="00EA091C" w:rsidP="0021776B">
      <w:pPr>
        <w:tabs>
          <w:tab w:val="right" w:pos="9060"/>
        </w:tabs>
        <w:spacing w:line="480" w:lineRule="auto"/>
        <w:ind w:left="-15" w:right="0" w:firstLine="0"/>
        <w:rPr>
          <w:color w:val="auto"/>
          <w:sz w:val="20"/>
          <w:szCs w:val="18"/>
          <w:lang w:val="en-GB"/>
        </w:rPr>
      </w:pPr>
      <w:r w:rsidRPr="0021776B">
        <w:rPr>
          <w:color w:val="auto"/>
          <w:sz w:val="20"/>
          <w:szCs w:val="18"/>
          <w:lang w:val="en-GB"/>
        </w:rPr>
        <w:t>Source</w:t>
      </w:r>
      <w:r w:rsidR="0080623C">
        <w:rPr>
          <w:color w:val="auto"/>
          <w:sz w:val="20"/>
          <w:szCs w:val="18"/>
          <w:lang w:val="en-GB"/>
        </w:rPr>
        <w:t>s</w:t>
      </w:r>
      <w:r w:rsidRPr="0021776B">
        <w:rPr>
          <w:color w:val="auto"/>
          <w:sz w:val="20"/>
          <w:szCs w:val="18"/>
          <w:lang w:val="en-GB"/>
        </w:rPr>
        <w:t>:</w:t>
      </w:r>
      <w:r w:rsidR="00695B71" w:rsidRPr="001A6D23">
        <w:rPr>
          <w:color w:val="auto"/>
          <w:sz w:val="20"/>
          <w:szCs w:val="18"/>
          <w:lang w:val="en-GB"/>
        </w:rPr>
        <w:t xml:space="preserve"> mostly from</w:t>
      </w:r>
      <w:r w:rsidRPr="0021776B">
        <w:rPr>
          <w:color w:val="auto"/>
          <w:sz w:val="20"/>
          <w:szCs w:val="18"/>
          <w:lang w:val="en-GB"/>
        </w:rPr>
        <w:t xml:space="preserve"> Goldenberg (1990)</w:t>
      </w:r>
      <w:r w:rsidR="00695B71" w:rsidRPr="001A6D23">
        <w:rPr>
          <w:color w:val="auto"/>
          <w:sz w:val="20"/>
          <w:szCs w:val="18"/>
          <w:lang w:val="en-GB"/>
        </w:rPr>
        <w:t xml:space="preserve"> (see </w:t>
      </w:r>
      <w:r w:rsidR="00A23160">
        <w:rPr>
          <w:color w:val="auto"/>
          <w:sz w:val="20"/>
          <w:szCs w:val="18"/>
          <w:lang w:val="en-GB"/>
        </w:rPr>
        <w:t>S</w:t>
      </w:r>
      <w:r w:rsidR="00695B71" w:rsidRPr="001A6D23">
        <w:rPr>
          <w:color w:val="auto"/>
          <w:sz w:val="20"/>
          <w:szCs w:val="18"/>
          <w:lang w:val="en-GB"/>
        </w:rPr>
        <w:t>ections 2 and 3).</w:t>
      </w:r>
    </w:p>
    <w:p w14:paraId="175E61B6" w14:textId="1D503BFD" w:rsidR="00286915" w:rsidRPr="0021776B" w:rsidRDefault="00286915">
      <w:pPr>
        <w:spacing w:after="427" w:line="480" w:lineRule="auto"/>
        <w:ind w:left="-5" w:right="19"/>
        <w:rPr>
          <w:color w:val="auto"/>
          <w:lang w:val="en-GB"/>
        </w:rPr>
      </w:pPr>
    </w:p>
    <w:sectPr w:rsidR="00286915" w:rsidRPr="0021776B">
      <w:footerReference w:type="even" r:id="rId17"/>
      <w:footerReference w:type="default" r:id="rId18"/>
      <w:footerReference w:type="first" r:id="rId19"/>
      <w:pgSz w:w="11906" w:h="16838"/>
      <w:pgMar w:top="1402" w:right="1406" w:bottom="1394" w:left="1440" w:header="720" w:footer="7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5F4B29" w14:textId="77777777" w:rsidR="00FD7385" w:rsidRDefault="00FD7385">
      <w:pPr>
        <w:spacing w:after="0" w:line="240" w:lineRule="auto"/>
      </w:pPr>
      <w:r>
        <w:separator/>
      </w:r>
    </w:p>
  </w:endnote>
  <w:endnote w:type="continuationSeparator" w:id="0">
    <w:p w14:paraId="3F1FC78F" w14:textId="77777777" w:rsidR="00FD7385" w:rsidRDefault="00FD7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F2ED6" w14:textId="77777777" w:rsidR="00D0024C" w:rsidRDefault="00D0024C">
    <w:pPr>
      <w:spacing w:after="0" w:line="259" w:lineRule="auto"/>
      <w:ind w:left="0" w:firstLine="0"/>
      <w:jc w:val="center"/>
    </w:pP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8043A" w14:textId="458ABC48" w:rsidR="00D0024C" w:rsidRDefault="00D0024C">
    <w:pPr>
      <w:spacing w:after="0" w:line="259" w:lineRule="auto"/>
      <w:ind w:left="0" w:firstLine="0"/>
      <w:jc w:val="center"/>
    </w:pPr>
    <w:r>
      <w:rPr>
        <w:noProof/>
      </w:rPr>
      <w:t>41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B3927" w14:textId="77777777" w:rsidR="00D0024C" w:rsidRDefault="00D0024C">
    <w:pPr>
      <w:spacing w:after="0" w:line="259" w:lineRule="auto"/>
      <w:ind w:left="0" w:firstLine="0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BBB977" w14:textId="77777777" w:rsidR="00FD7385" w:rsidRDefault="00FD7385">
      <w:pPr>
        <w:spacing w:after="0" w:line="260" w:lineRule="auto"/>
        <w:ind w:left="0" w:right="0" w:firstLine="269"/>
        <w:jc w:val="left"/>
      </w:pPr>
      <w:r>
        <w:separator/>
      </w:r>
    </w:p>
  </w:footnote>
  <w:footnote w:type="continuationSeparator" w:id="0">
    <w:p w14:paraId="2CB0A2B4" w14:textId="77777777" w:rsidR="00FD7385" w:rsidRDefault="00FD7385">
      <w:pPr>
        <w:spacing w:after="0" w:line="260" w:lineRule="auto"/>
        <w:ind w:left="0" w:right="0" w:firstLine="269"/>
        <w:jc w:val="left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EA00AF"/>
    <w:multiLevelType w:val="multilevel"/>
    <w:tmpl w:val="C9182194"/>
    <w:lvl w:ilvl="0">
      <w:start w:val="1"/>
      <w:numFmt w:val="decimal"/>
      <w:pStyle w:val="Ttulo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Ttulo2"/>
      <w:lvlText w:val="%1.%2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SxsDCytDQ0MDQzNjRV0lEKTi0uzszPAykwqQUAAQCt0CwAAAA="/>
  </w:docVars>
  <w:rsids>
    <w:rsidRoot w:val="00286915"/>
    <w:rsid w:val="00002A75"/>
    <w:rsid w:val="00010AA9"/>
    <w:rsid w:val="00011CDF"/>
    <w:rsid w:val="000162AB"/>
    <w:rsid w:val="00021407"/>
    <w:rsid w:val="00021BBB"/>
    <w:rsid w:val="0002326C"/>
    <w:rsid w:val="00023849"/>
    <w:rsid w:val="00025008"/>
    <w:rsid w:val="0005650E"/>
    <w:rsid w:val="00077D17"/>
    <w:rsid w:val="00080A21"/>
    <w:rsid w:val="00086556"/>
    <w:rsid w:val="000A4155"/>
    <w:rsid w:val="000B09D0"/>
    <w:rsid w:val="000C61DC"/>
    <w:rsid w:val="000C6DA6"/>
    <w:rsid w:val="000F68E8"/>
    <w:rsid w:val="00105B1D"/>
    <w:rsid w:val="00106473"/>
    <w:rsid w:val="00124A49"/>
    <w:rsid w:val="00132362"/>
    <w:rsid w:val="00162AB6"/>
    <w:rsid w:val="00174A92"/>
    <w:rsid w:val="001766B1"/>
    <w:rsid w:val="001841B9"/>
    <w:rsid w:val="00196CCC"/>
    <w:rsid w:val="001A6D23"/>
    <w:rsid w:val="001B5BBC"/>
    <w:rsid w:val="001C115A"/>
    <w:rsid w:val="001D51F8"/>
    <w:rsid w:val="001F0C5D"/>
    <w:rsid w:val="001F47E4"/>
    <w:rsid w:val="00202A1A"/>
    <w:rsid w:val="00203AD7"/>
    <w:rsid w:val="002161AD"/>
    <w:rsid w:val="0021776B"/>
    <w:rsid w:val="00224CF5"/>
    <w:rsid w:val="00263216"/>
    <w:rsid w:val="00286915"/>
    <w:rsid w:val="00291B7F"/>
    <w:rsid w:val="002B1CA6"/>
    <w:rsid w:val="002B5310"/>
    <w:rsid w:val="002D47F7"/>
    <w:rsid w:val="002E566A"/>
    <w:rsid w:val="003020F3"/>
    <w:rsid w:val="0032241C"/>
    <w:rsid w:val="00334BC7"/>
    <w:rsid w:val="00346CCA"/>
    <w:rsid w:val="00347D48"/>
    <w:rsid w:val="00356E84"/>
    <w:rsid w:val="00361FE8"/>
    <w:rsid w:val="00376C94"/>
    <w:rsid w:val="0037788E"/>
    <w:rsid w:val="00382F5F"/>
    <w:rsid w:val="00384394"/>
    <w:rsid w:val="00387D53"/>
    <w:rsid w:val="00393EEB"/>
    <w:rsid w:val="003B2095"/>
    <w:rsid w:val="003D4B05"/>
    <w:rsid w:val="0040076F"/>
    <w:rsid w:val="00405E80"/>
    <w:rsid w:val="004145CD"/>
    <w:rsid w:val="004251DE"/>
    <w:rsid w:val="00427A8C"/>
    <w:rsid w:val="00440B1F"/>
    <w:rsid w:val="00441929"/>
    <w:rsid w:val="004461E3"/>
    <w:rsid w:val="00452B7E"/>
    <w:rsid w:val="00460F4E"/>
    <w:rsid w:val="00461246"/>
    <w:rsid w:val="00480F83"/>
    <w:rsid w:val="00484A23"/>
    <w:rsid w:val="00485077"/>
    <w:rsid w:val="00490287"/>
    <w:rsid w:val="00495AF3"/>
    <w:rsid w:val="004A4AAE"/>
    <w:rsid w:val="004C5195"/>
    <w:rsid w:val="004D2DA7"/>
    <w:rsid w:val="004F0EC0"/>
    <w:rsid w:val="004F5A97"/>
    <w:rsid w:val="00513F35"/>
    <w:rsid w:val="005161A4"/>
    <w:rsid w:val="0051725A"/>
    <w:rsid w:val="00542020"/>
    <w:rsid w:val="00542DD1"/>
    <w:rsid w:val="00553026"/>
    <w:rsid w:val="00574787"/>
    <w:rsid w:val="0058047E"/>
    <w:rsid w:val="00581B3C"/>
    <w:rsid w:val="00590414"/>
    <w:rsid w:val="0059375F"/>
    <w:rsid w:val="005D17C8"/>
    <w:rsid w:val="00604BE6"/>
    <w:rsid w:val="00614887"/>
    <w:rsid w:val="00616ECC"/>
    <w:rsid w:val="006220A8"/>
    <w:rsid w:val="0062578A"/>
    <w:rsid w:val="00637652"/>
    <w:rsid w:val="0064558D"/>
    <w:rsid w:val="0065281B"/>
    <w:rsid w:val="00652B27"/>
    <w:rsid w:val="00656902"/>
    <w:rsid w:val="006579B7"/>
    <w:rsid w:val="006643D6"/>
    <w:rsid w:val="00672608"/>
    <w:rsid w:val="00686561"/>
    <w:rsid w:val="00691217"/>
    <w:rsid w:val="006948F3"/>
    <w:rsid w:val="00695B71"/>
    <w:rsid w:val="006A4EC0"/>
    <w:rsid w:val="006B573D"/>
    <w:rsid w:val="006C03E6"/>
    <w:rsid w:val="006C34F3"/>
    <w:rsid w:val="006C4172"/>
    <w:rsid w:val="006D4203"/>
    <w:rsid w:val="006D4C0D"/>
    <w:rsid w:val="006E4165"/>
    <w:rsid w:val="006F5543"/>
    <w:rsid w:val="00707A33"/>
    <w:rsid w:val="00717868"/>
    <w:rsid w:val="0074257C"/>
    <w:rsid w:val="007446C2"/>
    <w:rsid w:val="00753882"/>
    <w:rsid w:val="00773F0E"/>
    <w:rsid w:val="00781D06"/>
    <w:rsid w:val="007827E1"/>
    <w:rsid w:val="0078413B"/>
    <w:rsid w:val="00797845"/>
    <w:rsid w:val="007A6552"/>
    <w:rsid w:val="007C0C6C"/>
    <w:rsid w:val="007E040C"/>
    <w:rsid w:val="007E50A8"/>
    <w:rsid w:val="007F49F2"/>
    <w:rsid w:val="0080623C"/>
    <w:rsid w:val="00816724"/>
    <w:rsid w:val="008204EB"/>
    <w:rsid w:val="00820AF4"/>
    <w:rsid w:val="00820FEA"/>
    <w:rsid w:val="008720A4"/>
    <w:rsid w:val="0088133A"/>
    <w:rsid w:val="0088516D"/>
    <w:rsid w:val="0088636B"/>
    <w:rsid w:val="00890DD1"/>
    <w:rsid w:val="008A2D26"/>
    <w:rsid w:val="008A30F6"/>
    <w:rsid w:val="008B3993"/>
    <w:rsid w:val="008D3E92"/>
    <w:rsid w:val="008F198A"/>
    <w:rsid w:val="008F27BD"/>
    <w:rsid w:val="008F7D77"/>
    <w:rsid w:val="00902557"/>
    <w:rsid w:val="00905918"/>
    <w:rsid w:val="009149F6"/>
    <w:rsid w:val="009151ED"/>
    <w:rsid w:val="009220EB"/>
    <w:rsid w:val="0092279C"/>
    <w:rsid w:val="00922E68"/>
    <w:rsid w:val="00925FE5"/>
    <w:rsid w:val="009374C3"/>
    <w:rsid w:val="00944794"/>
    <w:rsid w:val="009579BF"/>
    <w:rsid w:val="0096012F"/>
    <w:rsid w:val="00987ED7"/>
    <w:rsid w:val="00993AE9"/>
    <w:rsid w:val="009B4A53"/>
    <w:rsid w:val="009C7F35"/>
    <w:rsid w:val="009D2143"/>
    <w:rsid w:val="009E0BE2"/>
    <w:rsid w:val="009F1716"/>
    <w:rsid w:val="009F477E"/>
    <w:rsid w:val="009F6501"/>
    <w:rsid w:val="00A00E61"/>
    <w:rsid w:val="00A1672A"/>
    <w:rsid w:val="00A23160"/>
    <w:rsid w:val="00A2475C"/>
    <w:rsid w:val="00A33DB6"/>
    <w:rsid w:val="00A53BF5"/>
    <w:rsid w:val="00A553C0"/>
    <w:rsid w:val="00A6283D"/>
    <w:rsid w:val="00A82C11"/>
    <w:rsid w:val="00AA3AB4"/>
    <w:rsid w:val="00AA4D43"/>
    <w:rsid w:val="00AA5D60"/>
    <w:rsid w:val="00AA73B2"/>
    <w:rsid w:val="00AA7F85"/>
    <w:rsid w:val="00AD1EEF"/>
    <w:rsid w:val="00AD69AF"/>
    <w:rsid w:val="00AF78DD"/>
    <w:rsid w:val="00B1554D"/>
    <w:rsid w:val="00B17978"/>
    <w:rsid w:val="00B17C24"/>
    <w:rsid w:val="00B26E1B"/>
    <w:rsid w:val="00B369E9"/>
    <w:rsid w:val="00B37387"/>
    <w:rsid w:val="00B47C3F"/>
    <w:rsid w:val="00B5240C"/>
    <w:rsid w:val="00B57090"/>
    <w:rsid w:val="00B57EE6"/>
    <w:rsid w:val="00B61FE2"/>
    <w:rsid w:val="00B7426F"/>
    <w:rsid w:val="00B8382A"/>
    <w:rsid w:val="00BA16AC"/>
    <w:rsid w:val="00BB45F3"/>
    <w:rsid w:val="00BB79A3"/>
    <w:rsid w:val="00BC4E53"/>
    <w:rsid w:val="00BD401C"/>
    <w:rsid w:val="00BE2210"/>
    <w:rsid w:val="00BF1E12"/>
    <w:rsid w:val="00C06C78"/>
    <w:rsid w:val="00C1217A"/>
    <w:rsid w:val="00C457AE"/>
    <w:rsid w:val="00C51111"/>
    <w:rsid w:val="00C60C0C"/>
    <w:rsid w:val="00C65824"/>
    <w:rsid w:val="00C93AA4"/>
    <w:rsid w:val="00CA53D8"/>
    <w:rsid w:val="00CD44F6"/>
    <w:rsid w:val="00CE1C5C"/>
    <w:rsid w:val="00CF1760"/>
    <w:rsid w:val="00D0024C"/>
    <w:rsid w:val="00D048F0"/>
    <w:rsid w:val="00D061FE"/>
    <w:rsid w:val="00D157B9"/>
    <w:rsid w:val="00D17519"/>
    <w:rsid w:val="00D2638A"/>
    <w:rsid w:val="00D5543D"/>
    <w:rsid w:val="00D72232"/>
    <w:rsid w:val="00D835BD"/>
    <w:rsid w:val="00D87425"/>
    <w:rsid w:val="00DA7884"/>
    <w:rsid w:val="00DB377D"/>
    <w:rsid w:val="00DC15C9"/>
    <w:rsid w:val="00DC42FA"/>
    <w:rsid w:val="00DD5303"/>
    <w:rsid w:val="00DE33AA"/>
    <w:rsid w:val="00DF3590"/>
    <w:rsid w:val="00DF5051"/>
    <w:rsid w:val="00DF7D93"/>
    <w:rsid w:val="00E144E6"/>
    <w:rsid w:val="00E27773"/>
    <w:rsid w:val="00E32630"/>
    <w:rsid w:val="00E37DDE"/>
    <w:rsid w:val="00E436C6"/>
    <w:rsid w:val="00E5120F"/>
    <w:rsid w:val="00E53019"/>
    <w:rsid w:val="00E54A71"/>
    <w:rsid w:val="00E63B79"/>
    <w:rsid w:val="00E70629"/>
    <w:rsid w:val="00E70744"/>
    <w:rsid w:val="00E845F1"/>
    <w:rsid w:val="00E90133"/>
    <w:rsid w:val="00EA091C"/>
    <w:rsid w:val="00EB0645"/>
    <w:rsid w:val="00ED176A"/>
    <w:rsid w:val="00EE37E6"/>
    <w:rsid w:val="00EE4903"/>
    <w:rsid w:val="00EF4561"/>
    <w:rsid w:val="00F21E3B"/>
    <w:rsid w:val="00F21EE7"/>
    <w:rsid w:val="00F40C9E"/>
    <w:rsid w:val="00F4146E"/>
    <w:rsid w:val="00F4718E"/>
    <w:rsid w:val="00F52D8F"/>
    <w:rsid w:val="00F553BD"/>
    <w:rsid w:val="00F61C52"/>
    <w:rsid w:val="00F64D3E"/>
    <w:rsid w:val="00F70F09"/>
    <w:rsid w:val="00F71EA4"/>
    <w:rsid w:val="00F7288A"/>
    <w:rsid w:val="00F836E1"/>
    <w:rsid w:val="00FA7BA0"/>
    <w:rsid w:val="00FB0FE4"/>
    <w:rsid w:val="00FB5437"/>
    <w:rsid w:val="00FC1AE3"/>
    <w:rsid w:val="00FD7385"/>
    <w:rsid w:val="00FD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65E8FA"/>
  <w15:docId w15:val="{2FA90C5C-DDB0-414E-B455-A9CCA94DC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421" w:lineRule="auto"/>
      <w:ind w:left="10" w:right="3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numPr>
        <w:numId w:val="1"/>
      </w:numPr>
      <w:spacing w:after="301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numPr>
        <w:ilvl w:val="1"/>
        <w:numId w:val="1"/>
      </w:numPr>
      <w:spacing w:after="289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29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62" w:lineRule="auto"/>
      <w:ind w:firstLine="19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A2475C"/>
    <w:rPr>
      <w:color w:val="0563C1" w:themeColor="hyperlink"/>
      <w:u w:val="single"/>
    </w:rPr>
  </w:style>
  <w:style w:type="character" w:customStyle="1" w:styleId="MenoPendente1">
    <w:name w:val="Menção Pendente1"/>
    <w:basedOn w:val="Fuentedeprrafopredeter"/>
    <w:uiPriority w:val="99"/>
    <w:semiHidden/>
    <w:unhideWhenUsed/>
    <w:rsid w:val="00A2475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232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326C"/>
    <w:rPr>
      <w:rFonts w:ascii="Times New Roman" w:eastAsia="Times New Roman" w:hAnsi="Times New Roman" w:cs="Times New Roman"/>
      <w:color w:val="000000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32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3216"/>
    <w:rPr>
      <w:rFonts w:ascii="Segoe UI" w:eastAsia="Times New Roman" w:hAnsi="Segoe UI" w:cs="Segoe UI"/>
      <w:color w:val="000000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EF45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F456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F456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F45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F456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11CD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11CDF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11CDF"/>
    <w:rPr>
      <w:vertAlign w:val="superscript"/>
    </w:rPr>
  </w:style>
  <w:style w:type="paragraph" w:styleId="Revisin">
    <w:name w:val="Revision"/>
    <w:hidden/>
    <w:uiPriority w:val="99"/>
    <w:semiHidden/>
    <w:rsid w:val="0021776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AA4D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6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79288F649A2D499E5FA3CCAF254A9E" ma:contentTypeVersion="13" ma:contentTypeDescription="Crear nuevo documento." ma:contentTypeScope="" ma:versionID="18528ea58f3af801247d25d79d983b94">
  <xsd:schema xmlns:xsd="http://www.w3.org/2001/XMLSchema" xmlns:xs="http://www.w3.org/2001/XMLSchema" xmlns:p="http://schemas.microsoft.com/office/2006/metadata/properties" xmlns:ns3="e48a2305-058c-457b-8777-d154f62c593f" xmlns:ns4="d7fdeb06-0e0c-4d60-9f7c-1dd6c33c33f2" targetNamespace="http://schemas.microsoft.com/office/2006/metadata/properties" ma:root="true" ma:fieldsID="5cfd9117e53537305c2bbfdd2c2eaddd" ns3:_="" ns4:_="">
    <xsd:import namespace="e48a2305-058c-457b-8777-d154f62c593f"/>
    <xsd:import namespace="d7fdeb06-0e0c-4d60-9f7c-1dd6c33c33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a2305-058c-457b-8777-d154f62c59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deb06-0e0c-4d60-9f7c-1dd6c33c33f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CBF525-8FEA-4D3D-A545-BC3C7154E1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F28BDD-692A-46A4-95CE-FA4CBFABC9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6B254C-ED85-4FDF-8F14-F6C1A8AAE2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8a2305-058c-457b-8777-d154f62c593f"/>
    <ds:schemaRef ds:uri="d7fdeb06-0e0c-4d60-9f7c-1dd6c33c33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9FE5B9-083E-4E2E-8A6D-D573708E3C8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863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BSA</dc:creator>
  <cp:keywords/>
  <cp:lastModifiedBy>Blanca Sánchez Alonso</cp:lastModifiedBy>
  <cp:revision>2</cp:revision>
  <cp:lastPrinted>2020-12-09T20:35:00Z</cp:lastPrinted>
  <dcterms:created xsi:type="dcterms:W3CDTF">2021-02-12T16:37:00Z</dcterms:created>
  <dcterms:modified xsi:type="dcterms:W3CDTF">2021-02-12T16:37:00Z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0x0101009A79288F649A2D499E5FA3CCAF254A9E</vt:lpwstr>
  </property>
</Properties>
</file>