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E7A" w14:textId="77777777" w:rsidR="00F606CA" w:rsidRPr="00D63C2E" w:rsidRDefault="00F01D20">
      <w:pPr>
        <w:pStyle w:val="Heading3"/>
        <w:spacing w:line="360" w:lineRule="auto"/>
        <w:rPr>
          <w:sz w:val="22"/>
          <w:szCs w:val="22"/>
        </w:rPr>
      </w:pPr>
      <w:r w:rsidRPr="00D63C2E">
        <w:rPr>
          <w:sz w:val="22"/>
          <w:szCs w:val="22"/>
        </w:rPr>
        <w:t>Appendix: Variable description</w:t>
      </w:r>
    </w:p>
    <w:p w14:paraId="2FF1840A" w14:textId="77777777" w:rsidR="00F606CA" w:rsidRPr="00D63C2E" w:rsidRDefault="00F606CA">
      <w:pPr>
        <w:spacing w:line="360" w:lineRule="auto"/>
      </w:pPr>
    </w:p>
    <w:p w14:paraId="5F6345AD" w14:textId="77777777" w:rsidR="00F606CA" w:rsidRPr="00D63C2E" w:rsidRDefault="00F01D20">
      <w:pPr>
        <w:spacing w:after="120" w:line="360" w:lineRule="auto"/>
      </w:pPr>
      <w:r w:rsidRPr="00D63C2E">
        <w:t>Variables by neighbourhood:</w:t>
      </w:r>
    </w:p>
    <w:p w14:paraId="7E74FA13" w14:textId="77777777" w:rsidR="00F606CA" w:rsidRPr="00D63C2E" w:rsidRDefault="00F01D20">
      <w:pPr>
        <w:numPr>
          <w:ilvl w:val="0"/>
          <w:numId w:val="1"/>
        </w:numPr>
        <w:spacing w:after="120" w:line="360" w:lineRule="auto"/>
        <w:jc w:val="both"/>
      </w:pPr>
      <w:r w:rsidRPr="00D63C2E">
        <w:rPr>
          <w:u w:val="single"/>
        </w:rPr>
        <w:t>Smallpox death rate</w:t>
      </w:r>
      <w:r w:rsidRPr="00D63C2E">
        <w:t xml:space="preserve">: The number of deaths due to smallpox per 1000 people in 1871. This is the dependent variable in the OLS regressions. The 43 smallpox cases out of the 2165 which do not have a recorded residential address were left out of the analysis. </w:t>
      </w:r>
    </w:p>
    <w:p w14:paraId="68AAB13F" w14:textId="77777777" w:rsidR="00F606CA" w:rsidRPr="00D63C2E" w:rsidRDefault="00F01D20">
      <w:pPr>
        <w:numPr>
          <w:ilvl w:val="0"/>
          <w:numId w:val="1"/>
        </w:numPr>
        <w:spacing w:after="120" w:line="360" w:lineRule="auto"/>
        <w:jc w:val="both"/>
      </w:pPr>
      <w:r w:rsidRPr="00D63C2E">
        <w:rPr>
          <w:u w:val="single"/>
        </w:rPr>
        <w:t>Average crude death rate</w:t>
      </w:r>
      <w:r w:rsidRPr="00D63C2E">
        <w:t>: The crude death rate is the total number of deaths per 1000 people. To proxy the general mortality pattern by neighbourhood we calculate the average of the crude death rates in the four preceding years of the peak of the smallpox epidemic, 1867 to 1870. This variable makes it possible to investigate if the spatial distribution of the smallpox epidemic follows the general mortality distribution.</w:t>
      </w:r>
    </w:p>
    <w:p w14:paraId="06DD9EFB" w14:textId="5E5D9A10" w:rsidR="00F606CA" w:rsidRPr="00D63C2E" w:rsidRDefault="00F01D20">
      <w:pPr>
        <w:numPr>
          <w:ilvl w:val="0"/>
          <w:numId w:val="1"/>
        </w:numPr>
        <w:spacing w:after="120" w:line="360" w:lineRule="auto"/>
        <w:jc w:val="both"/>
      </w:pPr>
      <w:r w:rsidRPr="00D63C2E">
        <w:rPr>
          <w:u w:val="single"/>
        </w:rPr>
        <w:t>Wealth</w:t>
      </w:r>
      <w:r w:rsidRPr="00D63C2E">
        <w:t xml:space="preserve">: There are two potential sources to capture the wealth of neighbourhoods, however, both sources are from a period relatively long before the smallpox epidemic. First, </w:t>
      </w:r>
      <w:proofErr w:type="spellStart"/>
      <w:r w:rsidRPr="00D63C2E">
        <w:t>Israëls</w:t>
      </w:r>
      <w:proofErr w:type="spellEnd"/>
      <w:r w:rsidRPr="00D63C2E">
        <w:t xml:space="preserve"> (1862) provides a categorisation of all the 50 neighbourhoods into “poor”, “rather poor”, “rather wealthy” and “wealthy” based on Teixeira de Mattos (1865) and his own knowledge of the city. Second, we have estimates of the rental value of buildings. The rental values are calculated with a simple formula based on the taxable yield (</w:t>
      </w:r>
      <w:proofErr w:type="spellStart"/>
      <w:r w:rsidRPr="00D63C2E">
        <w:rPr>
          <w:i/>
        </w:rPr>
        <w:t>belastbare</w:t>
      </w:r>
      <w:proofErr w:type="spellEnd"/>
      <w:r w:rsidRPr="00D63C2E">
        <w:rPr>
          <w:i/>
        </w:rPr>
        <w:t xml:space="preserve"> </w:t>
      </w:r>
      <w:proofErr w:type="spellStart"/>
      <w:r w:rsidRPr="00D63C2E">
        <w:rPr>
          <w:i/>
        </w:rPr>
        <w:t>opbrengst</w:t>
      </w:r>
      <w:proofErr w:type="spellEnd"/>
      <w:r w:rsidRPr="00D63C2E">
        <w:t xml:space="preserve">) obtained from the 1832 land register as discussed in </w:t>
      </w:r>
      <w:proofErr w:type="spellStart"/>
      <w:r w:rsidRPr="00D63C2E">
        <w:t>Lesger</w:t>
      </w:r>
      <w:proofErr w:type="spellEnd"/>
      <w:r w:rsidRPr="00D63C2E">
        <w:t xml:space="preserve"> and van Leeuwen (2012) and linked to the 1874 addresses. We calculate not only the mean of the rental values but their standard deviation as well to account for potential socioeconomic inequalities. Using these measures to explain smallpox mortality patterns in 1871 is based on the assumption that the relative wealth position of the neighbourhoods did not change between the 1830s and 1870s. Fortunately, we have information on the share of tax declarations </w:t>
      </w:r>
      <w:r w:rsidR="005A1239" w:rsidRPr="00D63C2E">
        <w:rPr>
          <w:color w:val="000000" w:themeColor="text1"/>
        </w:rPr>
        <w:t>above the 10</w:t>
      </w:r>
      <w:r w:rsidR="005A1239" w:rsidRPr="00D63C2E">
        <w:rPr>
          <w:color w:val="000000" w:themeColor="text1"/>
          <w:vertAlign w:val="superscript"/>
        </w:rPr>
        <w:t>th</w:t>
      </w:r>
      <w:r w:rsidR="005A1239" w:rsidRPr="00D63C2E">
        <w:rPr>
          <w:color w:val="000000" w:themeColor="text1"/>
        </w:rPr>
        <w:t xml:space="preserve"> class (</w:t>
      </w:r>
      <w:r w:rsidR="004814D7" w:rsidRPr="00D63C2E">
        <w:rPr>
          <w:color w:val="000000" w:themeColor="text1"/>
        </w:rPr>
        <w:t>i.e.,</w:t>
      </w:r>
      <w:r w:rsidR="005A1239" w:rsidRPr="00D63C2E">
        <w:rPr>
          <w:color w:val="000000" w:themeColor="text1"/>
        </w:rPr>
        <w:t xml:space="preserve"> high tax values) </w:t>
      </w:r>
      <w:r w:rsidRPr="00D63C2E">
        <w:t>in 1897/98 by neighbourhood. Figure A1 shows a high correspondence between mean rental values in our database and the share of high tax values in 1897/98. Thus, we do not reject the assumption of the stability of relative wealth position in the period of interest.</w:t>
      </w:r>
    </w:p>
    <w:p w14:paraId="7F28C5A4" w14:textId="470888DB" w:rsidR="00F606CA" w:rsidRPr="00D63C2E" w:rsidRDefault="00F01D20">
      <w:pPr>
        <w:numPr>
          <w:ilvl w:val="0"/>
          <w:numId w:val="1"/>
        </w:numPr>
        <w:spacing w:after="120" w:line="360" w:lineRule="auto"/>
        <w:jc w:val="both"/>
      </w:pPr>
      <w:r w:rsidRPr="00D63C2E">
        <w:rPr>
          <w:color w:val="000000" w:themeColor="text1"/>
          <w:u w:val="single"/>
        </w:rPr>
        <w:t>Hous</w:t>
      </w:r>
      <w:r w:rsidR="005A1239" w:rsidRPr="00D63C2E">
        <w:rPr>
          <w:color w:val="000000" w:themeColor="text1"/>
          <w:u w:val="single"/>
        </w:rPr>
        <w:t xml:space="preserve">ing </w:t>
      </w:r>
      <w:r w:rsidRPr="00D63C2E">
        <w:rPr>
          <w:color w:val="000000" w:themeColor="text1"/>
          <w:u w:val="single"/>
        </w:rPr>
        <w:t>density</w:t>
      </w:r>
      <w:r w:rsidRPr="00D63C2E">
        <w:rPr>
          <w:color w:val="000000" w:themeColor="text1"/>
        </w:rPr>
        <w:t xml:space="preserve">: The </w:t>
      </w:r>
      <w:r w:rsidRPr="00D63C2E">
        <w:t xml:space="preserve">average number of people by inhabitable building by neighbourhood. The number of buildings is obtained from the census in 1869 and we assume that it did not change until 1871. </w:t>
      </w:r>
    </w:p>
    <w:p w14:paraId="5A332933" w14:textId="77777777" w:rsidR="00F606CA" w:rsidRPr="00D63C2E" w:rsidRDefault="00F01D20">
      <w:pPr>
        <w:numPr>
          <w:ilvl w:val="0"/>
          <w:numId w:val="1"/>
        </w:numPr>
        <w:spacing w:after="120" w:line="360" w:lineRule="auto"/>
        <w:jc w:val="both"/>
      </w:pPr>
      <w:r w:rsidRPr="00D63C2E">
        <w:rPr>
          <w:u w:val="single"/>
        </w:rPr>
        <w:lastRenderedPageBreak/>
        <w:t>Jewish neighbourhood</w:t>
      </w:r>
      <w:r w:rsidRPr="00D63C2E">
        <w:t xml:space="preserve">: A binary variable with the value of one if the dominant religion in a neighbourhood was Jewish. The source of this variable is the 1851-1853 population register (Amsterdam City Archive, </w:t>
      </w:r>
      <w:proofErr w:type="spellStart"/>
      <w:r w:rsidRPr="00D63C2E">
        <w:t>Ekamper</w:t>
      </w:r>
      <w:proofErr w:type="spellEnd"/>
      <w:r w:rsidRPr="00D63C2E">
        <w:t xml:space="preserve"> and van </w:t>
      </w:r>
      <w:proofErr w:type="spellStart"/>
      <w:r w:rsidRPr="00D63C2E">
        <w:t>Poppel</w:t>
      </w:r>
      <w:proofErr w:type="spellEnd"/>
      <w:r w:rsidRPr="00D63C2E">
        <w:t xml:space="preserve"> 2019) which includes socio-demographic information on residents living at a certain address at a certain point in time. Neighbourhoods are considered to be predominantly Jewish if the proportion of Jewish main occupants is above 30%. Jewish neighbourhoods are C, P, Q, R, S, V, W. We experimented with the threshold of 50% (Jewish neighbourhoods are P, Q, R, S) but the empirical results did not change significantly.</w:t>
      </w:r>
    </w:p>
    <w:p w14:paraId="77C076D8" w14:textId="77777777" w:rsidR="00F606CA" w:rsidRPr="00D63C2E" w:rsidRDefault="00F01D20">
      <w:pPr>
        <w:numPr>
          <w:ilvl w:val="0"/>
          <w:numId w:val="1"/>
        </w:numPr>
        <w:spacing w:after="120" w:line="360" w:lineRule="auto"/>
        <w:jc w:val="both"/>
      </w:pPr>
      <w:r w:rsidRPr="00D63C2E">
        <w:rPr>
          <w:u w:val="single"/>
        </w:rPr>
        <w:t>Birth rate</w:t>
      </w:r>
      <w:r w:rsidRPr="00D63C2E">
        <w:t xml:space="preserve">: Although we do not have information on birth rates from 1871, digitised birth certificates from 1874 are available from the Amsterdam City Archive to calculate the number of live births by 1000 people by neighbourhood. Birth rate is often included in studies on infectious diseases to proxy the number of susceptible </w:t>
      </w:r>
      <w:proofErr w:type="gramStart"/>
      <w:r w:rsidRPr="00D63C2E">
        <w:t>population</w:t>
      </w:r>
      <w:proofErr w:type="gramEnd"/>
      <w:r w:rsidRPr="00D63C2E">
        <w:t>.</w:t>
      </w:r>
    </w:p>
    <w:p w14:paraId="2D9C3D32" w14:textId="77777777" w:rsidR="00F606CA" w:rsidRPr="00D63C2E" w:rsidRDefault="00F01D20">
      <w:pPr>
        <w:numPr>
          <w:ilvl w:val="0"/>
          <w:numId w:val="1"/>
        </w:numPr>
        <w:spacing w:after="120" w:line="360" w:lineRule="auto"/>
        <w:jc w:val="both"/>
      </w:pPr>
      <w:r w:rsidRPr="00D63C2E">
        <w:rPr>
          <w:u w:val="single"/>
        </w:rPr>
        <w:t>Neighbourhoods with hospital</w:t>
      </w:r>
      <w:r w:rsidRPr="00D63C2E">
        <w:t>: Based on a wide range of sources, we created a binary variable with the value of one if a neighbourhood had at least one hospital in 1871. Hardy, for instance, observed a positive relationship between smallpox mortality and the presence of smallpox hospital in London (Hardy 1993, p. 137-140). Hospital neighbourhoods are B, CC, K, LL, V, W, XX, Z.</w:t>
      </w:r>
    </w:p>
    <w:p w14:paraId="5DE48366" w14:textId="77777777" w:rsidR="00F606CA" w:rsidRPr="00D63C2E" w:rsidRDefault="00F01D20">
      <w:pPr>
        <w:spacing w:line="360" w:lineRule="auto"/>
        <w:jc w:val="both"/>
      </w:pPr>
      <w:r w:rsidRPr="00D63C2E">
        <w:t>The descriptive statistics of the discussed variables are presented in Table A1.</w:t>
      </w:r>
    </w:p>
    <w:p w14:paraId="2291D0E6" w14:textId="77777777" w:rsidR="00F606CA" w:rsidRPr="00D63C2E" w:rsidRDefault="00F606CA">
      <w:pPr>
        <w:spacing w:line="360" w:lineRule="auto"/>
        <w:jc w:val="center"/>
        <w:rPr>
          <w:i/>
        </w:rPr>
      </w:pPr>
    </w:p>
    <w:p w14:paraId="4F07D029" w14:textId="77777777" w:rsidR="00F606CA" w:rsidRPr="00D63C2E" w:rsidRDefault="00F01D20">
      <w:pPr>
        <w:spacing w:line="360" w:lineRule="auto"/>
        <w:jc w:val="center"/>
        <w:rPr>
          <w:i/>
        </w:rPr>
      </w:pPr>
      <w:r w:rsidRPr="00D63C2E">
        <w:rPr>
          <w:i/>
        </w:rPr>
        <w:t>Figure A1 Mean rental value and the share of high tax value</w:t>
      </w:r>
    </w:p>
    <w:p w14:paraId="79C98F1B" w14:textId="77777777" w:rsidR="00F606CA" w:rsidRPr="00D63C2E" w:rsidRDefault="00F01D20">
      <w:pPr>
        <w:spacing w:line="360" w:lineRule="auto"/>
        <w:jc w:val="center"/>
      </w:pPr>
      <w:r w:rsidRPr="00D63C2E">
        <w:rPr>
          <w:noProof/>
        </w:rPr>
        <w:drawing>
          <wp:inline distT="0" distB="0" distL="0" distR="0" wp14:anchorId="64283F98" wp14:editId="771CA8FF">
            <wp:extent cx="3657847" cy="2448090"/>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57847" cy="2448090"/>
                    </a:xfrm>
                    <a:prstGeom prst="rect">
                      <a:avLst/>
                    </a:prstGeom>
                    <a:ln/>
                  </pic:spPr>
                </pic:pic>
              </a:graphicData>
            </a:graphic>
          </wp:inline>
        </w:drawing>
      </w:r>
    </w:p>
    <w:p w14:paraId="051D5942" w14:textId="77777777" w:rsidR="00ED68D7" w:rsidRPr="00D63C2E" w:rsidRDefault="00ED68D7">
      <w:pPr>
        <w:spacing w:line="360" w:lineRule="auto"/>
        <w:jc w:val="center"/>
        <w:rPr>
          <w:i/>
        </w:rPr>
      </w:pPr>
    </w:p>
    <w:p w14:paraId="427E0ABD" w14:textId="77777777" w:rsidR="00FE227A" w:rsidRDefault="00FE227A">
      <w:pPr>
        <w:spacing w:line="360" w:lineRule="auto"/>
        <w:jc w:val="center"/>
        <w:rPr>
          <w:i/>
        </w:rPr>
      </w:pPr>
    </w:p>
    <w:p w14:paraId="506D39B8" w14:textId="77777777" w:rsidR="00FE227A" w:rsidRDefault="00FE227A">
      <w:pPr>
        <w:spacing w:line="360" w:lineRule="auto"/>
        <w:jc w:val="center"/>
        <w:rPr>
          <w:i/>
        </w:rPr>
      </w:pPr>
    </w:p>
    <w:p w14:paraId="4AC5F073" w14:textId="77777777" w:rsidR="00FE227A" w:rsidRDefault="00FE227A">
      <w:pPr>
        <w:spacing w:line="360" w:lineRule="auto"/>
        <w:jc w:val="center"/>
        <w:rPr>
          <w:i/>
        </w:rPr>
      </w:pPr>
    </w:p>
    <w:p w14:paraId="55114153" w14:textId="77777777" w:rsidR="00FE227A" w:rsidRDefault="00FE227A">
      <w:pPr>
        <w:spacing w:line="360" w:lineRule="auto"/>
        <w:jc w:val="center"/>
        <w:rPr>
          <w:i/>
        </w:rPr>
      </w:pPr>
    </w:p>
    <w:p w14:paraId="4483F352" w14:textId="26A64E29" w:rsidR="00F606CA" w:rsidRPr="00D63C2E" w:rsidRDefault="00F01D20">
      <w:pPr>
        <w:spacing w:line="360" w:lineRule="auto"/>
        <w:jc w:val="center"/>
        <w:rPr>
          <w:i/>
        </w:rPr>
      </w:pPr>
      <w:r w:rsidRPr="00D63C2E">
        <w:rPr>
          <w:i/>
        </w:rPr>
        <w:t xml:space="preserve">Figure A2 Jewish neighbourhoods and the wealth classification of neighbourhoods by </w:t>
      </w:r>
      <w:proofErr w:type="spellStart"/>
      <w:r w:rsidRPr="00D63C2E">
        <w:rPr>
          <w:i/>
        </w:rPr>
        <w:t>Israëls</w:t>
      </w:r>
      <w:proofErr w:type="spellEnd"/>
      <w:r w:rsidRPr="00D63C2E">
        <w:rPr>
          <w:i/>
        </w:rPr>
        <w:t xml:space="preserve"> </w:t>
      </w:r>
    </w:p>
    <w:p w14:paraId="151A7C04" w14:textId="77777777" w:rsidR="00F606CA" w:rsidRPr="00D63C2E" w:rsidRDefault="00F01D20">
      <w:pPr>
        <w:spacing w:line="360" w:lineRule="auto"/>
        <w:jc w:val="center"/>
      </w:pPr>
      <w:r w:rsidRPr="00D63C2E">
        <w:rPr>
          <w:noProof/>
        </w:rPr>
        <w:drawing>
          <wp:inline distT="114300" distB="114300" distL="114300" distR="114300" wp14:anchorId="218C255E" wp14:editId="18823BD3">
            <wp:extent cx="5943600" cy="4203700"/>
            <wp:effectExtent l="0" t="0" r="0" b="0"/>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203700"/>
                    </a:xfrm>
                    <a:prstGeom prst="rect">
                      <a:avLst/>
                    </a:prstGeom>
                    <a:ln/>
                  </pic:spPr>
                </pic:pic>
              </a:graphicData>
            </a:graphic>
          </wp:inline>
        </w:drawing>
      </w:r>
    </w:p>
    <w:p w14:paraId="34145628" w14:textId="77777777" w:rsidR="00F606CA" w:rsidRPr="00D63C2E" w:rsidRDefault="00F01D20">
      <w:pPr>
        <w:spacing w:line="360" w:lineRule="auto"/>
        <w:jc w:val="center"/>
        <w:rPr>
          <w:i/>
        </w:rPr>
      </w:pPr>
      <w:r w:rsidRPr="00D63C2E">
        <w:rPr>
          <w:i/>
        </w:rPr>
        <w:t>Table A1 Descriptive statistics of variables measured at the neighbourhood level</w:t>
      </w:r>
    </w:p>
    <w:tbl>
      <w:tblPr>
        <w:tblStyle w:val="a"/>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804"/>
        <w:gridCol w:w="992"/>
        <w:gridCol w:w="1134"/>
        <w:gridCol w:w="993"/>
        <w:gridCol w:w="992"/>
      </w:tblGrid>
      <w:tr w:rsidR="00F606CA" w:rsidRPr="00D63C2E" w14:paraId="22C8ECC7" w14:textId="77777777">
        <w:trPr>
          <w:jc w:val="center"/>
        </w:trPr>
        <w:tc>
          <w:tcPr>
            <w:tcW w:w="1601" w:type="dxa"/>
          </w:tcPr>
          <w:p w14:paraId="0B3A18EC" w14:textId="77777777" w:rsidR="00F606CA" w:rsidRPr="00D63C2E" w:rsidRDefault="00F606CA">
            <w:pPr>
              <w:spacing w:line="240" w:lineRule="auto"/>
              <w:jc w:val="both"/>
              <w:rPr>
                <w:sz w:val="20"/>
                <w:szCs w:val="20"/>
              </w:rPr>
            </w:pPr>
          </w:p>
        </w:tc>
        <w:tc>
          <w:tcPr>
            <w:tcW w:w="804" w:type="dxa"/>
          </w:tcPr>
          <w:p w14:paraId="4EDAC7C9" w14:textId="77777777" w:rsidR="00F606CA" w:rsidRPr="00D63C2E" w:rsidRDefault="00F01D20">
            <w:pPr>
              <w:spacing w:line="240" w:lineRule="auto"/>
              <w:jc w:val="both"/>
              <w:rPr>
                <w:sz w:val="20"/>
                <w:szCs w:val="20"/>
              </w:rPr>
            </w:pPr>
            <w:r w:rsidRPr="00D63C2E">
              <w:rPr>
                <w:sz w:val="20"/>
                <w:szCs w:val="20"/>
              </w:rPr>
              <w:t>N</w:t>
            </w:r>
          </w:p>
        </w:tc>
        <w:tc>
          <w:tcPr>
            <w:tcW w:w="992" w:type="dxa"/>
          </w:tcPr>
          <w:p w14:paraId="3A2F50BF" w14:textId="77777777" w:rsidR="00F606CA" w:rsidRPr="00D63C2E" w:rsidRDefault="00F01D20">
            <w:pPr>
              <w:spacing w:line="240" w:lineRule="auto"/>
              <w:jc w:val="both"/>
              <w:rPr>
                <w:sz w:val="20"/>
                <w:szCs w:val="20"/>
              </w:rPr>
            </w:pPr>
            <w:r w:rsidRPr="00D63C2E">
              <w:rPr>
                <w:sz w:val="20"/>
                <w:szCs w:val="20"/>
              </w:rPr>
              <w:t>Mean</w:t>
            </w:r>
          </w:p>
        </w:tc>
        <w:tc>
          <w:tcPr>
            <w:tcW w:w="1134" w:type="dxa"/>
          </w:tcPr>
          <w:p w14:paraId="44398A5A" w14:textId="77777777" w:rsidR="00F606CA" w:rsidRPr="00D63C2E" w:rsidRDefault="00F01D20">
            <w:pPr>
              <w:spacing w:line="240" w:lineRule="auto"/>
              <w:jc w:val="both"/>
              <w:rPr>
                <w:sz w:val="20"/>
                <w:szCs w:val="20"/>
              </w:rPr>
            </w:pPr>
            <w:r w:rsidRPr="00D63C2E">
              <w:rPr>
                <w:sz w:val="20"/>
                <w:szCs w:val="20"/>
              </w:rPr>
              <w:t>Std. dev.</w:t>
            </w:r>
          </w:p>
        </w:tc>
        <w:tc>
          <w:tcPr>
            <w:tcW w:w="993" w:type="dxa"/>
          </w:tcPr>
          <w:p w14:paraId="6E7D65CD" w14:textId="77777777" w:rsidR="00F606CA" w:rsidRPr="00D63C2E" w:rsidRDefault="00F01D20">
            <w:pPr>
              <w:spacing w:line="240" w:lineRule="auto"/>
              <w:jc w:val="both"/>
              <w:rPr>
                <w:sz w:val="20"/>
                <w:szCs w:val="20"/>
              </w:rPr>
            </w:pPr>
            <w:r w:rsidRPr="00D63C2E">
              <w:rPr>
                <w:sz w:val="20"/>
                <w:szCs w:val="20"/>
              </w:rPr>
              <w:t>Min</w:t>
            </w:r>
          </w:p>
        </w:tc>
        <w:tc>
          <w:tcPr>
            <w:tcW w:w="992" w:type="dxa"/>
          </w:tcPr>
          <w:p w14:paraId="5BB751C5" w14:textId="77777777" w:rsidR="00F606CA" w:rsidRPr="00D63C2E" w:rsidRDefault="00F01D20">
            <w:pPr>
              <w:spacing w:line="240" w:lineRule="auto"/>
              <w:jc w:val="both"/>
              <w:rPr>
                <w:sz w:val="20"/>
                <w:szCs w:val="20"/>
              </w:rPr>
            </w:pPr>
            <w:r w:rsidRPr="00D63C2E">
              <w:rPr>
                <w:sz w:val="20"/>
                <w:szCs w:val="20"/>
              </w:rPr>
              <w:t>Max</w:t>
            </w:r>
          </w:p>
        </w:tc>
      </w:tr>
      <w:tr w:rsidR="00F606CA" w:rsidRPr="00D63C2E" w14:paraId="31F0E438" w14:textId="77777777">
        <w:trPr>
          <w:jc w:val="center"/>
        </w:trPr>
        <w:tc>
          <w:tcPr>
            <w:tcW w:w="1601" w:type="dxa"/>
          </w:tcPr>
          <w:p w14:paraId="11304B96" w14:textId="77777777" w:rsidR="00F606CA" w:rsidRPr="00D63C2E" w:rsidRDefault="00F01D20">
            <w:pPr>
              <w:spacing w:line="240" w:lineRule="auto"/>
              <w:rPr>
                <w:sz w:val="20"/>
                <w:szCs w:val="20"/>
              </w:rPr>
            </w:pPr>
            <w:r w:rsidRPr="00D63C2E">
              <w:rPr>
                <w:sz w:val="20"/>
                <w:szCs w:val="20"/>
              </w:rPr>
              <w:t>smallpox DR</w:t>
            </w:r>
          </w:p>
        </w:tc>
        <w:tc>
          <w:tcPr>
            <w:tcW w:w="804" w:type="dxa"/>
          </w:tcPr>
          <w:p w14:paraId="04D0834D"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4E49D13A" w14:textId="77777777" w:rsidR="00F606CA" w:rsidRPr="00D63C2E" w:rsidRDefault="00F01D20">
            <w:pPr>
              <w:spacing w:line="240" w:lineRule="auto"/>
              <w:jc w:val="both"/>
              <w:rPr>
                <w:sz w:val="20"/>
                <w:szCs w:val="20"/>
              </w:rPr>
            </w:pPr>
            <w:r w:rsidRPr="00D63C2E">
              <w:rPr>
                <w:sz w:val="20"/>
                <w:szCs w:val="20"/>
              </w:rPr>
              <w:t>6.986</w:t>
            </w:r>
          </w:p>
        </w:tc>
        <w:tc>
          <w:tcPr>
            <w:tcW w:w="1134" w:type="dxa"/>
          </w:tcPr>
          <w:p w14:paraId="00EC7704" w14:textId="77777777" w:rsidR="00F606CA" w:rsidRPr="00D63C2E" w:rsidRDefault="00F01D20">
            <w:pPr>
              <w:spacing w:line="240" w:lineRule="auto"/>
              <w:jc w:val="both"/>
              <w:rPr>
                <w:sz w:val="20"/>
                <w:szCs w:val="20"/>
              </w:rPr>
            </w:pPr>
            <w:r w:rsidRPr="00D63C2E">
              <w:rPr>
                <w:sz w:val="20"/>
                <w:szCs w:val="20"/>
              </w:rPr>
              <w:t>4.307</w:t>
            </w:r>
          </w:p>
        </w:tc>
        <w:tc>
          <w:tcPr>
            <w:tcW w:w="993" w:type="dxa"/>
          </w:tcPr>
          <w:p w14:paraId="0A9E78DF"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7C8FC120" w14:textId="77777777" w:rsidR="00F606CA" w:rsidRPr="00D63C2E" w:rsidRDefault="00F01D20">
            <w:pPr>
              <w:spacing w:line="240" w:lineRule="auto"/>
              <w:jc w:val="both"/>
              <w:rPr>
                <w:sz w:val="20"/>
                <w:szCs w:val="20"/>
              </w:rPr>
            </w:pPr>
            <w:r w:rsidRPr="00D63C2E">
              <w:rPr>
                <w:sz w:val="20"/>
                <w:szCs w:val="20"/>
              </w:rPr>
              <w:t>19.046</w:t>
            </w:r>
          </w:p>
        </w:tc>
      </w:tr>
      <w:tr w:rsidR="00F606CA" w:rsidRPr="00D63C2E" w14:paraId="166EF721" w14:textId="77777777">
        <w:trPr>
          <w:jc w:val="center"/>
        </w:trPr>
        <w:tc>
          <w:tcPr>
            <w:tcW w:w="1601" w:type="dxa"/>
          </w:tcPr>
          <w:p w14:paraId="017016AF" w14:textId="77777777" w:rsidR="00F606CA" w:rsidRPr="00D63C2E" w:rsidRDefault="00F01D20">
            <w:pPr>
              <w:spacing w:line="240" w:lineRule="auto"/>
              <w:rPr>
                <w:sz w:val="20"/>
                <w:szCs w:val="20"/>
              </w:rPr>
            </w:pPr>
            <w:r w:rsidRPr="00D63C2E">
              <w:rPr>
                <w:sz w:val="20"/>
                <w:szCs w:val="20"/>
              </w:rPr>
              <w:t>average CDR</w:t>
            </w:r>
          </w:p>
        </w:tc>
        <w:tc>
          <w:tcPr>
            <w:tcW w:w="804" w:type="dxa"/>
          </w:tcPr>
          <w:p w14:paraId="4422DEFD"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08D15839" w14:textId="77777777" w:rsidR="00F606CA" w:rsidRPr="00D63C2E" w:rsidRDefault="00F01D20">
            <w:pPr>
              <w:spacing w:line="240" w:lineRule="auto"/>
              <w:jc w:val="both"/>
              <w:rPr>
                <w:sz w:val="20"/>
                <w:szCs w:val="20"/>
              </w:rPr>
            </w:pPr>
            <w:r w:rsidRPr="00D63C2E">
              <w:rPr>
                <w:sz w:val="20"/>
                <w:szCs w:val="20"/>
              </w:rPr>
              <w:t>26.804</w:t>
            </w:r>
          </w:p>
        </w:tc>
        <w:tc>
          <w:tcPr>
            <w:tcW w:w="1134" w:type="dxa"/>
          </w:tcPr>
          <w:p w14:paraId="62322625" w14:textId="77777777" w:rsidR="00F606CA" w:rsidRPr="00D63C2E" w:rsidRDefault="00F01D20">
            <w:pPr>
              <w:spacing w:line="240" w:lineRule="auto"/>
              <w:jc w:val="both"/>
              <w:rPr>
                <w:sz w:val="20"/>
                <w:szCs w:val="20"/>
              </w:rPr>
            </w:pPr>
            <w:r w:rsidRPr="00D63C2E">
              <w:rPr>
                <w:sz w:val="20"/>
                <w:szCs w:val="20"/>
              </w:rPr>
              <w:t>3.818</w:t>
            </w:r>
          </w:p>
        </w:tc>
        <w:tc>
          <w:tcPr>
            <w:tcW w:w="993" w:type="dxa"/>
          </w:tcPr>
          <w:p w14:paraId="38EE566C" w14:textId="77777777" w:rsidR="00F606CA" w:rsidRPr="00D63C2E" w:rsidRDefault="00F01D20">
            <w:pPr>
              <w:spacing w:line="240" w:lineRule="auto"/>
              <w:jc w:val="both"/>
              <w:rPr>
                <w:sz w:val="20"/>
                <w:szCs w:val="20"/>
              </w:rPr>
            </w:pPr>
            <w:r w:rsidRPr="00D63C2E">
              <w:rPr>
                <w:sz w:val="20"/>
                <w:szCs w:val="20"/>
              </w:rPr>
              <w:t>19.069</w:t>
            </w:r>
          </w:p>
        </w:tc>
        <w:tc>
          <w:tcPr>
            <w:tcW w:w="992" w:type="dxa"/>
          </w:tcPr>
          <w:p w14:paraId="2A76462D" w14:textId="77777777" w:rsidR="00F606CA" w:rsidRPr="00D63C2E" w:rsidRDefault="00F01D20">
            <w:pPr>
              <w:spacing w:line="240" w:lineRule="auto"/>
              <w:jc w:val="both"/>
              <w:rPr>
                <w:sz w:val="20"/>
                <w:szCs w:val="20"/>
              </w:rPr>
            </w:pPr>
            <w:r w:rsidRPr="00D63C2E">
              <w:rPr>
                <w:sz w:val="20"/>
                <w:szCs w:val="20"/>
              </w:rPr>
              <w:t>37.672</w:t>
            </w:r>
          </w:p>
        </w:tc>
      </w:tr>
      <w:tr w:rsidR="00F606CA" w:rsidRPr="00D63C2E" w14:paraId="0327A632" w14:textId="77777777">
        <w:trPr>
          <w:jc w:val="center"/>
        </w:trPr>
        <w:tc>
          <w:tcPr>
            <w:tcW w:w="1601" w:type="dxa"/>
          </w:tcPr>
          <w:p w14:paraId="0CD5BB40" w14:textId="77777777" w:rsidR="00F606CA" w:rsidRPr="00D63C2E" w:rsidRDefault="00F01D20">
            <w:pPr>
              <w:spacing w:line="240" w:lineRule="auto"/>
              <w:rPr>
                <w:sz w:val="20"/>
                <w:szCs w:val="20"/>
              </w:rPr>
            </w:pPr>
            <w:r w:rsidRPr="00D63C2E">
              <w:rPr>
                <w:sz w:val="20"/>
                <w:szCs w:val="20"/>
              </w:rPr>
              <w:t>poor</w:t>
            </w:r>
          </w:p>
        </w:tc>
        <w:tc>
          <w:tcPr>
            <w:tcW w:w="804" w:type="dxa"/>
          </w:tcPr>
          <w:p w14:paraId="7E7D4E8D"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283B824B" w14:textId="77777777" w:rsidR="00F606CA" w:rsidRPr="00D63C2E" w:rsidRDefault="00F01D20">
            <w:pPr>
              <w:spacing w:line="240" w:lineRule="auto"/>
              <w:jc w:val="both"/>
              <w:rPr>
                <w:sz w:val="20"/>
                <w:szCs w:val="20"/>
              </w:rPr>
            </w:pPr>
            <w:r w:rsidRPr="00D63C2E">
              <w:rPr>
                <w:sz w:val="20"/>
                <w:szCs w:val="20"/>
              </w:rPr>
              <w:t>0.220</w:t>
            </w:r>
          </w:p>
        </w:tc>
        <w:tc>
          <w:tcPr>
            <w:tcW w:w="1134" w:type="dxa"/>
          </w:tcPr>
          <w:p w14:paraId="0E022F85" w14:textId="77777777" w:rsidR="00F606CA" w:rsidRPr="00D63C2E" w:rsidRDefault="00F01D20">
            <w:pPr>
              <w:spacing w:line="240" w:lineRule="auto"/>
              <w:jc w:val="both"/>
              <w:rPr>
                <w:sz w:val="20"/>
                <w:szCs w:val="20"/>
              </w:rPr>
            </w:pPr>
            <w:r w:rsidRPr="00D63C2E">
              <w:rPr>
                <w:sz w:val="20"/>
                <w:szCs w:val="20"/>
              </w:rPr>
              <w:t>0.418</w:t>
            </w:r>
          </w:p>
        </w:tc>
        <w:tc>
          <w:tcPr>
            <w:tcW w:w="993" w:type="dxa"/>
          </w:tcPr>
          <w:p w14:paraId="04E5C49B"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7DB42620" w14:textId="77777777" w:rsidR="00F606CA" w:rsidRPr="00D63C2E" w:rsidRDefault="00F01D20">
            <w:pPr>
              <w:spacing w:line="240" w:lineRule="auto"/>
              <w:jc w:val="both"/>
              <w:rPr>
                <w:sz w:val="20"/>
                <w:szCs w:val="20"/>
              </w:rPr>
            </w:pPr>
            <w:r w:rsidRPr="00D63C2E">
              <w:rPr>
                <w:sz w:val="20"/>
                <w:szCs w:val="20"/>
              </w:rPr>
              <w:t>1</w:t>
            </w:r>
          </w:p>
        </w:tc>
      </w:tr>
      <w:tr w:rsidR="00F606CA" w:rsidRPr="00D63C2E" w14:paraId="06AAB223" w14:textId="77777777">
        <w:trPr>
          <w:jc w:val="center"/>
        </w:trPr>
        <w:tc>
          <w:tcPr>
            <w:tcW w:w="1601" w:type="dxa"/>
          </w:tcPr>
          <w:p w14:paraId="231F765A" w14:textId="77777777" w:rsidR="00F606CA" w:rsidRPr="00D63C2E" w:rsidRDefault="00F01D20">
            <w:pPr>
              <w:spacing w:line="240" w:lineRule="auto"/>
              <w:rPr>
                <w:sz w:val="20"/>
                <w:szCs w:val="20"/>
              </w:rPr>
            </w:pPr>
            <w:r w:rsidRPr="00D63C2E">
              <w:rPr>
                <w:sz w:val="20"/>
                <w:szCs w:val="20"/>
              </w:rPr>
              <w:t>rather poor</w:t>
            </w:r>
          </w:p>
        </w:tc>
        <w:tc>
          <w:tcPr>
            <w:tcW w:w="804" w:type="dxa"/>
          </w:tcPr>
          <w:p w14:paraId="090C184B"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300CA534" w14:textId="77777777" w:rsidR="00F606CA" w:rsidRPr="00D63C2E" w:rsidRDefault="00F01D20">
            <w:pPr>
              <w:spacing w:line="240" w:lineRule="auto"/>
              <w:jc w:val="both"/>
              <w:rPr>
                <w:sz w:val="20"/>
                <w:szCs w:val="20"/>
              </w:rPr>
            </w:pPr>
            <w:r w:rsidRPr="00D63C2E">
              <w:rPr>
                <w:sz w:val="20"/>
                <w:szCs w:val="20"/>
              </w:rPr>
              <w:t>0.400</w:t>
            </w:r>
          </w:p>
        </w:tc>
        <w:tc>
          <w:tcPr>
            <w:tcW w:w="1134" w:type="dxa"/>
          </w:tcPr>
          <w:p w14:paraId="702A78F4" w14:textId="77777777" w:rsidR="00F606CA" w:rsidRPr="00D63C2E" w:rsidRDefault="00F01D20">
            <w:pPr>
              <w:spacing w:line="240" w:lineRule="auto"/>
              <w:jc w:val="both"/>
              <w:rPr>
                <w:sz w:val="20"/>
                <w:szCs w:val="20"/>
              </w:rPr>
            </w:pPr>
            <w:r w:rsidRPr="00D63C2E">
              <w:rPr>
                <w:sz w:val="20"/>
                <w:szCs w:val="20"/>
              </w:rPr>
              <w:t>0.495</w:t>
            </w:r>
          </w:p>
        </w:tc>
        <w:tc>
          <w:tcPr>
            <w:tcW w:w="993" w:type="dxa"/>
          </w:tcPr>
          <w:p w14:paraId="286F2A45"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4BB555D5" w14:textId="77777777" w:rsidR="00F606CA" w:rsidRPr="00D63C2E" w:rsidRDefault="00F01D20">
            <w:pPr>
              <w:spacing w:line="240" w:lineRule="auto"/>
              <w:jc w:val="both"/>
              <w:rPr>
                <w:sz w:val="20"/>
                <w:szCs w:val="20"/>
              </w:rPr>
            </w:pPr>
            <w:r w:rsidRPr="00D63C2E">
              <w:rPr>
                <w:sz w:val="20"/>
                <w:szCs w:val="20"/>
              </w:rPr>
              <w:t>1</w:t>
            </w:r>
          </w:p>
        </w:tc>
      </w:tr>
      <w:tr w:rsidR="00F606CA" w:rsidRPr="00D63C2E" w14:paraId="1E87326D" w14:textId="77777777">
        <w:trPr>
          <w:jc w:val="center"/>
        </w:trPr>
        <w:tc>
          <w:tcPr>
            <w:tcW w:w="1601" w:type="dxa"/>
          </w:tcPr>
          <w:p w14:paraId="5D808F74" w14:textId="77777777" w:rsidR="00F606CA" w:rsidRPr="00D63C2E" w:rsidRDefault="00F01D20">
            <w:pPr>
              <w:spacing w:line="240" w:lineRule="auto"/>
              <w:rPr>
                <w:sz w:val="20"/>
                <w:szCs w:val="20"/>
              </w:rPr>
            </w:pPr>
            <w:r w:rsidRPr="00D63C2E">
              <w:rPr>
                <w:sz w:val="20"/>
                <w:szCs w:val="20"/>
              </w:rPr>
              <w:t>rather wealthy</w:t>
            </w:r>
          </w:p>
        </w:tc>
        <w:tc>
          <w:tcPr>
            <w:tcW w:w="804" w:type="dxa"/>
          </w:tcPr>
          <w:p w14:paraId="280C2B76"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75EC0AEE" w14:textId="77777777" w:rsidR="00F606CA" w:rsidRPr="00D63C2E" w:rsidRDefault="00F01D20">
            <w:pPr>
              <w:spacing w:line="240" w:lineRule="auto"/>
              <w:jc w:val="both"/>
              <w:rPr>
                <w:sz w:val="20"/>
                <w:szCs w:val="20"/>
              </w:rPr>
            </w:pPr>
            <w:r w:rsidRPr="00D63C2E">
              <w:rPr>
                <w:sz w:val="20"/>
                <w:szCs w:val="20"/>
              </w:rPr>
              <w:t>0.240</w:t>
            </w:r>
          </w:p>
        </w:tc>
        <w:tc>
          <w:tcPr>
            <w:tcW w:w="1134" w:type="dxa"/>
          </w:tcPr>
          <w:p w14:paraId="7B6C4E15" w14:textId="77777777" w:rsidR="00F606CA" w:rsidRPr="00D63C2E" w:rsidRDefault="00F01D20">
            <w:pPr>
              <w:spacing w:line="240" w:lineRule="auto"/>
              <w:jc w:val="both"/>
              <w:rPr>
                <w:sz w:val="20"/>
                <w:szCs w:val="20"/>
              </w:rPr>
            </w:pPr>
            <w:r w:rsidRPr="00D63C2E">
              <w:rPr>
                <w:sz w:val="20"/>
                <w:szCs w:val="20"/>
              </w:rPr>
              <w:t>0.431</w:t>
            </w:r>
          </w:p>
        </w:tc>
        <w:tc>
          <w:tcPr>
            <w:tcW w:w="993" w:type="dxa"/>
          </w:tcPr>
          <w:p w14:paraId="04FC8520"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668BDC16" w14:textId="77777777" w:rsidR="00F606CA" w:rsidRPr="00D63C2E" w:rsidRDefault="00F01D20">
            <w:pPr>
              <w:spacing w:line="240" w:lineRule="auto"/>
              <w:jc w:val="both"/>
              <w:rPr>
                <w:sz w:val="20"/>
                <w:szCs w:val="20"/>
              </w:rPr>
            </w:pPr>
            <w:r w:rsidRPr="00D63C2E">
              <w:rPr>
                <w:sz w:val="20"/>
                <w:szCs w:val="20"/>
              </w:rPr>
              <w:t>1</w:t>
            </w:r>
          </w:p>
        </w:tc>
      </w:tr>
      <w:tr w:rsidR="00F606CA" w:rsidRPr="00D63C2E" w14:paraId="1CA8346E" w14:textId="77777777">
        <w:trPr>
          <w:jc w:val="center"/>
        </w:trPr>
        <w:tc>
          <w:tcPr>
            <w:tcW w:w="1601" w:type="dxa"/>
          </w:tcPr>
          <w:p w14:paraId="43A651CB" w14:textId="77777777" w:rsidR="00F606CA" w:rsidRPr="00D63C2E" w:rsidRDefault="00F01D20">
            <w:pPr>
              <w:spacing w:line="240" w:lineRule="auto"/>
              <w:rPr>
                <w:sz w:val="20"/>
                <w:szCs w:val="20"/>
              </w:rPr>
            </w:pPr>
            <w:r w:rsidRPr="00D63C2E">
              <w:rPr>
                <w:sz w:val="20"/>
                <w:szCs w:val="20"/>
              </w:rPr>
              <w:t>wealthy</w:t>
            </w:r>
          </w:p>
        </w:tc>
        <w:tc>
          <w:tcPr>
            <w:tcW w:w="804" w:type="dxa"/>
          </w:tcPr>
          <w:p w14:paraId="5E9CBC8D"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3DFA44F7" w14:textId="77777777" w:rsidR="00F606CA" w:rsidRPr="00D63C2E" w:rsidRDefault="00F01D20">
            <w:pPr>
              <w:spacing w:line="240" w:lineRule="auto"/>
              <w:jc w:val="both"/>
              <w:rPr>
                <w:sz w:val="20"/>
                <w:szCs w:val="20"/>
              </w:rPr>
            </w:pPr>
            <w:r w:rsidRPr="00D63C2E">
              <w:rPr>
                <w:sz w:val="20"/>
                <w:szCs w:val="20"/>
              </w:rPr>
              <w:t>0.140</w:t>
            </w:r>
          </w:p>
        </w:tc>
        <w:tc>
          <w:tcPr>
            <w:tcW w:w="1134" w:type="dxa"/>
          </w:tcPr>
          <w:p w14:paraId="4534861B" w14:textId="77777777" w:rsidR="00F606CA" w:rsidRPr="00D63C2E" w:rsidRDefault="00F01D20">
            <w:pPr>
              <w:spacing w:line="240" w:lineRule="auto"/>
              <w:jc w:val="both"/>
              <w:rPr>
                <w:sz w:val="20"/>
                <w:szCs w:val="20"/>
              </w:rPr>
            </w:pPr>
            <w:r w:rsidRPr="00D63C2E">
              <w:rPr>
                <w:sz w:val="20"/>
                <w:szCs w:val="20"/>
              </w:rPr>
              <w:t>0.351</w:t>
            </w:r>
          </w:p>
        </w:tc>
        <w:tc>
          <w:tcPr>
            <w:tcW w:w="993" w:type="dxa"/>
          </w:tcPr>
          <w:p w14:paraId="0B099380"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096C593D" w14:textId="77777777" w:rsidR="00F606CA" w:rsidRPr="00D63C2E" w:rsidRDefault="00F01D20">
            <w:pPr>
              <w:spacing w:line="240" w:lineRule="auto"/>
              <w:jc w:val="both"/>
              <w:rPr>
                <w:sz w:val="20"/>
                <w:szCs w:val="20"/>
              </w:rPr>
            </w:pPr>
            <w:r w:rsidRPr="00D63C2E">
              <w:rPr>
                <w:sz w:val="20"/>
                <w:szCs w:val="20"/>
              </w:rPr>
              <w:t>1</w:t>
            </w:r>
          </w:p>
        </w:tc>
      </w:tr>
      <w:tr w:rsidR="00F606CA" w:rsidRPr="00D63C2E" w14:paraId="0B013B4D" w14:textId="77777777">
        <w:trPr>
          <w:jc w:val="center"/>
        </w:trPr>
        <w:tc>
          <w:tcPr>
            <w:tcW w:w="1601" w:type="dxa"/>
          </w:tcPr>
          <w:p w14:paraId="7BF02D6F" w14:textId="77777777" w:rsidR="00F606CA" w:rsidRPr="00D63C2E" w:rsidRDefault="00F01D20">
            <w:pPr>
              <w:spacing w:line="240" w:lineRule="auto"/>
              <w:rPr>
                <w:sz w:val="20"/>
                <w:szCs w:val="20"/>
              </w:rPr>
            </w:pPr>
            <w:r w:rsidRPr="00D63C2E">
              <w:rPr>
                <w:sz w:val="20"/>
                <w:szCs w:val="20"/>
              </w:rPr>
              <w:t xml:space="preserve">log rental value </w:t>
            </w:r>
          </w:p>
        </w:tc>
        <w:tc>
          <w:tcPr>
            <w:tcW w:w="804" w:type="dxa"/>
          </w:tcPr>
          <w:p w14:paraId="480BF47C" w14:textId="77777777" w:rsidR="00F606CA" w:rsidRPr="00D63C2E" w:rsidRDefault="00F01D20">
            <w:pPr>
              <w:spacing w:line="240" w:lineRule="auto"/>
              <w:jc w:val="both"/>
              <w:rPr>
                <w:sz w:val="20"/>
                <w:szCs w:val="20"/>
              </w:rPr>
            </w:pPr>
            <w:r w:rsidRPr="00D63C2E">
              <w:rPr>
                <w:sz w:val="20"/>
                <w:szCs w:val="20"/>
              </w:rPr>
              <w:t>47</w:t>
            </w:r>
          </w:p>
        </w:tc>
        <w:tc>
          <w:tcPr>
            <w:tcW w:w="992" w:type="dxa"/>
          </w:tcPr>
          <w:p w14:paraId="0DAF07F3" w14:textId="77777777" w:rsidR="00F606CA" w:rsidRPr="00D63C2E" w:rsidRDefault="00F01D20">
            <w:pPr>
              <w:spacing w:line="240" w:lineRule="auto"/>
              <w:jc w:val="both"/>
              <w:rPr>
                <w:sz w:val="20"/>
                <w:szCs w:val="20"/>
              </w:rPr>
            </w:pPr>
            <w:r w:rsidRPr="00D63C2E">
              <w:rPr>
                <w:sz w:val="20"/>
                <w:szCs w:val="20"/>
              </w:rPr>
              <w:t>5.608</w:t>
            </w:r>
          </w:p>
        </w:tc>
        <w:tc>
          <w:tcPr>
            <w:tcW w:w="1134" w:type="dxa"/>
          </w:tcPr>
          <w:p w14:paraId="0ED0B306" w14:textId="77777777" w:rsidR="00F606CA" w:rsidRPr="00D63C2E" w:rsidRDefault="00F01D20">
            <w:pPr>
              <w:spacing w:line="240" w:lineRule="auto"/>
              <w:jc w:val="both"/>
              <w:rPr>
                <w:sz w:val="20"/>
                <w:szCs w:val="20"/>
              </w:rPr>
            </w:pPr>
            <w:r w:rsidRPr="00D63C2E">
              <w:rPr>
                <w:sz w:val="20"/>
                <w:szCs w:val="20"/>
              </w:rPr>
              <w:t>0.488</w:t>
            </w:r>
          </w:p>
        </w:tc>
        <w:tc>
          <w:tcPr>
            <w:tcW w:w="993" w:type="dxa"/>
          </w:tcPr>
          <w:p w14:paraId="77709410" w14:textId="77777777" w:rsidR="00F606CA" w:rsidRPr="00D63C2E" w:rsidRDefault="00F01D20">
            <w:pPr>
              <w:spacing w:line="240" w:lineRule="auto"/>
              <w:jc w:val="both"/>
              <w:rPr>
                <w:sz w:val="20"/>
                <w:szCs w:val="20"/>
              </w:rPr>
            </w:pPr>
            <w:r w:rsidRPr="00D63C2E">
              <w:rPr>
                <w:sz w:val="20"/>
                <w:szCs w:val="20"/>
              </w:rPr>
              <w:t>4.619</w:t>
            </w:r>
          </w:p>
        </w:tc>
        <w:tc>
          <w:tcPr>
            <w:tcW w:w="992" w:type="dxa"/>
          </w:tcPr>
          <w:p w14:paraId="34ED346E" w14:textId="77777777" w:rsidR="00F606CA" w:rsidRPr="00D63C2E" w:rsidRDefault="00F01D20">
            <w:pPr>
              <w:spacing w:line="240" w:lineRule="auto"/>
              <w:jc w:val="both"/>
              <w:rPr>
                <w:sz w:val="20"/>
                <w:szCs w:val="20"/>
              </w:rPr>
            </w:pPr>
            <w:r w:rsidRPr="00D63C2E">
              <w:rPr>
                <w:sz w:val="20"/>
                <w:szCs w:val="20"/>
              </w:rPr>
              <w:t>6.528</w:t>
            </w:r>
          </w:p>
        </w:tc>
      </w:tr>
      <w:tr w:rsidR="00F606CA" w:rsidRPr="00D63C2E" w14:paraId="3A9F7080" w14:textId="77777777">
        <w:trPr>
          <w:jc w:val="center"/>
        </w:trPr>
        <w:tc>
          <w:tcPr>
            <w:tcW w:w="1601" w:type="dxa"/>
          </w:tcPr>
          <w:p w14:paraId="494CBC8F" w14:textId="77777777" w:rsidR="00F606CA" w:rsidRPr="00D63C2E" w:rsidRDefault="00F01D20">
            <w:pPr>
              <w:spacing w:line="240" w:lineRule="auto"/>
              <w:rPr>
                <w:sz w:val="20"/>
                <w:szCs w:val="20"/>
              </w:rPr>
            </w:pPr>
            <w:r w:rsidRPr="00D63C2E">
              <w:rPr>
                <w:sz w:val="20"/>
                <w:szCs w:val="20"/>
              </w:rPr>
              <w:t>std. of rental value</w:t>
            </w:r>
          </w:p>
        </w:tc>
        <w:tc>
          <w:tcPr>
            <w:tcW w:w="804" w:type="dxa"/>
          </w:tcPr>
          <w:p w14:paraId="1FEA8DA5" w14:textId="77777777" w:rsidR="00F606CA" w:rsidRPr="00D63C2E" w:rsidRDefault="00F01D20">
            <w:pPr>
              <w:spacing w:line="240" w:lineRule="auto"/>
              <w:jc w:val="both"/>
              <w:rPr>
                <w:sz w:val="20"/>
                <w:szCs w:val="20"/>
              </w:rPr>
            </w:pPr>
            <w:r w:rsidRPr="00D63C2E">
              <w:rPr>
                <w:sz w:val="20"/>
                <w:szCs w:val="20"/>
              </w:rPr>
              <w:t>47</w:t>
            </w:r>
          </w:p>
        </w:tc>
        <w:tc>
          <w:tcPr>
            <w:tcW w:w="992" w:type="dxa"/>
          </w:tcPr>
          <w:p w14:paraId="0448C8AA" w14:textId="77777777" w:rsidR="00F606CA" w:rsidRPr="00D63C2E" w:rsidRDefault="00F01D20">
            <w:pPr>
              <w:spacing w:line="240" w:lineRule="auto"/>
              <w:jc w:val="both"/>
              <w:rPr>
                <w:sz w:val="20"/>
                <w:szCs w:val="20"/>
              </w:rPr>
            </w:pPr>
            <w:r w:rsidRPr="00D63C2E">
              <w:rPr>
                <w:sz w:val="20"/>
                <w:szCs w:val="20"/>
              </w:rPr>
              <w:t>233.602</w:t>
            </w:r>
          </w:p>
        </w:tc>
        <w:tc>
          <w:tcPr>
            <w:tcW w:w="1134" w:type="dxa"/>
          </w:tcPr>
          <w:p w14:paraId="7746CD70" w14:textId="77777777" w:rsidR="00F606CA" w:rsidRPr="00D63C2E" w:rsidRDefault="00F01D20">
            <w:pPr>
              <w:spacing w:line="240" w:lineRule="auto"/>
              <w:jc w:val="both"/>
              <w:rPr>
                <w:sz w:val="20"/>
                <w:szCs w:val="20"/>
              </w:rPr>
            </w:pPr>
            <w:r w:rsidRPr="00D63C2E">
              <w:rPr>
                <w:sz w:val="20"/>
                <w:szCs w:val="20"/>
              </w:rPr>
              <w:t>110.204</w:t>
            </w:r>
          </w:p>
        </w:tc>
        <w:tc>
          <w:tcPr>
            <w:tcW w:w="993" w:type="dxa"/>
          </w:tcPr>
          <w:p w14:paraId="72443DEA" w14:textId="77777777" w:rsidR="00F606CA" w:rsidRPr="00D63C2E" w:rsidRDefault="00F01D20">
            <w:pPr>
              <w:spacing w:line="240" w:lineRule="auto"/>
              <w:jc w:val="both"/>
              <w:rPr>
                <w:sz w:val="20"/>
                <w:szCs w:val="20"/>
              </w:rPr>
            </w:pPr>
            <w:r w:rsidRPr="00D63C2E">
              <w:rPr>
                <w:sz w:val="20"/>
                <w:szCs w:val="20"/>
              </w:rPr>
              <w:t>80.632</w:t>
            </w:r>
          </w:p>
        </w:tc>
        <w:tc>
          <w:tcPr>
            <w:tcW w:w="992" w:type="dxa"/>
          </w:tcPr>
          <w:p w14:paraId="3F084081" w14:textId="77777777" w:rsidR="00F606CA" w:rsidRPr="00D63C2E" w:rsidRDefault="00F01D20">
            <w:pPr>
              <w:spacing w:line="240" w:lineRule="auto"/>
              <w:jc w:val="both"/>
              <w:rPr>
                <w:sz w:val="20"/>
                <w:szCs w:val="20"/>
              </w:rPr>
            </w:pPr>
            <w:r w:rsidRPr="00D63C2E">
              <w:rPr>
                <w:sz w:val="20"/>
                <w:szCs w:val="20"/>
              </w:rPr>
              <w:t>497.227</w:t>
            </w:r>
          </w:p>
        </w:tc>
      </w:tr>
      <w:tr w:rsidR="00F606CA" w:rsidRPr="00D63C2E" w14:paraId="13A60467" w14:textId="77777777">
        <w:trPr>
          <w:jc w:val="center"/>
        </w:trPr>
        <w:tc>
          <w:tcPr>
            <w:tcW w:w="1601" w:type="dxa"/>
          </w:tcPr>
          <w:p w14:paraId="11ABBDF6" w14:textId="77777777" w:rsidR="00F606CA" w:rsidRPr="00D63C2E" w:rsidRDefault="00F01D20">
            <w:pPr>
              <w:spacing w:line="240" w:lineRule="auto"/>
              <w:rPr>
                <w:sz w:val="20"/>
                <w:szCs w:val="20"/>
              </w:rPr>
            </w:pPr>
            <w:r w:rsidRPr="00D63C2E">
              <w:rPr>
                <w:sz w:val="20"/>
                <w:szCs w:val="20"/>
              </w:rPr>
              <w:t>house density</w:t>
            </w:r>
          </w:p>
        </w:tc>
        <w:tc>
          <w:tcPr>
            <w:tcW w:w="804" w:type="dxa"/>
          </w:tcPr>
          <w:p w14:paraId="04A34995" w14:textId="77777777" w:rsidR="00F606CA" w:rsidRPr="00D63C2E" w:rsidRDefault="00F01D20">
            <w:pPr>
              <w:spacing w:line="240" w:lineRule="auto"/>
              <w:jc w:val="both"/>
              <w:rPr>
                <w:sz w:val="20"/>
                <w:szCs w:val="20"/>
              </w:rPr>
            </w:pPr>
            <w:r w:rsidRPr="00D63C2E">
              <w:rPr>
                <w:sz w:val="20"/>
                <w:szCs w:val="20"/>
              </w:rPr>
              <w:t>47</w:t>
            </w:r>
          </w:p>
        </w:tc>
        <w:tc>
          <w:tcPr>
            <w:tcW w:w="992" w:type="dxa"/>
          </w:tcPr>
          <w:p w14:paraId="074A89FC" w14:textId="77777777" w:rsidR="00F606CA" w:rsidRPr="00D63C2E" w:rsidRDefault="00F01D20">
            <w:pPr>
              <w:spacing w:line="240" w:lineRule="auto"/>
              <w:jc w:val="both"/>
              <w:rPr>
                <w:sz w:val="20"/>
                <w:szCs w:val="20"/>
              </w:rPr>
            </w:pPr>
            <w:r w:rsidRPr="00D63C2E">
              <w:rPr>
                <w:sz w:val="20"/>
                <w:szCs w:val="20"/>
              </w:rPr>
              <w:t>11.067</w:t>
            </w:r>
          </w:p>
        </w:tc>
        <w:tc>
          <w:tcPr>
            <w:tcW w:w="1134" w:type="dxa"/>
          </w:tcPr>
          <w:p w14:paraId="519C4C82" w14:textId="77777777" w:rsidR="00F606CA" w:rsidRPr="00D63C2E" w:rsidRDefault="00F01D20">
            <w:pPr>
              <w:spacing w:line="240" w:lineRule="auto"/>
              <w:jc w:val="both"/>
              <w:rPr>
                <w:sz w:val="20"/>
                <w:szCs w:val="20"/>
              </w:rPr>
            </w:pPr>
            <w:r w:rsidRPr="00D63C2E">
              <w:rPr>
                <w:sz w:val="20"/>
                <w:szCs w:val="20"/>
              </w:rPr>
              <w:t>2.991</w:t>
            </w:r>
          </w:p>
        </w:tc>
        <w:tc>
          <w:tcPr>
            <w:tcW w:w="993" w:type="dxa"/>
          </w:tcPr>
          <w:p w14:paraId="742FE766" w14:textId="77777777" w:rsidR="00F606CA" w:rsidRPr="00D63C2E" w:rsidRDefault="00F01D20">
            <w:pPr>
              <w:spacing w:line="240" w:lineRule="auto"/>
              <w:jc w:val="both"/>
              <w:rPr>
                <w:sz w:val="20"/>
                <w:szCs w:val="20"/>
              </w:rPr>
            </w:pPr>
            <w:r w:rsidRPr="00D63C2E">
              <w:rPr>
                <w:sz w:val="20"/>
                <w:szCs w:val="20"/>
              </w:rPr>
              <w:t>12.07</w:t>
            </w:r>
          </w:p>
        </w:tc>
        <w:tc>
          <w:tcPr>
            <w:tcW w:w="992" w:type="dxa"/>
          </w:tcPr>
          <w:p w14:paraId="6CCD1B87" w14:textId="77777777" w:rsidR="00F606CA" w:rsidRPr="00D63C2E" w:rsidRDefault="00F01D20">
            <w:pPr>
              <w:spacing w:line="240" w:lineRule="auto"/>
              <w:jc w:val="both"/>
              <w:rPr>
                <w:sz w:val="20"/>
                <w:szCs w:val="20"/>
              </w:rPr>
            </w:pPr>
            <w:r w:rsidRPr="00D63C2E">
              <w:rPr>
                <w:sz w:val="20"/>
                <w:szCs w:val="20"/>
              </w:rPr>
              <w:t>18.394</w:t>
            </w:r>
          </w:p>
        </w:tc>
      </w:tr>
      <w:tr w:rsidR="00F606CA" w:rsidRPr="00D63C2E" w14:paraId="068685BB" w14:textId="77777777">
        <w:trPr>
          <w:jc w:val="center"/>
        </w:trPr>
        <w:tc>
          <w:tcPr>
            <w:tcW w:w="1601" w:type="dxa"/>
          </w:tcPr>
          <w:p w14:paraId="6303AEB8" w14:textId="77777777" w:rsidR="00F606CA" w:rsidRPr="00D63C2E" w:rsidRDefault="00F01D20">
            <w:pPr>
              <w:spacing w:line="240" w:lineRule="auto"/>
              <w:rPr>
                <w:sz w:val="20"/>
                <w:szCs w:val="20"/>
              </w:rPr>
            </w:pPr>
            <w:r w:rsidRPr="00D63C2E">
              <w:rPr>
                <w:sz w:val="20"/>
                <w:szCs w:val="20"/>
              </w:rPr>
              <w:t>Jewish neighbourhood</w:t>
            </w:r>
          </w:p>
        </w:tc>
        <w:tc>
          <w:tcPr>
            <w:tcW w:w="804" w:type="dxa"/>
          </w:tcPr>
          <w:p w14:paraId="1F52B7BD"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435FA0E8" w14:textId="77777777" w:rsidR="00F606CA" w:rsidRPr="00D63C2E" w:rsidRDefault="00F01D20">
            <w:pPr>
              <w:spacing w:line="240" w:lineRule="auto"/>
              <w:jc w:val="both"/>
              <w:rPr>
                <w:sz w:val="20"/>
                <w:szCs w:val="20"/>
              </w:rPr>
            </w:pPr>
            <w:r w:rsidRPr="00D63C2E">
              <w:rPr>
                <w:sz w:val="20"/>
                <w:szCs w:val="20"/>
              </w:rPr>
              <w:t>0.140</w:t>
            </w:r>
          </w:p>
        </w:tc>
        <w:tc>
          <w:tcPr>
            <w:tcW w:w="1134" w:type="dxa"/>
          </w:tcPr>
          <w:p w14:paraId="46ACB68D" w14:textId="77777777" w:rsidR="00F606CA" w:rsidRPr="00D63C2E" w:rsidRDefault="00F01D20">
            <w:pPr>
              <w:spacing w:line="240" w:lineRule="auto"/>
              <w:jc w:val="both"/>
              <w:rPr>
                <w:sz w:val="20"/>
                <w:szCs w:val="20"/>
              </w:rPr>
            </w:pPr>
            <w:r w:rsidRPr="00D63C2E">
              <w:rPr>
                <w:sz w:val="20"/>
                <w:szCs w:val="20"/>
              </w:rPr>
              <w:t>0.351</w:t>
            </w:r>
          </w:p>
        </w:tc>
        <w:tc>
          <w:tcPr>
            <w:tcW w:w="993" w:type="dxa"/>
          </w:tcPr>
          <w:p w14:paraId="6AE429FE"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4E2BEF42" w14:textId="77777777" w:rsidR="00F606CA" w:rsidRPr="00D63C2E" w:rsidRDefault="00F01D20">
            <w:pPr>
              <w:spacing w:line="240" w:lineRule="auto"/>
              <w:jc w:val="both"/>
              <w:rPr>
                <w:sz w:val="20"/>
                <w:szCs w:val="20"/>
              </w:rPr>
            </w:pPr>
            <w:r w:rsidRPr="00D63C2E">
              <w:rPr>
                <w:sz w:val="20"/>
                <w:szCs w:val="20"/>
              </w:rPr>
              <w:t>1</w:t>
            </w:r>
          </w:p>
        </w:tc>
      </w:tr>
      <w:tr w:rsidR="00F606CA" w:rsidRPr="00D63C2E" w14:paraId="6CBB6C4C" w14:textId="77777777">
        <w:trPr>
          <w:jc w:val="center"/>
        </w:trPr>
        <w:tc>
          <w:tcPr>
            <w:tcW w:w="1601" w:type="dxa"/>
          </w:tcPr>
          <w:p w14:paraId="71C506BC" w14:textId="77777777" w:rsidR="00F606CA" w:rsidRPr="00D63C2E" w:rsidRDefault="00F01D20">
            <w:pPr>
              <w:spacing w:line="240" w:lineRule="auto"/>
              <w:rPr>
                <w:sz w:val="20"/>
                <w:szCs w:val="20"/>
              </w:rPr>
            </w:pPr>
            <w:r w:rsidRPr="00D63C2E">
              <w:rPr>
                <w:sz w:val="20"/>
                <w:szCs w:val="20"/>
              </w:rPr>
              <w:t>birth rate</w:t>
            </w:r>
          </w:p>
        </w:tc>
        <w:tc>
          <w:tcPr>
            <w:tcW w:w="804" w:type="dxa"/>
          </w:tcPr>
          <w:p w14:paraId="2EA05628"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5815F9BF" w14:textId="77777777" w:rsidR="00F606CA" w:rsidRPr="00D63C2E" w:rsidRDefault="00F01D20">
            <w:pPr>
              <w:spacing w:line="240" w:lineRule="auto"/>
              <w:jc w:val="both"/>
              <w:rPr>
                <w:sz w:val="20"/>
                <w:szCs w:val="20"/>
              </w:rPr>
            </w:pPr>
            <w:r w:rsidRPr="00D63C2E">
              <w:rPr>
                <w:sz w:val="20"/>
                <w:szCs w:val="20"/>
              </w:rPr>
              <w:t>27.859</w:t>
            </w:r>
          </w:p>
        </w:tc>
        <w:tc>
          <w:tcPr>
            <w:tcW w:w="1134" w:type="dxa"/>
          </w:tcPr>
          <w:p w14:paraId="5E1AFD96" w14:textId="77777777" w:rsidR="00F606CA" w:rsidRPr="00D63C2E" w:rsidRDefault="00F01D20">
            <w:pPr>
              <w:spacing w:line="240" w:lineRule="auto"/>
              <w:jc w:val="both"/>
              <w:rPr>
                <w:sz w:val="20"/>
                <w:szCs w:val="20"/>
              </w:rPr>
            </w:pPr>
            <w:r w:rsidRPr="00D63C2E">
              <w:rPr>
                <w:sz w:val="20"/>
                <w:szCs w:val="20"/>
              </w:rPr>
              <w:t>9.774</w:t>
            </w:r>
          </w:p>
        </w:tc>
        <w:tc>
          <w:tcPr>
            <w:tcW w:w="993" w:type="dxa"/>
          </w:tcPr>
          <w:p w14:paraId="4C7F3E3B" w14:textId="77777777" w:rsidR="00F606CA" w:rsidRPr="00D63C2E" w:rsidRDefault="00F01D20">
            <w:pPr>
              <w:spacing w:line="240" w:lineRule="auto"/>
              <w:jc w:val="both"/>
              <w:rPr>
                <w:sz w:val="20"/>
                <w:szCs w:val="20"/>
              </w:rPr>
            </w:pPr>
            <w:r w:rsidRPr="00D63C2E">
              <w:rPr>
                <w:sz w:val="20"/>
                <w:szCs w:val="20"/>
              </w:rPr>
              <w:t>4.653</w:t>
            </w:r>
          </w:p>
        </w:tc>
        <w:tc>
          <w:tcPr>
            <w:tcW w:w="992" w:type="dxa"/>
          </w:tcPr>
          <w:p w14:paraId="48833600" w14:textId="77777777" w:rsidR="00F606CA" w:rsidRPr="00D63C2E" w:rsidRDefault="00F01D20">
            <w:pPr>
              <w:spacing w:line="240" w:lineRule="auto"/>
              <w:jc w:val="both"/>
              <w:rPr>
                <w:sz w:val="20"/>
                <w:szCs w:val="20"/>
              </w:rPr>
            </w:pPr>
            <w:r w:rsidRPr="00D63C2E">
              <w:rPr>
                <w:sz w:val="20"/>
                <w:szCs w:val="20"/>
              </w:rPr>
              <w:t>71.610</w:t>
            </w:r>
          </w:p>
        </w:tc>
      </w:tr>
      <w:tr w:rsidR="00F606CA" w14:paraId="58FF2C41" w14:textId="77777777">
        <w:trPr>
          <w:jc w:val="center"/>
        </w:trPr>
        <w:tc>
          <w:tcPr>
            <w:tcW w:w="1601" w:type="dxa"/>
          </w:tcPr>
          <w:p w14:paraId="6D3698B1" w14:textId="77777777" w:rsidR="00F606CA" w:rsidRPr="00D63C2E" w:rsidRDefault="00F01D20">
            <w:pPr>
              <w:spacing w:line="240" w:lineRule="auto"/>
              <w:rPr>
                <w:sz w:val="20"/>
                <w:szCs w:val="20"/>
              </w:rPr>
            </w:pPr>
            <w:r w:rsidRPr="00D63C2E">
              <w:rPr>
                <w:sz w:val="20"/>
                <w:szCs w:val="20"/>
              </w:rPr>
              <w:t>hospital</w:t>
            </w:r>
          </w:p>
        </w:tc>
        <w:tc>
          <w:tcPr>
            <w:tcW w:w="804" w:type="dxa"/>
          </w:tcPr>
          <w:p w14:paraId="628CAC85" w14:textId="77777777" w:rsidR="00F606CA" w:rsidRPr="00D63C2E" w:rsidRDefault="00F01D20">
            <w:pPr>
              <w:spacing w:line="240" w:lineRule="auto"/>
              <w:jc w:val="both"/>
              <w:rPr>
                <w:sz w:val="20"/>
                <w:szCs w:val="20"/>
              </w:rPr>
            </w:pPr>
            <w:r w:rsidRPr="00D63C2E">
              <w:rPr>
                <w:sz w:val="20"/>
                <w:szCs w:val="20"/>
              </w:rPr>
              <w:t>50</w:t>
            </w:r>
          </w:p>
        </w:tc>
        <w:tc>
          <w:tcPr>
            <w:tcW w:w="992" w:type="dxa"/>
          </w:tcPr>
          <w:p w14:paraId="49C34BA6" w14:textId="77777777" w:rsidR="00F606CA" w:rsidRPr="00D63C2E" w:rsidRDefault="00F01D20">
            <w:pPr>
              <w:spacing w:line="240" w:lineRule="auto"/>
              <w:jc w:val="both"/>
              <w:rPr>
                <w:sz w:val="20"/>
                <w:szCs w:val="20"/>
              </w:rPr>
            </w:pPr>
            <w:r w:rsidRPr="00D63C2E">
              <w:rPr>
                <w:sz w:val="20"/>
                <w:szCs w:val="20"/>
              </w:rPr>
              <w:t>0.160</w:t>
            </w:r>
          </w:p>
        </w:tc>
        <w:tc>
          <w:tcPr>
            <w:tcW w:w="1134" w:type="dxa"/>
          </w:tcPr>
          <w:p w14:paraId="6439F745" w14:textId="77777777" w:rsidR="00F606CA" w:rsidRPr="00D63C2E" w:rsidRDefault="00F01D20">
            <w:pPr>
              <w:spacing w:line="240" w:lineRule="auto"/>
              <w:jc w:val="both"/>
              <w:rPr>
                <w:sz w:val="20"/>
                <w:szCs w:val="20"/>
              </w:rPr>
            </w:pPr>
            <w:r w:rsidRPr="00D63C2E">
              <w:rPr>
                <w:sz w:val="20"/>
                <w:szCs w:val="20"/>
              </w:rPr>
              <w:t>0.370</w:t>
            </w:r>
          </w:p>
        </w:tc>
        <w:tc>
          <w:tcPr>
            <w:tcW w:w="993" w:type="dxa"/>
          </w:tcPr>
          <w:p w14:paraId="1ECFF559" w14:textId="77777777" w:rsidR="00F606CA" w:rsidRPr="00D63C2E" w:rsidRDefault="00F01D20">
            <w:pPr>
              <w:spacing w:line="240" w:lineRule="auto"/>
              <w:jc w:val="both"/>
              <w:rPr>
                <w:sz w:val="20"/>
                <w:szCs w:val="20"/>
              </w:rPr>
            </w:pPr>
            <w:r w:rsidRPr="00D63C2E">
              <w:rPr>
                <w:sz w:val="20"/>
                <w:szCs w:val="20"/>
              </w:rPr>
              <w:t>0</w:t>
            </w:r>
          </w:p>
        </w:tc>
        <w:tc>
          <w:tcPr>
            <w:tcW w:w="992" w:type="dxa"/>
          </w:tcPr>
          <w:p w14:paraId="2B0424A9" w14:textId="77777777" w:rsidR="00F606CA" w:rsidRDefault="00F01D20">
            <w:pPr>
              <w:spacing w:line="240" w:lineRule="auto"/>
              <w:jc w:val="both"/>
              <w:rPr>
                <w:sz w:val="20"/>
                <w:szCs w:val="20"/>
              </w:rPr>
            </w:pPr>
            <w:r w:rsidRPr="00D63C2E">
              <w:rPr>
                <w:sz w:val="20"/>
                <w:szCs w:val="20"/>
              </w:rPr>
              <w:t>1</w:t>
            </w:r>
          </w:p>
        </w:tc>
      </w:tr>
    </w:tbl>
    <w:p w14:paraId="505190AE" w14:textId="77777777" w:rsidR="00F606CA" w:rsidRDefault="00F606CA">
      <w:pPr>
        <w:spacing w:after="160" w:line="360" w:lineRule="auto"/>
        <w:rPr>
          <w:b/>
        </w:rPr>
      </w:pPr>
    </w:p>
    <w:sectPr w:rsidR="00F606CA" w:rsidSect="00314C4B">
      <w:headerReference w:type="default" r:id="rId10"/>
      <w:footerReference w:type="default" r:id="rId11"/>
      <w:pgSz w:w="12240" w:h="15840"/>
      <w:pgMar w:top="15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6426" w14:textId="77777777" w:rsidR="00D31ABE" w:rsidRDefault="00D31ABE">
      <w:pPr>
        <w:spacing w:line="240" w:lineRule="auto"/>
      </w:pPr>
      <w:r>
        <w:separator/>
      </w:r>
    </w:p>
  </w:endnote>
  <w:endnote w:type="continuationSeparator" w:id="0">
    <w:p w14:paraId="1ED291C7" w14:textId="77777777" w:rsidR="00D31ABE" w:rsidRDefault="00D3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4D04" w14:textId="77777777" w:rsidR="00F606CA" w:rsidRDefault="00F01D20">
    <w:r>
      <w:fldChar w:fldCharType="begin"/>
    </w:r>
    <w:r>
      <w:instrText>PAGE</w:instrText>
    </w:r>
    <w:r>
      <w:fldChar w:fldCharType="separate"/>
    </w:r>
    <w:r w:rsidR="00ED68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22B6" w14:textId="77777777" w:rsidR="00D31ABE" w:rsidRDefault="00D31ABE">
      <w:pPr>
        <w:spacing w:line="240" w:lineRule="auto"/>
      </w:pPr>
      <w:r>
        <w:separator/>
      </w:r>
    </w:p>
  </w:footnote>
  <w:footnote w:type="continuationSeparator" w:id="0">
    <w:p w14:paraId="230328AC" w14:textId="77777777" w:rsidR="00D31ABE" w:rsidRDefault="00D31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DA3" w14:textId="022439CE" w:rsidR="00314C4B" w:rsidRPr="00314C4B" w:rsidRDefault="00314C4B" w:rsidP="00314C4B">
    <w:pPr>
      <w:pBdr>
        <w:top w:val="nil"/>
        <w:left w:val="nil"/>
        <w:bottom w:val="nil"/>
        <w:right w:val="nil"/>
        <w:between w:val="nil"/>
      </w:pBdr>
      <w:tabs>
        <w:tab w:val="center" w:pos="3828"/>
        <w:tab w:val="right" w:pos="9072"/>
      </w:tabs>
      <w:spacing w:line="240" w:lineRule="auto"/>
      <w:jc w:val="center"/>
      <w:rPr>
        <w:color w:val="000000"/>
        <w:sz w:val="18"/>
        <w:szCs w:val="18"/>
        <w:lang w:val="en-US"/>
      </w:rPr>
    </w:pPr>
    <w:proofErr w:type="spellStart"/>
    <w:r w:rsidRPr="00314C4B">
      <w:rPr>
        <w:color w:val="000000"/>
        <w:sz w:val="18"/>
        <w:szCs w:val="18"/>
        <w:lang w:val="en-US"/>
      </w:rPr>
      <w:t>Sanne</w:t>
    </w:r>
    <w:proofErr w:type="spellEnd"/>
    <w:r w:rsidRPr="00314C4B">
      <w:rPr>
        <w:color w:val="000000"/>
        <w:sz w:val="18"/>
        <w:szCs w:val="18"/>
        <w:lang w:val="en-US"/>
      </w:rPr>
      <w:t xml:space="preserve"> Muurling, Tim </w:t>
    </w:r>
    <w:proofErr w:type="spellStart"/>
    <w:r w:rsidRPr="00314C4B">
      <w:rPr>
        <w:color w:val="000000"/>
        <w:sz w:val="18"/>
        <w:szCs w:val="18"/>
        <w:lang w:val="en-US"/>
      </w:rPr>
      <w:t>Riswick</w:t>
    </w:r>
    <w:proofErr w:type="spellEnd"/>
    <w:r w:rsidRPr="00314C4B">
      <w:rPr>
        <w:color w:val="000000"/>
        <w:sz w:val="18"/>
        <w:szCs w:val="18"/>
        <w:lang w:val="en-US"/>
      </w:rPr>
      <w:t xml:space="preserve"> and Katalin </w:t>
    </w:r>
    <w:proofErr w:type="spellStart"/>
    <w:r w:rsidRPr="00314C4B">
      <w:rPr>
        <w:color w:val="000000"/>
        <w:sz w:val="18"/>
        <w:szCs w:val="18"/>
        <w:lang w:val="en-US"/>
      </w:rPr>
      <w:t>Buzasi</w:t>
    </w:r>
    <w:proofErr w:type="spellEnd"/>
    <w:r w:rsidRPr="00314C4B">
      <w:rPr>
        <w:color w:val="000000"/>
        <w:sz w:val="18"/>
        <w:szCs w:val="18"/>
        <w:lang w:val="en-US"/>
      </w:rPr>
      <w:t xml:space="preserve"> ‘The Last Nationwide Smallpox Epidemic in the Netherlands: Infectious Disease and Social Inequalities in Amsterdam, 1870-1872’</w:t>
    </w:r>
    <w:r>
      <w:rPr>
        <w:color w:val="000000"/>
        <w:sz w:val="18"/>
        <w:szCs w:val="18"/>
        <w:lang w:val="en-US"/>
      </w:rPr>
      <w:t>. Version: August 2022</w:t>
    </w:r>
  </w:p>
  <w:p w14:paraId="75BC3115" w14:textId="7BDA08CA" w:rsidR="00314C4B" w:rsidRDefault="00314C4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C41B1"/>
    <w:multiLevelType w:val="multilevel"/>
    <w:tmpl w:val="DA348634"/>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426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CA"/>
    <w:rsid w:val="00314C4B"/>
    <w:rsid w:val="00321F3D"/>
    <w:rsid w:val="00421A34"/>
    <w:rsid w:val="004814D7"/>
    <w:rsid w:val="00592453"/>
    <w:rsid w:val="005A1239"/>
    <w:rsid w:val="0089445C"/>
    <w:rsid w:val="00A80F18"/>
    <w:rsid w:val="00BC4C18"/>
    <w:rsid w:val="00BD395C"/>
    <w:rsid w:val="00D31ABE"/>
    <w:rsid w:val="00D63C2E"/>
    <w:rsid w:val="00DE7F30"/>
    <w:rsid w:val="00EB49DB"/>
    <w:rsid w:val="00ED68D7"/>
    <w:rsid w:val="00F01D20"/>
    <w:rsid w:val="00F606CA"/>
    <w:rsid w:val="00FC5260"/>
    <w:rsid w:val="00FE227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F4B00"/>
  <w15:docId w15:val="{3F7F0553-91FE-435D-923A-FCA1F4D5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L"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940714"/>
    <w:pPr>
      <w:keepNext/>
      <w:keepLines/>
      <w:spacing w:after="80"/>
      <w:outlineLvl w:val="1"/>
    </w:pPr>
    <w:rPr>
      <w:b/>
      <w:sz w:val="32"/>
      <w:szCs w:val="36"/>
    </w:rPr>
  </w:style>
  <w:style w:type="paragraph" w:styleId="Heading3">
    <w:name w:val="heading 3"/>
    <w:basedOn w:val="Normal"/>
    <w:next w:val="Normal"/>
    <w:uiPriority w:val="9"/>
    <w:unhideWhenUsed/>
    <w:qFormat/>
    <w:rsid w:val="00056B54"/>
    <w:pPr>
      <w:keepNext/>
      <w:keepLines/>
      <w:spacing w:before="360"/>
      <w:outlineLvl w:val="2"/>
    </w:pPr>
    <w:rPr>
      <w:b/>
      <w:sz w:val="24"/>
      <w:szCs w:val="28"/>
    </w:rPr>
  </w:style>
  <w:style w:type="paragraph" w:styleId="Heading4">
    <w:name w:val="heading 4"/>
    <w:basedOn w:val="Normal"/>
    <w:next w:val="Normal"/>
    <w:uiPriority w:val="9"/>
    <w:semiHidden/>
    <w:unhideWhenUsed/>
    <w:qFormat/>
    <w:rsid w:val="00056B54"/>
    <w:pPr>
      <w:keepNext/>
      <w:keepLines/>
      <w:spacing w:before="120"/>
      <w:outlineLvl w:val="3"/>
    </w:pPr>
    <w:rPr>
      <w:b/>
      <w:i/>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50D75"/>
    <w:pPr>
      <w:spacing w:line="240" w:lineRule="auto"/>
    </w:pPr>
    <w:rPr>
      <w:sz w:val="20"/>
      <w:szCs w:val="20"/>
    </w:rPr>
  </w:style>
  <w:style w:type="character" w:customStyle="1" w:styleId="FootnoteTextChar">
    <w:name w:val="Footnote Text Char"/>
    <w:basedOn w:val="DefaultParagraphFont"/>
    <w:link w:val="FootnoteText"/>
    <w:uiPriority w:val="99"/>
    <w:semiHidden/>
    <w:rsid w:val="00B50D75"/>
    <w:rPr>
      <w:sz w:val="20"/>
      <w:szCs w:val="20"/>
    </w:rPr>
  </w:style>
  <w:style w:type="character" w:styleId="FootnoteReference">
    <w:name w:val="footnote reference"/>
    <w:basedOn w:val="DefaultParagraphFont"/>
    <w:uiPriority w:val="99"/>
    <w:semiHidden/>
    <w:unhideWhenUsed/>
    <w:rsid w:val="00B50D75"/>
    <w:rPr>
      <w:vertAlign w:val="superscript"/>
    </w:rPr>
  </w:style>
  <w:style w:type="paragraph" w:styleId="Header">
    <w:name w:val="header"/>
    <w:basedOn w:val="Normal"/>
    <w:link w:val="HeaderChar"/>
    <w:uiPriority w:val="99"/>
    <w:unhideWhenUsed/>
    <w:rsid w:val="00AA05AD"/>
    <w:pPr>
      <w:tabs>
        <w:tab w:val="center" w:pos="4536"/>
        <w:tab w:val="right" w:pos="9072"/>
      </w:tabs>
      <w:spacing w:line="240" w:lineRule="auto"/>
    </w:pPr>
  </w:style>
  <w:style w:type="character" w:customStyle="1" w:styleId="HeaderChar">
    <w:name w:val="Header Char"/>
    <w:basedOn w:val="DefaultParagraphFont"/>
    <w:link w:val="Header"/>
    <w:uiPriority w:val="99"/>
    <w:rsid w:val="00AA05AD"/>
  </w:style>
  <w:style w:type="paragraph" w:styleId="Footer">
    <w:name w:val="footer"/>
    <w:basedOn w:val="Normal"/>
    <w:link w:val="FooterChar"/>
    <w:uiPriority w:val="99"/>
    <w:unhideWhenUsed/>
    <w:rsid w:val="00AA05AD"/>
    <w:pPr>
      <w:tabs>
        <w:tab w:val="center" w:pos="4536"/>
        <w:tab w:val="right" w:pos="9072"/>
      </w:tabs>
      <w:spacing w:line="240" w:lineRule="auto"/>
    </w:pPr>
  </w:style>
  <w:style w:type="character" w:customStyle="1" w:styleId="FooterChar">
    <w:name w:val="Footer Char"/>
    <w:basedOn w:val="DefaultParagraphFont"/>
    <w:link w:val="Footer"/>
    <w:uiPriority w:val="99"/>
    <w:rsid w:val="00AA05AD"/>
  </w:style>
  <w:style w:type="paragraph" w:styleId="ListParagraph">
    <w:name w:val="List Paragraph"/>
    <w:basedOn w:val="Normal"/>
    <w:uiPriority w:val="34"/>
    <w:qFormat/>
    <w:rsid w:val="009C175B"/>
    <w:pPr>
      <w:ind w:left="720"/>
      <w:contextualSpacing/>
    </w:pPr>
  </w:style>
  <w:style w:type="table" w:styleId="TableGrid">
    <w:name w:val="Table Grid"/>
    <w:basedOn w:val="TableNormal"/>
    <w:uiPriority w:val="39"/>
    <w:rsid w:val="00820E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1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EC"/>
    <w:rPr>
      <w:rFonts w:ascii="Tahoma" w:hAnsi="Tahoma" w:cs="Tahoma"/>
      <w:sz w:val="16"/>
      <w:szCs w:val="16"/>
    </w:rPr>
  </w:style>
  <w:style w:type="character" w:styleId="CommentReference">
    <w:name w:val="annotation reference"/>
    <w:basedOn w:val="DefaultParagraphFont"/>
    <w:uiPriority w:val="99"/>
    <w:semiHidden/>
    <w:unhideWhenUsed/>
    <w:rsid w:val="00CF1DF2"/>
    <w:rPr>
      <w:sz w:val="16"/>
      <w:szCs w:val="16"/>
    </w:rPr>
  </w:style>
  <w:style w:type="paragraph" w:styleId="CommentText">
    <w:name w:val="annotation text"/>
    <w:basedOn w:val="Normal"/>
    <w:link w:val="CommentTextChar"/>
    <w:uiPriority w:val="99"/>
    <w:unhideWhenUsed/>
    <w:rsid w:val="00CF1DF2"/>
    <w:pPr>
      <w:spacing w:line="240" w:lineRule="auto"/>
    </w:pPr>
    <w:rPr>
      <w:sz w:val="20"/>
      <w:szCs w:val="20"/>
    </w:rPr>
  </w:style>
  <w:style w:type="character" w:customStyle="1" w:styleId="CommentTextChar">
    <w:name w:val="Comment Text Char"/>
    <w:basedOn w:val="DefaultParagraphFont"/>
    <w:link w:val="CommentText"/>
    <w:uiPriority w:val="99"/>
    <w:rsid w:val="00CF1DF2"/>
    <w:rPr>
      <w:sz w:val="20"/>
      <w:szCs w:val="20"/>
    </w:rPr>
  </w:style>
  <w:style w:type="paragraph" w:styleId="CommentSubject">
    <w:name w:val="annotation subject"/>
    <w:basedOn w:val="CommentText"/>
    <w:next w:val="CommentText"/>
    <w:link w:val="CommentSubjectChar"/>
    <w:uiPriority w:val="99"/>
    <w:semiHidden/>
    <w:unhideWhenUsed/>
    <w:rsid w:val="00CF1DF2"/>
    <w:rPr>
      <w:b/>
      <w:bCs/>
    </w:rPr>
  </w:style>
  <w:style w:type="character" w:customStyle="1" w:styleId="CommentSubjectChar">
    <w:name w:val="Comment Subject Char"/>
    <w:basedOn w:val="CommentTextChar"/>
    <w:link w:val="CommentSubject"/>
    <w:uiPriority w:val="99"/>
    <w:semiHidden/>
    <w:rsid w:val="00CF1DF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line="240" w:lineRule="auto"/>
    </w:pPr>
    <w:tblPr>
      <w:tblStyleRowBandSize w:val="1"/>
      <w:tblStyleColBandSize w:val="1"/>
    </w:tblPr>
  </w:style>
  <w:style w:type="table" w:customStyle="1" w:styleId="12">
    <w:name w:val="12"/>
    <w:basedOn w:val="TableNormal"/>
    <w:pPr>
      <w:spacing w:line="240" w:lineRule="auto"/>
    </w:p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line="240" w:lineRule="auto"/>
    </w:pPr>
    <w:tblPr>
      <w:tblStyleRowBandSize w:val="1"/>
      <w:tblStyleColBandSize w:val="1"/>
      <w:tblCellMar>
        <w:left w:w="115" w:type="dxa"/>
        <w:right w:w="115" w:type="dxa"/>
      </w:tblCellMar>
    </w:tblPr>
  </w:style>
  <w:style w:type="table" w:customStyle="1" w:styleId="9">
    <w:name w:val="9"/>
    <w:basedOn w:val="TableNormal"/>
    <w:pPr>
      <w:spacing w:line="240" w:lineRule="auto"/>
    </w:pPr>
    <w:tblPr>
      <w:tblStyleRowBandSize w:val="1"/>
      <w:tblStyleColBandSize w:val="1"/>
      <w:tblCellMar>
        <w:left w:w="115" w:type="dxa"/>
        <w:right w:w="115" w:type="dxa"/>
      </w:tblCellMar>
    </w:tblPr>
  </w:style>
  <w:style w:type="table" w:customStyle="1" w:styleId="8">
    <w:name w:val="8"/>
    <w:basedOn w:val="TableNormal"/>
    <w:pPr>
      <w:spacing w:line="240" w:lineRule="auto"/>
    </w:pPr>
    <w:tblPr>
      <w:tblStyleRowBandSize w:val="1"/>
      <w:tblStyleColBandSize w:val="1"/>
      <w:tblCellMar>
        <w:left w:w="115" w:type="dxa"/>
        <w:right w:w="115" w:type="dxa"/>
      </w:tblCellMar>
    </w:tblPr>
  </w:style>
  <w:style w:type="table" w:customStyle="1" w:styleId="7">
    <w:name w:val="7"/>
    <w:basedOn w:val="TableNormal"/>
    <w:pPr>
      <w:spacing w:line="240" w:lineRule="auto"/>
    </w:pPr>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15" w:type="dxa"/>
        <w:right w:w="115" w:type="dxa"/>
      </w:tblCellMar>
    </w:tblPr>
  </w:style>
  <w:style w:type="table" w:customStyle="1" w:styleId="5">
    <w:name w:val="5"/>
    <w:basedOn w:val="TableNormal"/>
    <w:pPr>
      <w:spacing w:line="240" w:lineRule="auto"/>
    </w:pPr>
    <w:tblPr>
      <w:tblStyleRowBandSize w:val="1"/>
      <w:tblStyleColBandSize w:val="1"/>
      <w:tblCellMar>
        <w:left w:w="115" w:type="dxa"/>
        <w:right w:w="115" w:type="dxa"/>
      </w:tblCellMar>
    </w:tblPr>
  </w:style>
  <w:style w:type="table" w:customStyle="1" w:styleId="4">
    <w:name w:val="4"/>
    <w:basedOn w:val="TableNormal"/>
    <w:pPr>
      <w:spacing w:line="240" w:lineRule="auto"/>
    </w:pPr>
    <w:tblPr>
      <w:tblStyleRowBandSize w:val="1"/>
      <w:tblStyleColBandSize w:val="1"/>
      <w:tblCellMar>
        <w:left w:w="115" w:type="dxa"/>
        <w:right w:w="115" w:type="dxa"/>
      </w:tblCellMar>
    </w:tblPr>
  </w:style>
  <w:style w:type="table" w:customStyle="1" w:styleId="3">
    <w:name w:val="3"/>
    <w:basedOn w:val="TableNormal"/>
    <w:pPr>
      <w:spacing w:line="240" w:lineRule="auto"/>
    </w:pPr>
    <w:tblPr>
      <w:tblStyleRowBandSize w:val="1"/>
      <w:tblStyleColBandSize w:val="1"/>
      <w:tblCellMar>
        <w:left w:w="115" w:type="dxa"/>
        <w:right w:w="115" w:type="dxa"/>
      </w:tblCellMar>
    </w:tblPr>
  </w:style>
  <w:style w:type="table" w:customStyle="1" w:styleId="2">
    <w:name w:val="2"/>
    <w:basedOn w:val="TableNormal"/>
    <w:pPr>
      <w:spacing w:line="240" w:lineRule="auto"/>
    </w:pPr>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D432F"/>
    <w:rPr>
      <w:color w:val="0563C1" w:themeColor="hyperlink"/>
      <w:u w:val="single"/>
    </w:rPr>
  </w:style>
  <w:style w:type="character" w:customStyle="1" w:styleId="UnresolvedMention1">
    <w:name w:val="Unresolved Mention1"/>
    <w:basedOn w:val="DefaultParagraphFont"/>
    <w:uiPriority w:val="99"/>
    <w:semiHidden/>
    <w:unhideWhenUsed/>
    <w:rsid w:val="00CD432F"/>
    <w:rPr>
      <w:color w:val="605E5C"/>
      <w:shd w:val="clear" w:color="auto" w:fill="E1DFDD"/>
    </w:rPr>
  </w:style>
  <w:style w:type="paragraph" w:styleId="NormalWeb">
    <w:name w:val="Normal (Web)"/>
    <w:basedOn w:val="Normal"/>
    <w:uiPriority w:val="99"/>
    <w:semiHidden/>
    <w:unhideWhenUsed/>
    <w:rsid w:val="0071062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5B1BF2"/>
    <w:rPr>
      <w:color w:val="954F72" w:themeColor="followedHyperlink"/>
      <w:u w:val="single"/>
    </w:rPr>
  </w:style>
  <w:style w:type="paragraph" w:styleId="Revision">
    <w:name w:val="Revision"/>
    <w:hidden/>
    <w:uiPriority w:val="99"/>
    <w:semiHidden/>
    <w:rsid w:val="000174F1"/>
    <w:pPr>
      <w:spacing w:line="240" w:lineRule="auto"/>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B5QjyUa5+Lj7d2Jc6UeojbIvw==">AMUW2mWKS2mN/SnOTfp6x68usGFUOQsE93Da3s5nooL3bLFSmshMN+21lCaCWv9IEy83BXTbqc3YLi9qP//+IMuluF5vinxlomdLyzHHfnZgGSlTVMlRj+EkFj5N7Lipze6c9AjPLaltkZtN1jtGbo5+sNjzvRXHDBcWWahkyUW2HIyJ3SzvttY=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Riswick</dc:creator>
  <cp:lastModifiedBy>S. Muurling</cp:lastModifiedBy>
  <cp:revision>6</cp:revision>
  <dcterms:created xsi:type="dcterms:W3CDTF">2022-01-25T14:09:00Z</dcterms:created>
  <dcterms:modified xsi:type="dcterms:W3CDTF">2022-11-03T09:20:00Z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http://www.zotero.org/styles/chicago-author-date-16th-edition</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http://www.zotero.org/styles/chicago-note-bibliography-16th-edition</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http://www.zotero.org/styles/de-buck</vt:lpwstr>
  </property>
  <property fmtid="{D5CDD505-2E9C-101B-9397-08002B2CF9AE}" pid="13" name="Mendeley Recent Style Name 5_1">
    <vt:lpwstr>De Buck (Dutch)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https://csl.mendeley.com/styles/211595681/SSH</vt:lpwstr>
  </property>
  <property fmtid="{D5CDD505-2E9C-101B-9397-08002B2CF9AE}" pid="19" name="Mendeley Recent Style Name 8_1">
    <vt:lpwstr>Social Science History CMS - Sanne Muurling</vt:lpwstr>
  </property>
  <property fmtid="{D5CDD505-2E9C-101B-9397-08002B2CF9AE}" pid="20" name="Mendeley Recent Style Id 9_1">
    <vt:lpwstr>http://csl.mendeley.com/styles/211595681/SSH</vt:lpwstr>
  </property>
  <property fmtid="{D5CDD505-2E9C-101B-9397-08002B2CF9AE}" pid="21" name="Mendeley Recent Style Name 9_1">
    <vt:lpwstr>Social Science History CMS - Sanne Muurling</vt:lpwstr>
  </property>
  <property fmtid="{D5CDD505-2E9C-101B-9397-08002B2CF9AE}" pid="22" name="Mendeley Document_1">
    <vt:lpwstr>True</vt:lpwstr>
  </property>
  <property fmtid="{D5CDD505-2E9C-101B-9397-08002B2CF9AE}" pid="23" name="Mendeley Unique User Id_1">
    <vt:lpwstr>1342ffd4-0686-314b-9860-f42f8c8cf888</vt:lpwstr>
  </property>
  <property fmtid="{D5CDD505-2E9C-101B-9397-08002B2CF9AE}" pid="24" name="Mendeley Citation Style_1">
    <vt:lpwstr>http://csl.mendeley.com/styles/211595681/SSH</vt:lpwstr>
  </property>
</Properties>
</file>