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86E4" w14:textId="408433B3" w:rsidR="005252F7" w:rsidRPr="005E2D0A" w:rsidRDefault="00C32B8A" w:rsidP="00C32B8A">
      <w:pPr>
        <w:pStyle w:val="Heading1"/>
        <w:rPr>
          <w:color w:val="auto"/>
        </w:rPr>
      </w:pPr>
      <w:r w:rsidRPr="005E2D0A">
        <w:rPr>
          <w:color w:val="auto"/>
        </w:rPr>
        <w:t xml:space="preserve">Additional material </w:t>
      </w:r>
    </w:p>
    <w:p w14:paraId="2A4DA06D" w14:textId="77DA2328" w:rsidR="00C32B8A" w:rsidRPr="005E2D0A" w:rsidRDefault="00C32B8A" w:rsidP="00C32B8A">
      <w:pPr>
        <w:pStyle w:val="Heading2"/>
      </w:pPr>
      <w:r w:rsidRPr="005E2D0A">
        <w:t>Retirement income expectations among the younger generation</w:t>
      </w:r>
    </w:p>
    <w:p w14:paraId="3DA98633" w14:textId="24B3150A" w:rsidR="0043352A" w:rsidRPr="005E2D0A" w:rsidRDefault="0043352A" w:rsidP="0043352A">
      <w:r w:rsidRPr="005E2D0A">
        <w:t xml:space="preserve">The younger generation’s expectations of retirement income sources may be largely based on current pensioners’ experiences, although there are indications that individuals are aware of their role being greater, as previously reported </w:t>
      </w:r>
      <w:r w:rsidRPr="005E2D0A">
        <w:fldChar w:fldCharType="begin" w:fldLock="1"/>
      </w:r>
      <w:r w:rsidRPr="005E2D0A">
        <w:instrText>ADDIN CSL_CITATION {"citationItems":[{"id":"ITEM-1","itemData":{"abstract":"The Attitudes to Pensions 2012 survey is the third in a series of surveys. The other surveys were carried out in 2006 and 2009. 1,949 adults over 18 were interviewed face to face. The respondents were randomly sampled from the population of Great Britain. The fieldwork was carried out between February and June 2012. The purpose of the survey is to examine people’s attitudes to financial preparations for later life and to decisions on leaving paid work. The survey includes insights into how beliefs affect actual and intended behaviour. The research findings will feed in to several high profile policy developments involving State Pensions and private pensions. The survey will be used as a benchmark for single tier State pension reform. Findings will inform policy work to improve consumer trust, confidence and engagement in pensions, as part of the reinvigorating private pensions work.","author":[{"dropping-particle":"","family":"MacLeod","given":"Pat","non-dropping-particle":"","parse-names":false,"suffix":""},{"dropping-particle":"","family":"Fitzpatrick","given":"Alice","non-dropping-particle":"","parse-names":false,"suffix":""},{"dropping-particle":"","family":"Hamlyn","given":"Becky","non-dropping-particle":"","parse-names":false,"suffix":""},{"dropping-particle":"","family":"Jones","given":"Andrew","non-dropping-particle":"","parse-names":false,"suffix":""},{"dropping-particle":"","family":"Kinver","given":"Andrea","non-dropping-particle":"","parse-names":false,"suffix":""},{"dropping-particle":"","family":"Page","given":"Leon","non-dropping-particle":"","parse-names":false,"suffix":""}],"collection-title":"DWP Research Report","id":"ITEM-1","issue":"813","issued":{"date-parts":[["2012"]]},"publisher":"Department for Work and Pensions","publisher-place":"London","title":"Attitudes to Pensions: The 2012 survey","type":"book"},"uris":["http://www.mendeley.com/documents/?uuid=a74aa86d-1127-4271-984d-668079bb503e"]}],"mendeley":{"formattedCitation":"(MacLeod et al., 2012)","plainTextFormattedCitation":"(MacLeod et al., 2012)","previouslyFormattedCitation":"(MacLeod et al., 2012)"},"properties":{"noteIndex":0},"schema":"https://github.com/citation-style-language/schema/raw/master/csl-citation.json"}</w:instrText>
      </w:r>
      <w:r w:rsidRPr="005E2D0A">
        <w:fldChar w:fldCharType="separate"/>
      </w:r>
      <w:r w:rsidRPr="005E2D0A">
        <w:t>(MacLeod et al., 2012)</w:t>
      </w:r>
      <w:r w:rsidRPr="005E2D0A">
        <w:fldChar w:fldCharType="end"/>
      </w:r>
      <w:r w:rsidRPr="005E2D0A">
        <w:t xml:space="preserve">. As </w:t>
      </w:r>
      <w:r w:rsidR="004113B2" w:rsidRPr="005E2D0A">
        <w:fldChar w:fldCharType="begin"/>
      </w:r>
      <w:r w:rsidR="004113B2" w:rsidRPr="005E2D0A">
        <w:instrText xml:space="preserve"> REF _Ref40892920 \h </w:instrText>
      </w:r>
      <w:r w:rsidR="004113B2" w:rsidRPr="005E2D0A">
        <w:fldChar w:fldCharType="separate"/>
      </w:r>
      <w:r w:rsidR="004113B2" w:rsidRPr="005E2D0A">
        <w:rPr>
          <w:rFonts w:eastAsiaTheme="majorEastAsia" w:cstheme="majorBidi"/>
          <w:i/>
        </w:rPr>
        <w:t xml:space="preserve">Figure </w:t>
      </w:r>
      <w:r w:rsidR="005E2D0A">
        <w:rPr>
          <w:rFonts w:eastAsiaTheme="majorEastAsia" w:cstheme="majorBidi"/>
          <w:i/>
        </w:rPr>
        <w:t>S</w:t>
      </w:r>
      <w:r w:rsidR="004113B2" w:rsidRPr="005E2D0A">
        <w:rPr>
          <w:rFonts w:eastAsiaTheme="majorEastAsia" w:cstheme="majorBidi"/>
          <w:i/>
        </w:rPr>
        <w:t>1</w:t>
      </w:r>
      <w:r w:rsidR="004113B2" w:rsidRPr="005E2D0A">
        <w:fldChar w:fldCharType="end"/>
      </w:r>
      <w:r w:rsidR="004113B2" w:rsidRPr="005E2D0A">
        <w:t xml:space="preserve"> </w:t>
      </w:r>
      <w:r w:rsidRPr="005E2D0A">
        <w:t>shows, while younger age groups are less likely to include a state pension as one of their possible income sources, this decrease is not compensated by increases in other sources. While those in their 30s have counted savings and investments as being additional sources to a greater extent compared to older age groups, less than half viewed savings or investment as a potential source. Future inheritance is less frequently mentioned compared to other options, although it is more frequently mentioned among those in their 30s and 40s. While more of the younger age group (30-39) mentioned sources such as own savings and investments, more older individuals (40-49) identified retirement income sources such as the state pension, occupational pension and housing. How viable are different options for the younger generations in the new pension system? Future income sources are uncertain, but it is worthwhile reviewing recent policy changes and assessing the implications for the future generation’s retirement income outlook.</w:t>
      </w:r>
    </w:p>
    <w:p w14:paraId="2B8E318A" w14:textId="55DE0379" w:rsidR="0043352A" w:rsidRPr="005E2D0A" w:rsidRDefault="00E85A90" w:rsidP="0043352A">
      <w:pPr>
        <w:pStyle w:val="NoSpacing"/>
      </w:pPr>
      <w:bookmarkStart w:id="0" w:name="_Ref494419023"/>
      <w:r w:rsidRPr="005E2D0A">
        <w:rPr>
          <w:noProof/>
        </w:rPr>
        <w:drawing>
          <wp:inline distT="0" distB="0" distL="0" distR="0" wp14:anchorId="4138096E" wp14:editId="32CDA4C7">
            <wp:extent cx="5731510" cy="3355675"/>
            <wp:effectExtent l="0" t="0" r="2540" b="16510"/>
            <wp:docPr id="1" name="Chart 1">
              <a:extLst xmlns:a="http://schemas.openxmlformats.org/drawingml/2006/main">
                <a:ext uri="{FF2B5EF4-FFF2-40B4-BE49-F238E27FC236}">
                  <a16:creationId xmlns:a16="http://schemas.microsoft.com/office/drawing/2014/main" id="{839F5366-0920-4B40-ADED-60817D836F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90F3AE7" w14:textId="77777777" w:rsidR="0043352A" w:rsidRPr="005E2D0A" w:rsidRDefault="0043352A" w:rsidP="0043352A">
      <w:pPr>
        <w:pStyle w:val="NoSpacing"/>
      </w:pPr>
    </w:p>
    <w:p w14:paraId="28535323" w14:textId="6B5F00E2" w:rsidR="0043352A" w:rsidRPr="005E2D0A" w:rsidRDefault="004113B2" w:rsidP="004113B2">
      <w:pPr>
        <w:pStyle w:val="Caption"/>
        <w:rPr>
          <w:rFonts w:eastAsiaTheme="majorEastAsia" w:cstheme="majorBidi"/>
          <w:i w:val="0"/>
          <w:color w:val="auto"/>
          <w:sz w:val="24"/>
          <w:szCs w:val="22"/>
        </w:rPr>
      </w:pPr>
      <w:bookmarkStart w:id="1" w:name="_Ref40892920"/>
      <w:bookmarkEnd w:id="0"/>
      <w:r w:rsidRPr="005E2D0A">
        <w:rPr>
          <w:rFonts w:eastAsiaTheme="majorEastAsia" w:cstheme="majorBidi"/>
          <w:i w:val="0"/>
          <w:color w:val="auto"/>
          <w:sz w:val="24"/>
          <w:szCs w:val="22"/>
        </w:rPr>
        <w:t xml:space="preserve">Figure </w:t>
      </w:r>
      <w:r w:rsidR="005E2D0A">
        <w:rPr>
          <w:rFonts w:eastAsiaTheme="majorEastAsia" w:cstheme="majorBidi"/>
          <w:i w:val="0"/>
          <w:color w:val="auto"/>
          <w:sz w:val="24"/>
          <w:szCs w:val="22"/>
        </w:rPr>
        <w:t>S</w:t>
      </w:r>
      <w:r w:rsidRPr="005E2D0A">
        <w:rPr>
          <w:rFonts w:eastAsiaTheme="majorEastAsia" w:cstheme="majorBidi"/>
          <w:i w:val="0"/>
          <w:color w:val="auto"/>
          <w:sz w:val="24"/>
          <w:szCs w:val="22"/>
        </w:rPr>
        <w:fldChar w:fldCharType="begin"/>
      </w:r>
      <w:r w:rsidRPr="005E2D0A">
        <w:rPr>
          <w:rFonts w:eastAsiaTheme="majorEastAsia" w:cstheme="majorBidi"/>
          <w:i w:val="0"/>
          <w:color w:val="auto"/>
          <w:sz w:val="24"/>
          <w:szCs w:val="22"/>
        </w:rPr>
        <w:instrText xml:space="preserve"> SEQ Figure_A \* ARABIC </w:instrText>
      </w:r>
      <w:r w:rsidRPr="005E2D0A">
        <w:rPr>
          <w:rFonts w:eastAsiaTheme="majorEastAsia" w:cstheme="majorBidi"/>
          <w:i w:val="0"/>
          <w:color w:val="auto"/>
          <w:sz w:val="24"/>
          <w:szCs w:val="22"/>
        </w:rPr>
        <w:fldChar w:fldCharType="separate"/>
      </w:r>
      <w:r w:rsidRPr="005E2D0A">
        <w:rPr>
          <w:rFonts w:eastAsiaTheme="majorEastAsia" w:cstheme="majorBidi"/>
          <w:i w:val="0"/>
          <w:color w:val="auto"/>
          <w:sz w:val="24"/>
          <w:szCs w:val="22"/>
        </w:rPr>
        <w:t>1</w:t>
      </w:r>
      <w:r w:rsidRPr="005E2D0A">
        <w:rPr>
          <w:rFonts w:eastAsiaTheme="majorEastAsia" w:cstheme="majorBidi"/>
          <w:i w:val="0"/>
          <w:color w:val="auto"/>
          <w:sz w:val="24"/>
          <w:szCs w:val="22"/>
        </w:rPr>
        <w:fldChar w:fldCharType="end"/>
      </w:r>
      <w:bookmarkEnd w:id="1"/>
      <w:r w:rsidRPr="005E2D0A">
        <w:rPr>
          <w:rFonts w:eastAsiaTheme="majorEastAsia" w:cstheme="majorBidi"/>
          <w:i w:val="0"/>
          <w:color w:val="auto"/>
          <w:sz w:val="24"/>
          <w:szCs w:val="22"/>
        </w:rPr>
        <w:t>.</w:t>
      </w:r>
      <w:r w:rsidR="005E2D0A">
        <w:rPr>
          <w:rFonts w:eastAsiaTheme="majorEastAsia" w:cstheme="majorBidi"/>
          <w:i w:val="0"/>
          <w:color w:val="auto"/>
          <w:sz w:val="24"/>
          <w:szCs w:val="22"/>
        </w:rPr>
        <w:t xml:space="preserve"> </w:t>
      </w:r>
      <w:r w:rsidR="0043352A" w:rsidRPr="005E2D0A">
        <w:rPr>
          <w:rFonts w:eastAsiaTheme="majorEastAsia" w:cstheme="majorBidi"/>
          <w:i w:val="0"/>
          <w:color w:val="auto"/>
          <w:sz w:val="24"/>
          <w:szCs w:val="22"/>
        </w:rPr>
        <w:t xml:space="preserve">Expected retirement income sources by age group (20-64, GB: 2012/14) </w:t>
      </w:r>
    </w:p>
    <w:p w14:paraId="1FA9276E" w14:textId="5D4AA16A" w:rsidR="0043352A" w:rsidRPr="005E2D0A" w:rsidRDefault="0043352A" w:rsidP="0043352A">
      <w:pPr>
        <w:pStyle w:val="NoSpacing"/>
        <w:rPr>
          <w:rStyle w:val="SubtleEmphasis"/>
          <w:color w:val="auto"/>
        </w:rPr>
      </w:pPr>
      <w:r w:rsidRPr="005E2D0A">
        <w:rPr>
          <w:rStyle w:val="SubtleEmphasis"/>
          <w:color w:val="auto"/>
        </w:rPr>
        <w:t xml:space="preserve">Note: Author’s own calculation based on </w:t>
      </w:r>
      <w:r w:rsidR="00890300" w:rsidRPr="005E2D0A">
        <w:rPr>
          <w:rStyle w:val="SubtleEmphasis"/>
          <w:color w:val="auto"/>
        </w:rPr>
        <w:t>19,494</w:t>
      </w:r>
      <w:r w:rsidRPr="005E2D0A">
        <w:rPr>
          <w:rStyle w:val="SubtleEmphasis"/>
          <w:color w:val="auto"/>
        </w:rPr>
        <w:t xml:space="preserve"> individuals </w:t>
      </w:r>
      <w:r w:rsidR="00C34B91" w:rsidRPr="005E2D0A">
        <w:rPr>
          <w:rStyle w:val="SubtleEmphasis"/>
          <w:color w:val="auto"/>
        </w:rPr>
        <w:t xml:space="preserve">who completed the full interview in person </w:t>
      </w:r>
      <w:r w:rsidRPr="005E2D0A">
        <w:rPr>
          <w:rStyle w:val="SubtleEmphasis"/>
          <w:color w:val="auto"/>
        </w:rPr>
        <w:t>(with the age group</w:t>
      </w:r>
      <w:r w:rsidR="00183B8F" w:rsidRPr="005E2D0A">
        <w:rPr>
          <w:rStyle w:val="SubtleEmphasis"/>
          <w:color w:val="auto"/>
        </w:rPr>
        <w:t xml:space="preserve"> with the smallest respondents: </w:t>
      </w:r>
      <w:r w:rsidR="00C34B91" w:rsidRPr="005E2D0A">
        <w:rPr>
          <w:rStyle w:val="SubtleEmphasis"/>
          <w:color w:val="auto"/>
        </w:rPr>
        <w:t>20-29</w:t>
      </w:r>
      <w:r w:rsidRPr="005E2D0A">
        <w:rPr>
          <w:rStyle w:val="SubtleEmphasis"/>
          <w:color w:val="auto"/>
        </w:rPr>
        <w:t xml:space="preserve">: </w:t>
      </w:r>
      <w:r w:rsidR="00C34B91" w:rsidRPr="005E2D0A">
        <w:rPr>
          <w:rStyle w:val="SubtleEmphasis"/>
          <w:color w:val="auto"/>
        </w:rPr>
        <w:t>2,261</w:t>
      </w:r>
      <w:r w:rsidR="00183B8F" w:rsidRPr="005E2D0A">
        <w:rPr>
          <w:rStyle w:val="SubtleEmphasis"/>
          <w:color w:val="auto"/>
        </w:rPr>
        <w:t>individuals</w:t>
      </w:r>
      <w:r w:rsidRPr="005E2D0A">
        <w:rPr>
          <w:rStyle w:val="SubtleEmphasis"/>
          <w:color w:val="auto"/>
        </w:rPr>
        <w:t xml:space="preserve">). All sources mentioned are included. Other* categories include income sources from borrowing against a home, renting out a home, selling a property, selling a business, and other sources. It is not possible to distinguish between occupational or personal pension due to the way the response is formulated. </w:t>
      </w:r>
    </w:p>
    <w:p w14:paraId="287307A3" w14:textId="18004728" w:rsidR="00D1441E" w:rsidRPr="005E2D0A" w:rsidRDefault="00D1441E"/>
    <w:p w14:paraId="5DB69AAD" w14:textId="4158D430" w:rsidR="00853A9D" w:rsidRPr="005E2D0A" w:rsidRDefault="00853A9D"/>
    <w:p w14:paraId="07D0FA27" w14:textId="77194CEF" w:rsidR="00853A9D" w:rsidRPr="005E2D0A" w:rsidRDefault="00853A9D"/>
    <w:p w14:paraId="20A95175" w14:textId="1AA6A6E2" w:rsidR="00853A9D" w:rsidRPr="005E2D0A" w:rsidRDefault="00853A9D"/>
    <w:p w14:paraId="065CFA7B" w14:textId="3801F403" w:rsidR="00853A9D" w:rsidRPr="005E2D0A" w:rsidRDefault="00853A9D"/>
    <w:p w14:paraId="728A9525" w14:textId="79938A4D" w:rsidR="00853A9D" w:rsidRPr="005E2D0A" w:rsidRDefault="00C32B8A">
      <w:pPr>
        <w:rPr>
          <w:b/>
          <w:bCs/>
        </w:rPr>
      </w:pPr>
      <w:r w:rsidRPr="005E2D0A">
        <w:rPr>
          <w:b/>
          <w:bCs/>
        </w:rPr>
        <w:t xml:space="preserve">Perceptions of the retirement saving options </w:t>
      </w:r>
    </w:p>
    <w:p w14:paraId="1BD28200" w14:textId="06AC895A" w:rsidR="00853A9D" w:rsidRPr="005E2D0A" w:rsidRDefault="00853A9D"/>
    <w:p w14:paraId="241E085B" w14:textId="3B7AA928" w:rsidR="000573D8" w:rsidRPr="005E2D0A" w:rsidRDefault="00E026C5">
      <w:r w:rsidRPr="005E2D0A">
        <w:t xml:space="preserve">The younger generation’s perception on the safest and the best way to save for retirement also reveal that these expectations may </w:t>
      </w:r>
      <w:r w:rsidR="00D004E6" w:rsidRPr="005E2D0A">
        <w:t>h</w:t>
      </w:r>
      <w:r w:rsidRPr="005E2D0A">
        <w:t xml:space="preserve">ave been built based on the previous generation’s experience. More than four out of ten believe </w:t>
      </w:r>
      <w:r w:rsidR="00D004E6" w:rsidRPr="005E2D0A">
        <w:t>investing in</w:t>
      </w:r>
      <w:r w:rsidRPr="005E2D0A">
        <w:t xml:space="preserve"> property yields the highest return, and just around a quarter view that contributing to the employer pension scheme is the most effective way to save (See </w:t>
      </w:r>
      <w:r w:rsidR="004113B2" w:rsidRPr="005E2D0A">
        <w:fldChar w:fldCharType="begin"/>
      </w:r>
      <w:r w:rsidR="004113B2" w:rsidRPr="005E2D0A">
        <w:instrText xml:space="preserve"> REF _Ref40892920 \h </w:instrText>
      </w:r>
      <w:r w:rsidR="004113B2" w:rsidRPr="005E2D0A">
        <w:fldChar w:fldCharType="separate"/>
      </w:r>
      <w:r w:rsidR="004113B2" w:rsidRPr="005E2D0A">
        <w:rPr>
          <w:rFonts w:eastAsiaTheme="majorEastAsia" w:cstheme="majorBidi"/>
          <w:i/>
        </w:rPr>
        <w:t xml:space="preserve">Figure </w:t>
      </w:r>
      <w:r w:rsidR="005E2D0A">
        <w:rPr>
          <w:rFonts w:eastAsiaTheme="majorEastAsia" w:cstheme="majorBidi"/>
          <w:i/>
        </w:rPr>
        <w:t>S</w:t>
      </w:r>
      <w:r w:rsidR="004113B2" w:rsidRPr="005E2D0A">
        <w:rPr>
          <w:rFonts w:eastAsiaTheme="majorEastAsia" w:cstheme="majorBidi"/>
          <w:i/>
        </w:rPr>
        <w:t>1</w:t>
      </w:r>
      <w:r w:rsidR="004113B2" w:rsidRPr="005E2D0A">
        <w:fldChar w:fldCharType="end"/>
      </w:r>
      <w:r w:rsidR="004113B2" w:rsidRPr="005E2D0A">
        <w:t xml:space="preserve">). </w:t>
      </w:r>
      <w:r w:rsidRPr="005E2D0A">
        <w:t xml:space="preserve">On the other hand, nearly four out of ten believed that </w:t>
      </w:r>
      <w:r w:rsidR="00D004E6" w:rsidRPr="005E2D0A">
        <w:t xml:space="preserve">saving through employer pension scheme is the safest option, while only around three out of ten considered property investment as the safest option. These expectations on future income sources and perceptions of saving mechanisms reiterate the gap between the awareness and behaviours in retirement saving in the changing pension policy environment. </w:t>
      </w:r>
    </w:p>
    <w:p w14:paraId="141CB5A3" w14:textId="4238AFE6" w:rsidR="00853A9D" w:rsidRPr="005E2D0A" w:rsidRDefault="00853A9D"/>
    <w:p w14:paraId="13C0E406" w14:textId="5622088F" w:rsidR="007F5D21" w:rsidRPr="005E2D0A" w:rsidRDefault="007F5D21"/>
    <w:tbl>
      <w:tblPr>
        <w:tblStyle w:val="TableGridLight"/>
        <w:tblW w:w="8496" w:type="dxa"/>
        <w:tblLayout w:type="fixed"/>
        <w:tblLook w:val="04A0" w:firstRow="1" w:lastRow="0" w:firstColumn="1" w:lastColumn="0" w:noHBand="0" w:noVBand="1"/>
      </w:tblPr>
      <w:tblGrid>
        <w:gridCol w:w="3397"/>
        <w:gridCol w:w="1274"/>
        <w:gridCol w:w="1275"/>
        <w:gridCol w:w="1275"/>
        <w:gridCol w:w="1275"/>
      </w:tblGrid>
      <w:tr w:rsidR="005E2D0A" w:rsidRPr="005E2D0A" w14:paraId="29EA40DE" w14:textId="77777777" w:rsidTr="00E11A2E">
        <w:trPr>
          <w:trHeight w:val="377"/>
        </w:trPr>
        <w:tc>
          <w:tcPr>
            <w:tcW w:w="3397" w:type="dxa"/>
            <w:noWrap/>
            <w:hideMark/>
          </w:tcPr>
          <w:p w14:paraId="49A0B534" w14:textId="77777777" w:rsidR="00B54BA3" w:rsidRPr="005E2D0A" w:rsidRDefault="00B54BA3" w:rsidP="007F5D21">
            <w:pPr>
              <w:spacing w:before="0" w:after="0" w:line="240" w:lineRule="auto"/>
              <w:contextualSpacing w:val="0"/>
              <w:mirrorIndents w:val="0"/>
              <w:rPr>
                <w:rFonts w:asciiTheme="majorHAnsi" w:eastAsia="Times New Roman" w:hAnsiTheme="majorHAnsi" w:cstheme="majorHAnsi"/>
                <w:sz w:val="20"/>
                <w:szCs w:val="20"/>
              </w:rPr>
            </w:pPr>
          </w:p>
        </w:tc>
        <w:tc>
          <w:tcPr>
            <w:tcW w:w="2549" w:type="dxa"/>
            <w:gridSpan w:val="2"/>
            <w:noWrap/>
            <w:hideMark/>
          </w:tcPr>
          <w:p w14:paraId="3E572306" w14:textId="382DC9A8" w:rsidR="00B54BA3" w:rsidRPr="005E2D0A" w:rsidRDefault="00B54BA3" w:rsidP="00B54BA3">
            <w:pPr>
              <w:spacing w:before="0" w:after="0" w:line="240" w:lineRule="auto"/>
              <w:contextualSpacing w:val="0"/>
              <w:mirrorIndents w:val="0"/>
              <w:jc w:val="center"/>
              <w:rPr>
                <w:rFonts w:asciiTheme="majorHAnsi" w:eastAsia="Times New Roman" w:hAnsiTheme="majorHAnsi" w:cstheme="majorHAnsi"/>
                <w:b/>
                <w:bCs/>
                <w:sz w:val="20"/>
                <w:szCs w:val="20"/>
              </w:rPr>
            </w:pPr>
            <w:r w:rsidRPr="005E2D0A">
              <w:rPr>
                <w:rFonts w:asciiTheme="majorHAnsi" w:eastAsia="Times New Roman" w:hAnsiTheme="majorHAnsi" w:cstheme="majorHAnsi"/>
                <w:b/>
                <w:bCs/>
                <w:sz w:val="20"/>
                <w:szCs w:val="20"/>
              </w:rPr>
              <w:t>The best-value method</w:t>
            </w:r>
          </w:p>
          <w:p w14:paraId="0461CAFE" w14:textId="5E72DC6C" w:rsidR="00B54BA3" w:rsidRPr="005E2D0A" w:rsidRDefault="00B54BA3" w:rsidP="00B54BA3">
            <w:pPr>
              <w:spacing w:before="0" w:after="0" w:line="240" w:lineRule="auto"/>
              <w:contextualSpacing w:val="0"/>
              <w:mirrorIndents w:val="0"/>
              <w:jc w:val="center"/>
              <w:rPr>
                <w:rFonts w:asciiTheme="majorHAnsi" w:eastAsia="Times New Roman" w:hAnsiTheme="majorHAnsi" w:cstheme="majorHAnsi"/>
                <w:b/>
                <w:bCs/>
                <w:sz w:val="20"/>
                <w:szCs w:val="20"/>
              </w:rPr>
            </w:pPr>
            <w:r w:rsidRPr="005E2D0A">
              <w:rPr>
                <w:rFonts w:asciiTheme="majorHAnsi" w:eastAsia="Times New Roman" w:hAnsiTheme="majorHAnsi" w:cstheme="majorHAnsi"/>
                <w:b/>
                <w:bCs/>
                <w:sz w:val="20"/>
                <w:szCs w:val="20"/>
              </w:rPr>
              <w:t xml:space="preserve"> to save for retirement (%)</w:t>
            </w:r>
          </w:p>
        </w:tc>
        <w:tc>
          <w:tcPr>
            <w:tcW w:w="2550" w:type="dxa"/>
            <w:gridSpan w:val="2"/>
            <w:noWrap/>
            <w:hideMark/>
          </w:tcPr>
          <w:p w14:paraId="34B365FF" w14:textId="4A93AA50" w:rsidR="00B54BA3" w:rsidRPr="005E2D0A" w:rsidRDefault="00B54BA3" w:rsidP="00B54BA3">
            <w:pPr>
              <w:spacing w:before="0" w:after="0" w:line="240" w:lineRule="auto"/>
              <w:contextualSpacing w:val="0"/>
              <w:mirrorIndents w:val="0"/>
              <w:jc w:val="center"/>
              <w:rPr>
                <w:rFonts w:asciiTheme="majorHAnsi" w:eastAsia="Times New Roman" w:hAnsiTheme="majorHAnsi" w:cstheme="majorHAnsi"/>
                <w:b/>
                <w:bCs/>
                <w:sz w:val="20"/>
                <w:szCs w:val="20"/>
              </w:rPr>
            </w:pPr>
            <w:r w:rsidRPr="005E2D0A">
              <w:rPr>
                <w:rFonts w:asciiTheme="majorHAnsi" w:eastAsia="Times New Roman" w:hAnsiTheme="majorHAnsi" w:cstheme="majorHAnsi"/>
                <w:b/>
                <w:bCs/>
                <w:sz w:val="20"/>
                <w:szCs w:val="20"/>
              </w:rPr>
              <w:t>The safest method</w:t>
            </w:r>
          </w:p>
          <w:p w14:paraId="60B20EAF" w14:textId="7ECA57A9" w:rsidR="00B54BA3" w:rsidRPr="005E2D0A" w:rsidRDefault="00B54BA3" w:rsidP="00B54BA3">
            <w:pPr>
              <w:spacing w:before="0" w:after="0" w:line="240" w:lineRule="auto"/>
              <w:contextualSpacing w:val="0"/>
              <w:mirrorIndents w:val="0"/>
              <w:jc w:val="center"/>
              <w:rPr>
                <w:rFonts w:asciiTheme="majorHAnsi" w:eastAsia="Times New Roman" w:hAnsiTheme="majorHAnsi" w:cstheme="majorHAnsi"/>
                <w:b/>
                <w:bCs/>
                <w:sz w:val="20"/>
                <w:szCs w:val="20"/>
              </w:rPr>
            </w:pPr>
            <w:r w:rsidRPr="005E2D0A">
              <w:rPr>
                <w:rFonts w:asciiTheme="majorHAnsi" w:eastAsia="Times New Roman" w:hAnsiTheme="majorHAnsi" w:cstheme="majorHAnsi"/>
                <w:b/>
                <w:bCs/>
                <w:sz w:val="20"/>
                <w:szCs w:val="20"/>
              </w:rPr>
              <w:t xml:space="preserve"> to save for retirement (%)</w:t>
            </w:r>
          </w:p>
        </w:tc>
      </w:tr>
      <w:tr w:rsidR="005E2D0A" w:rsidRPr="005E2D0A" w14:paraId="36073374" w14:textId="77777777" w:rsidTr="00B54BA3">
        <w:trPr>
          <w:trHeight w:val="377"/>
        </w:trPr>
        <w:tc>
          <w:tcPr>
            <w:tcW w:w="3397" w:type="dxa"/>
            <w:noWrap/>
            <w:hideMark/>
          </w:tcPr>
          <w:p w14:paraId="2C7283AE" w14:textId="3B521CC3" w:rsidR="007F5D21" w:rsidRPr="005E2D0A" w:rsidRDefault="00B54BA3" w:rsidP="00B54BA3">
            <w:pPr>
              <w:spacing w:before="0" w:after="0" w:line="240" w:lineRule="auto"/>
              <w:contextualSpacing w:val="0"/>
              <w:mirrorIndents w:val="0"/>
              <w:jc w:val="right"/>
              <w:rPr>
                <w:rFonts w:asciiTheme="majorHAnsi" w:eastAsia="Times New Roman" w:hAnsiTheme="majorHAnsi" w:cstheme="majorHAnsi"/>
                <w:b/>
                <w:bCs/>
                <w:sz w:val="20"/>
                <w:szCs w:val="20"/>
              </w:rPr>
            </w:pPr>
            <w:r w:rsidRPr="005E2D0A">
              <w:rPr>
                <w:rFonts w:asciiTheme="majorHAnsi" w:eastAsia="Times New Roman" w:hAnsiTheme="majorHAnsi" w:cstheme="majorHAnsi"/>
                <w:b/>
                <w:bCs/>
                <w:sz w:val="20"/>
                <w:szCs w:val="20"/>
              </w:rPr>
              <w:t>Options listed</w:t>
            </w:r>
          </w:p>
        </w:tc>
        <w:tc>
          <w:tcPr>
            <w:tcW w:w="1274" w:type="dxa"/>
            <w:noWrap/>
            <w:hideMark/>
          </w:tcPr>
          <w:p w14:paraId="40327750" w14:textId="6FE6668E" w:rsidR="007F5D21" w:rsidRPr="005E2D0A" w:rsidRDefault="00B54BA3" w:rsidP="008E7095">
            <w:pPr>
              <w:spacing w:before="0" w:after="0" w:line="240" w:lineRule="auto"/>
              <w:contextualSpacing w:val="0"/>
              <w:mirrorIndents w:val="0"/>
              <w:jc w:val="center"/>
              <w:rPr>
                <w:rFonts w:asciiTheme="majorHAnsi" w:eastAsia="Times New Roman" w:hAnsiTheme="majorHAnsi" w:cstheme="majorHAnsi"/>
                <w:b/>
                <w:bCs/>
                <w:sz w:val="20"/>
                <w:szCs w:val="20"/>
              </w:rPr>
            </w:pPr>
            <w:r w:rsidRPr="005E2D0A">
              <w:rPr>
                <w:rFonts w:asciiTheme="majorHAnsi" w:eastAsia="Times New Roman" w:hAnsiTheme="majorHAnsi" w:cstheme="majorHAnsi"/>
                <w:b/>
                <w:bCs/>
                <w:sz w:val="20"/>
                <w:szCs w:val="20"/>
              </w:rPr>
              <w:t xml:space="preserve">Age group </w:t>
            </w:r>
            <w:r w:rsidR="007F5D21" w:rsidRPr="005E2D0A">
              <w:rPr>
                <w:rFonts w:asciiTheme="majorHAnsi" w:eastAsia="Times New Roman" w:hAnsiTheme="majorHAnsi" w:cstheme="majorHAnsi"/>
                <w:b/>
                <w:bCs/>
                <w:sz w:val="20"/>
                <w:szCs w:val="20"/>
              </w:rPr>
              <w:t>30-39</w:t>
            </w:r>
          </w:p>
        </w:tc>
        <w:tc>
          <w:tcPr>
            <w:tcW w:w="1275" w:type="dxa"/>
            <w:noWrap/>
            <w:hideMark/>
          </w:tcPr>
          <w:p w14:paraId="6B180E61" w14:textId="499132F4" w:rsidR="007F5D21" w:rsidRPr="005E2D0A" w:rsidRDefault="00B54BA3" w:rsidP="008E7095">
            <w:pPr>
              <w:spacing w:before="0" w:after="0" w:line="240" w:lineRule="auto"/>
              <w:contextualSpacing w:val="0"/>
              <w:mirrorIndents w:val="0"/>
              <w:jc w:val="center"/>
              <w:rPr>
                <w:rFonts w:asciiTheme="majorHAnsi" w:eastAsia="Times New Roman" w:hAnsiTheme="majorHAnsi" w:cstheme="majorHAnsi"/>
                <w:b/>
                <w:bCs/>
                <w:sz w:val="20"/>
                <w:szCs w:val="20"/>
              </w:rPr>
            </w:pPr>
            <w:r w:rsidRPr="005E2D0A">
              <w:rPr>
                <w:rFonts w:asciiTheme="majorHAnsi" w:eastAsia="Times New Roman" w:hAnsiTheme="majorHAnsi" w:cstheme="majorHAnsi"/>
                <w:b/>
                <w:bCs/>
                <w:sz w:val="20"/>
                <w:szCs w:val="20"/>
              </w:rPr>
              <w:t xml:space="preserve">Age group </w:t>
            </w:r>
            <w:r w:rsidR="007F5D21" w:rsidRPr="005E2D0A">
              <w:rPr>
                <w:rFonts w:asciiTheme="majorHAnsi" w:eastAsia="Times New Roman" w:hAnsiTheme="majorHAnsi" w:cstheme="majorHAnsi"/>
                <w:b/>
                <w:bCs/>
                <w:sz w:val="20"/>
                <w:szCs w:val="20"/>
              </w:rPr>
              <w:t>40-49</w:t>
            </w:r>
          </w:p>
        </w:tc>
        <w:tc>
          <w:tcPr>
            <w:tcW w:w="1275" w:type="dxa"/>
            <w:noWrap/>
            <w:hideMark/>
          </w:tcPr>
          <w:p w14:paraId="14EC82AC" w14:textId="625CA9AF" w:rsidR="007F5D21" w:rsidRPr="005E2D0A" w:rsidRDefault="00B54BA3" w:rsidP="008E7095">
            <w:pPr>
              <w:spacing w:before="0" w:after="0" w:line="240" w:lineRule="auto"/>
              <w:contextualSpacing w:val="0"/>
              <w:mirrorIndents w:val="0"/>
              <w:jc w:val="center"/>
              <w:rPr>
                <w:rFonts w:asciiTheme="majorHAnsi" w:eastAsia="Times New Roman" w:hAnsiTheme="majorHAnsi" w:cstheme="majorHAnsi"/>
                <w:b/>
                <w:bCs/>
                <w:sz w:val="20"/>
                <w:szCs w:val="20"/>
              </w:rPr>
            </w:pPr>
            <w:r w:rsidRPr="005E2D0A">
              <w:rPr>
                <w:rFonts w:asciiTheme="majorHAnsi" w:eastAsia="Times New Roman" w:hAnsiTheme="majorHAnsi" w:cstheme="majorHAnsi"/>
                <w:b/>
                <w:bCs/>
                <w:sz w:val="20"/>
                <w:szCs w:val="20"/>
              </w:rPr>
              <w:t xml:space="preserve">Age group </w:t>
            </w:r>
            <w:r w:rsidR="007F5D21" w:rsidRPr="005E2D0A">
              <w:rPr>
                <w:rFonts w:asciiTheme="majorHAnsi" w:eastAsia="Times New Roman" w:hAnsiTheme="majorHAnsi" w:cstheme="majorHAnsi"/>
                <w:b/>
                <w:bCs/>
                <w:sz w:val="20"/>
                <w:szCs w:val="20"/>
              </w:rPr>
              <w:t>30-39</w:t>
            </w:r>
          </w:p>
        </w:tc>
        <w:tc>
          <w:tcPr>
            <w:tcW w:w="1275" w:type="dxa"/>
            <w:noWrap/>
            <w:hideMark/>
          </w:tcPr>
          <w:p w14:paraId="505DB575" w14:textId="17E67FC2" w:rsidR="007F5D21" w:rsidRPr="005E2D0A" w:rsidRDefault="00B54BA3" w:rsidP="008E7095">
            <w:pPr>
              <w:spacing w:before="0" w:after="0" w:line="240" w:lineRule="auto"/>
              <w:contextualSpacing w:val="0"/>
              <w:mirrorIndents w:val="0"/>
              <w:jc w:val="center"/>
              <w:rPr>
                <w:rFonts w:asciiTheme="majorHAnsi" w:eastAsia="Times New Roman" w:hAnsiTheme="majorHAnsi" w:cstheme="majorHAnsi"/>
                <w:b/>
                <w:bCs/>
                <w:sz w:val="20"/>
                <w:szCs w:val="20"/>
              </w:rPr>
            </w:pPr>
            <w:r w:rsidRPr="005E2D0A">
              <w:rPr>
                <w:rFonts w:asciiTheme="majorHAnsi" w:eastAsia="Times New Roman" w:hAnsiTheme="majorHAnsi" w:cstheme="majorHAnsi"/>
                <w:b/>
                <w:bCs/>
                <w:sz w:val="20"/>
                <w:szCs w:val="20"/>
              </w:rPr>
              <w:t xml:space="preserve">Age group </w:t>
            </w:r>
            <w:r w:rsidR="007F5D21" w:rsidRPr="005E2D0A">
              <w:rPr>
                <w:rFonts w:asciiTheme="majorHAnsi" w:eastAsia="Times New Roman" w:hAnsiTheme="majorHAnsi" w:cstheme="majorHAnsi"/>
                <w:b/>
                <w:bCs/>
                <w:sz w:val="20"/>
                <w:szCs w:val="20"/>
              </w:rPr>
              <w:t>40-49</w:t>
            </w:r>
          </w:p>
        </w:tc>
      </w:tr>
      <w:tr w:rsidR="005E2D0A" w:rsidRPr="005E2D0A" w14:paraId="6C0E8DD5" w14:textId="77777777" w:rsidTr="00B54BA3">
        <w:trPr>
          <w:trHeight w:val="377"/>
        </w:trPr>
        <w:tc>
          <w:tcPr>
            <w:tcW w:w="3397" w:type="dxa"/>
            <w:noWrap/>
            <w:hideMark/>
          </w:tcPr>
          <w:p w14:paraId="1AC750B4" w14:textId="77777777" w:rsidR="007F5D21" w:rsidRPr="005E2D0A" w:rsidRDefault="007F5D21" w:rsidP="00B54BA3">
            <w:pPr>
              <w:spacing w:before="0" w:after="0" w:line="240" w:lineRule="auto"/>
              <w:contextualSpacing w:val="0"/>
              <w:mirrorIndents w:val="0"/>
              <w:jc w:val="right"/>
              <w:rPr>
                <w:rFonts w:asciiTheme="majorHAnsi" w:eastAsia="Times New Roman" w:hAnsiTheme="majorHAnsi" w:cstheme="majorHAnsi"/>
                <w:sz w:val="20"/>
                <w:szCs w:val="20"/>
              </w:rPr>
            </w:pPr>
            <w:r w:rsidRPr="005E2D0A">
              <w:rPr>
                <w:rFonts w:asciiTheme="majorHAnsi" w:eastAsia="Times New Roman" w:hAnsiTheme="majorHAnsi" w:cstheme="majorHAnsi"/>
                <w:sz w:val="20"/>
                <w:szCs w:val="20"/>
              </w:rPr>
              <w:t>Investing in property</w:t>
            </w:r>
          </w:p>
        </w:tc>
        <w:tc>
          <w:tcPr>
            <w:tcW w:w="1274" w:type="dxa"/>
            <w:noWrap/>
            <w:vAlign w:val="center"/>
            <w:hideMark/>
          </w:tcPr>
          <w:p w14:paraId="6B6FCAE0" w14:textId="70367968"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47</w:t>
            </w:r>
          </w:p>
        </w:tc>
        <w:tc>
          <w:tcPr>
            <w:tcW w:w="1275" w:type="dxa"/>
            <w:noWrap/>
            <w:vAlign w:val="center"/>
            <w:hideMark/>
          </w:tcPr>
          <w:p w14:paraId="3AC6EA23" w14:textId="49ECACD1"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43</w:t>
            </w:r>
          </w:p>
        </w:tc>
        <w:tc>
          <w:tcPr>
            <w:tcW w:w="1275" w:type="dxa"/>
            <w:noWrap/>
            <w:vAlign w:val="center"/>
            <w:hideMark/>
          </w:tcPr>
          <w:p w14:paraId="7C1116CE" w14:textId="21FF6088"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31</w:t>
            </w:r>
          </w:p>
        </w:tc>
        <w:tc>
          <w:tcPr>
            <w:tcW w:w="1275" w:type="dxa"/>
            <w:noWrap/>
            <w:vAlign w:val="center"/>
            <w:hideMark/>
          </w:tcPr>
          <w:p w14:paraId="36A4D1BA" w14:textId="3F785B21"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29</w:t>
            </w:r>
          </w:p>
        </w:tc>
      </w:tr>
      <w:tr w:rsidR="005E2D0A" w:rsidRPr="005E2D0A" w14:paraId="1BAF1494" w14:textId="77777777" w:rsidTr="00B54BA3">
        <w:trPr>
          <w:trHeight w:val="395"/>
        </w:trPr>
        <w:tc>
          <w:tcPr>
            <w:tcW w:w="3397" w:type="dxa"/>
            <w:noWrap/>
            <w:hideMark/>
          </w:tcPr>
          <w:p w14:paraId="0564063D" w14:textId="77777777" w:rsidR="007F5D21" w:rsidRPr="005E2D0A" w:rsidRDefault="007F5D21" w:rsidP="00B54BA3">
            <w:pPr>
              <w:spacing w:before="0" w:after="0" w:line="240" w:lineRule="auto"/>
              <w:contextualSpacing w:val="0"/>
              <w:mirrorIndents w:val="0"/>
              <w:jc w:val="right"/>
              <w:rPr>
                <w:rFonts w:asciiTheme="majorHAnsi" w:eastAsia="Times New Roman" w:hAnsiTheme="majorHAnsi" w:cstheme="majorHAnsi"/>
                <w:sz w:val="20"/>
                <w:szCs w:val="20"/>
              </w:rPr>
            </w:pPr>
            <w:r w:rsidRPr="005E2D0A">
              <w:rPr>
                <w:rFonts w:asciiTheme="majorHAnsi" w:eastAsia="Times New Roman" w:hAnsiTheme="majorHAnsi" w:cstheme="majorHAnsi"/>
                <w:sz w:val="20"/>
                <w:szCs w:val="20"/>
              </w:rPr>
              <w:t>Paying employer pension scheme</w:t>
            </w:r>
          </w:p>
        </w:tc>
        <w:tc>
          <w:tcPr>
            <w:tcW w:w="1274" w:type="dxa"/>
            <w:noWrap/>
            <w:vAlign w:val="center"/>
            <w:hideMark/>
          </w:tcPr>
          <w:p w14:paraId="69500E53" w14:textId="2A17CCD4"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24</w:t>
            </w:r>
          </w:p>
        </w:tc>
        <w:tc>
          <w:tcPr>
            <w:tcW w:w="1275" w:type="dxa"/>
            <w:noWrap/>
            <w:vAlign w:val="center"/>
            <w:hideMark/>
          </w:tcPr>
          <w:p w14:paraId="3F4280E3" w14:textId="68D51B40"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27</w:t>
            </w:r>
          </w:p>
        </w:tc>
        <w:tc>
          <w:tcPr>
            <w:tcW w:w="1275" w:type="dxa"/>
            <w:noWrap/>
            <w:vAlign w:val="center"/>
            <w:hideMark/>
          </w:tcPr>
          <w:p w14:paraId="75574C2B" w14:textId="333A7B4F"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3</w:t>
            </w:r>
            <w:r w:rsidR="00051C7E" w:rsidRPr="005E2D0A">
              <w:rPr>
                <w:rFonts w:asciiTheme="majorHAnsi" w:hAnsiTheme="majorHAnsi" w:cstheme="majorHAnsi"/>
                <w:sz w:val="20"/>
                <w:szCs w:val="20"/>
              </w:rPr>
              <w:t>8</w:t>
            </w:r>
          </w:p>
        </w:tc>
        <w:tc>
          <w:tcPr>
            <w:tcW w:w="1275" w:type="dxa"/>
            <w:noWrap/>
            <w:vAlign w:val="center"/>
            <w:hideMark/>
          </w:tcPr>
          <w:p w14:paraId="3112074E" w14:textId="26CFEF42"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41</w:t>
            </w:r>
          </w:p>
        </w:tc>
      </w:tr>
      <w:tr w:rsidR="005E2D0A" w:rsidRPr="005E2D0A" w14:paraId="24DBA88E" w14:textId="77777777" w:rsidTr="00B54BA3">
        <w:trPr>
          <w:trHeight w:val="377"/>
        </w:trPr>
        <w:tc>
          <w:tcPr>
            <w:tcW w:w="3397" w:type="dxa"/>
            <w:noWrap/>
            <w:hideMark/>
          </w:tcPr>
          <w:p w14:paraId="26B5320E" w14:textId="77777777" w:rsidR="007F5D21" w:rsidRPr="005E2D0A" w:rsidRDefault="007F5D21" w:rsidP="00B54BA3">
            <w:pPr>
              <w:spacing w:before="0" w:after="0" w:line="240" w:lineRule="auto"/>
              <w:contextualSpacing w:val="0"/>
              <w:mirrorIndents w:val="0"/>
              <w:jc w:val="right"/>
              <w:rPr>
                <w:rFonts w:asciiTheme="majorHAnsi" w:eastAsia="Times New Roman" w:hAnsiTheme="majorHAnsi" w:cstheme="majorHAnsi"/>
                <w:sz w:val="20"/>
                <w:szCs w:val="20"/>
              </w:rPr>
            </w:pPr>
            <w:r w:rsidRPr="005E2D0A">
              <w:rPr>
                <w:rFonts w:asciiTheme="majorHAnsi" w:eastAsia="Times New Roman" w:hAnsiTheme="majorHAnsi" w:cstheme="majorHAnsi"/>
                <w:sz w:val="20"/>
                <w:szCs w:val="20"/>
              </w:rPr>
              <w:t>Investing in stocks or shares</w:t>
            </w:r>
          </w:p>
        </w:tc>
        <w:tc>
          <w:tcPr>
            <w:tcW w:w="1274" w:type="dxa"/>
            <w:noWrap/>
            <w:vAlign w:val="center"/>
            <w:hideMark/>
          </w:tcPr>
          <w:p w14:paraId="104E1715" w14:textId="1F357EFB"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9</w:t>
            </w:r>
          </w:p>
        </w:tc>
        <w:tc>
          <w:tcPr>
            <w:tcW w:w="1275" w:type="dxa"/>
            <w:noWrap/>
            <w:vAlign w:val="center"/>
            <w:hideMark/>
          </w:tcPr>
          <w:p w14:paraId="1ED84BDC" w14:textId="77DCC5D6"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7</w:t>
            </w:r>
          </w:p>
        </w:tc>
        <w:tc>
          <w:tcPr>
            <w:tcW w:w="1275" w:type="dxa"/>
            <w:noWrap/>
            <w:vAlign w:val="center"/>
            <w:hideMark/>
          </w:tcPr>
          <w:p w14:paraId="6AE2F87B" w14:textId="3E3482CD"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1</w:t>
            </w:r>
          </w:p>
        </w:tc>
        <w:tc>
          <w:tcPr>
            <w:tcW w:w="1275" w:type="dxa"/>
            <w:noWrap/>
            <w:vAlign w:val="center"/>
            <w:hideMark/>
          </w:tcPr>
          <w:p w14:paraId="2063846A" w14:textId="0B346615"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1</w:t>
            </w:r>
          </w:p>
        </w:tc>
      </w:tr>
      <w:tr w:rsidR="005E2D0A" w:rsidRPr="005E2D0A" w14:paraId="4E5E8106" w14:textId="77777777" w:rsidTr="00B54BA3">
        <w:trPr>
          <w:trHeight w:val="377"/>
        </w:trPr>
        <w:tc>
          <w:tcPr>
            <w:tcW w:w="3397" w:type="dxa"/>
            <w:noWrap/>
            <w:hideMark/>
          </w:tcPr>
          <w:p w14:paraId="19DE2575" w14:textId="77777777" w:rsidR="007F5D21" w:rsidRPr="005E2D0A" w:rsidRDefault="007F5D21" w:rsidP="00B54BA3">
            <w:pPr>
              <w:spacing w:before="0" w:after="0" w:line="240" w:lineRule="auto"/>
              <w:contextualSpacing w:val="0"/>
              <w:mirrorIndents w:val="0"/>
              <w:jc w:val="right"/>
              <w:rPr>
                <w:rFonts w:asciiTheme="majorHAnsi" w:eastAsia="Times New Roman" w:hAnsiTheme="majorHAnsi" w:cstheme="majorHAnsi"/>
                <w:sz w:val="20"/>
                <w:szCs w:val="20"/>
              </w:rPr>
            </w:pPr>
            <w:r w:rsidRPr="005E2D0A">
              <w:rPr>
                <w:rFonts w:asciiTheme="majorHAnsi" w:eastAsia="Times New Roman" w:hAnsiTheme="majorHAnsi" w:cstheme="majorHAnsi"/>
                <w:sz w:val="20"/>
                <w:szCs w:val="20"/>
              </w:rPr>
              <w:t>Saving into an ISA</w:t>
            </w:r>
          </w:p>
        </w:tc>
        <w:tc>
          <w:tcPr>
            <w:tcW w:w="1274" w:type="dxa"/>
            <w:noWrap/>
            <w:vAlign w:val="center"/>
            <w:hideMark/>
          </w:tcPr>
          <w:p w14:paraId="7A4FB31F" w14:textId="6032C034"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7</w:t>
            </w:r>
          </w:p>
        </w:tc>
        <w:tc>
          <w:tcPr>
            <w:tcW w:w="1275" w:type="dxa"/>
            <w:noWrap/>
            <w:vAlign w:val="center"/>
            <w:hideMark/>
          </w:tcPr>
          <w:p w14:paraId="5E97A040" w14:textId="4245A3D9"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7</w:t>
            </w:r>
          </w:p>
        </w:tc>
        <w:tc>
          <w:tcPr>
            <w:tcW w:w="1275" w:type="dxa"/>
            <w:noWrap/>
            <w:vAlign w:val="center"/>
            <w:hideMark/>
          </w:tcPr>
          <w:p w14:paraId="79EB97FB" w14:textId="42F9176B"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10</w:t>
            </w:r>
          </w:p>
        </w:tc>
        <w:tc>
          <w:tcPr>
            <w:tcW w:w="1275" w:type="dxa"/>
            <w:noWrap/>
            <w:vAlign w:val="center"/>
            <w:hideMark/>
          </w:tcPr>
          <w:p w14:paraId="5E326521" w14:textId="63783883"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9</w:t>
            </w:r>
          </w:p>
        </w:tc>
      </w:tr>
      <w:tr w:rsidR="005E2D0A" w:rsidRPr="005E2D0A" w14:paraId="4F2781BF" w14:textId="77777777" w:rsidTr="00B54BA3">
        <w:trPr>
          <w:trHeight w:val="377"/>
        </w:trPr>
        <w:tc>
          <w:tcPr>
            <w:tcW w:w="3397" w:type="dxa"/>
            <w:noWrap/>
            <w:hideMark/>
          </w:tcPr>
          <w:p w14:paraId="1A889B73" w14:textId="77777777" w:rsidR="007F5D21" w:rsidRPr="005E2D0A" w:rsidRDefault="007F5D21" w:rsidP="00B54BA3">
            <w:pPr>
              <w:spacing w:before="0" w:after="0" w:line="240" w:lineRule="auto"/>
              <w:contextualSpacing w:val="0"/>
              <w:mirrorIndents w:val="0"/>
              <w:jc w:val="right"/>
              <w:rPr>
                <w:rFonts w:asciiTheme="majorHAnsi" w:eastAsia="Times New Roman" w:hAnsiTheme="majorHAnsi" w:cstheme="majorHAnsi"/>
                <w:sz w:val="20"/>
                <w:szCs w:val="20"/>
              </w:rPr>
            </w:pPr>
            <w:r w:rsidRPr="005E2D0A">
              <w:rPr>
                <w:rFonts w:asciiTheme="majorHAnsi" w:eastAsia="Times New Roman" w:hAnsiTheme="majorHAnsi" w:cstheme="majorHAnsi"/>
                <w:sz w:val="20"/>
                <w:szCs w:val="20"/>
              </w:rPr>
              <w:t>Saving into a high rate account</w:t>
            </w:r>
          </w:p>
        </w:tc>
        <w:tc>
          <w:tcPr>
            <w:tcW w:w="1274" w:type="dxa"/>
            <w:noWrap/>
            <w:vAlign w:val="center"/>
            <w:hideMark/>
          </w:tcPr>
          <w:p w14:paraId="05C03D35" w14:textId="6B8EAD21"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6</w:t>
            </w:r>
          </w:p>
        </w:tc>
        <w:tc>
          <w:tcPr>
            <w:tcW w:w="1275" w:type="dxa"/>
            <w:noWrap/>
            <w:vAlign w:val="center"/>
            <w:hideMark/>
          </w:tcPr>
          <w:p w14:paraId="3AF8D719" w14:textId="74DF7895"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6</w:t>
            </w:r>
          </w:p>
        </w:tc>
        <w:tc>
          <w:tcPr>
            <w:tcW w:w="1275" w:type="dxa"/>
            <w:noWrap/>
            <w:vAlign w:val="center"/>
            <w:hideMark/>
          </w:tcPr>
          <w:p w14:paraId="7760A070" w14:textId="79860C74"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6</w:t>
            </w:r>
          </w:p>
        </w:tc>
        <w:tc>
          <w:tcPr>
            <w:tcW w:w="1275" w:type="dxa"/>
            <w:noWrap/>
            <w:vAlign w:val="center"/>
            <w:hideMark/>
          </w:tcPr>
          <w:p w14:paraId="50F7D808" w14:textId="49475045"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5</w:t>
            </w:r>
          </w:p>
        </w:tc>
      </w:tr>
      <w:tr w:rsidR="005E2D0A" w:rsidRPr="005E2D0A" w14:paraId="728728DE" w14:textId="77777777" w:rsidTr="00B54BA3">
        <w:trPr>
          <w:trHeight w:val="377"/>
        </w:trPr>
        <w:tc>
          <w:tcPr>
            <w:tcW w:w="3397" w:type="dxa"/>
            <w:noWrap/>
            <w:hideMark/>
          </w:tcPr>
          <w:p w14:paraId="39A96A3B" w14:textId="77777777" w:rsidR="007F5D21" w:rsidRPr="005E2D0A" w:rsidRDefault="007F5D21" w:rsidP="00B54BA3">
            <w:pPr>
              <w:spacing w:before="0" w:after="0" w:line="240" w:lineRule="auto"/>
              <w:contextualSpacing w:val="0"/>
              <w:mirrorIndents w:val="0"/>
              <w:jc w:val="right"/>
              <w:rPr>
                <w:rFonts w:asciiTheme="majorHAnsi" w:eastAsia="Times New Roman" w:hAnsiTheme="majorHAnsi" w:cstheme="majorHAnsi"/>
                <w:sz w:val="20"/>
                <w:szCs w:val="20"/>
              </w:rPr>
            </w:pPr>
            <w:r w:rsidRPr="005E2D0A">
              <w:rPr>
                <w:rFonts w:asciiTheme="majorHAnsi" w:eastAsia="Times New Roman" w:hAnsiTheme="majorHAnsi" w:cstheme="majorHAnsi"/>
                <w:sz w:val="20"/>
                <w:szCs w:val="20"/>
              </w:rPr>
              <w:t>Paying into a personal pension scheme</w:t>
            </w:r>
          </w:p>
        </w:tc>
        <w:tc>
          <w:tcPr>
            <w:tcW w:w="1274" w:type="dxa"/>
            <w:noWrap/>
            <w:vAlign w:val="center"/>
            <w:hideMark/>
          </w:tcPr>
          <w:p w14:paraId="335D3E37" w14:textId="42A477A2"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5</w:t>
            </w:r>
          </w:p>
        </w:tc>
        <w:tc>
          <w:tcPr>
            <w:tcW w:w="1275" w:type="dxa"/>
            <w:noWrap/>
            <w:vAlign w:val="center"/>
            <w:hideMark/>
          </w:tcPr>
          <w:p w14:paraId="1B288339" w14:textId="0496AD80"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6</w:t>
            </w:r>
          </w:p>
        </w:tc>
        <w:tc>
          <w:tcPr>
            <w:tcW w:w="1275" w:type="dxa"/>
            <w:noWrap/>
            <w:vAlign w:val="center"/>
            <w:hideMark/>
          </w:tcPr>
          <w:p w14:paraId="7C3EE0DE" w14:textId="1B340601"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10</w:t>
            </w:r>
          </w:p>
        </w:tc>
        <w:tc>
          <w:tcPr>
            <w:tcW w:w="1275" w:type="dxa"/>
            <w:noWrap/>
            <w:vAlign w:val="center"/>
            <w:hideMark/>
          </w:tcPr>
          <w:p w14:paraId="1345A993" w14:textId="187C5071"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10</w:t>
            </w:r>
          </w:p>
        </w:tc>
      </w:tr>
      <w:tr w:rsidR="005E2D0A" w:rsidRPr="005E2D0A" w14:paraId="3FCCCD92" w14:textId="77777777" w:rsidTr="00B54BA3">
        <w:trPr>
          <w:trHeight w:val="377"/>
        </w:trPr>
        <w:tc>
          <w:tcPr>
            <w:tcW w:w="3397" w:type="dxa"/>
            <w:noWrap/>
            <w:hideMark/>
          </w:tcPr>
          <w:p w14:paraId="4637BCE4" w14:textId="77777777" w:rsidR="007F5D21" w:rsidRPr="005E2D0A" w:rsidRDefault="007F5D21" w:rsidP="00B54BA3">
            <w:pPr>
              <w:spacing w:before="0" w:after="0" w:line="240" w:lineRule="auto"/>
              <w:contextualSpacing w:val="0"/>
              <w:mirrorIndents w:val="0"/>
              <w:jc w:val="right"/>
              <w:rPr>
                <w:rFonts w:asciiTheme="majorHAnsi" w:eastAsia="Times New Roman" w:hAnsiTheme="majorHAnsi" w:cstheme="majorHAnsi"/>
                <w:sz w:val="20"/>
                <w:szCs w:val="20"/>
              </w:rPr>
            </w:pPr>
            <w:r w:rsidRPr="005E2D0A">
              <w:rPr>
                <w:rFonts w:asciiTheme="majorHAnsi" w:eastAsia="Times New Roman" w:hAnsiTheme="majorHAnsi" w:cstheme="majorHAnsi"/>
                <w:sz w:val="20"/>
                <w:szCs w:val="20"/>
              </w:rPr>
              <w:t>Other</w:t>
            </w:r>
          </w:p>
        </w:tc>
        <w:tc>
          <w:tcPr>
            <w:tcW w:w="1274" w:type="dxa"/>
            <w:noWrap/>
            <w:vAlign w:val="center"/>
            <w:hideMark/>
          </w:tcPr>
          <w:p w14:paraId="63565490" w14:textId="0A7963C8"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2</w:t>
            </w:r>
          </w:p>
        </w:tc>
        <w:tc>
          <w:tcPr>
            <w:tcW w:w="1275" w:type="dxa"/>
            <w:noWrap/>
            <w:vAlign w:val="center"/>
            <w:hideMark/>
          </w:tcPr>
          <w:p w14:paraId="01F6FB12" w14:textId="02946BA2"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4</w:t>
            </w:r>
          </w:p>
        </w:tc>
        <w:tc>
          <w:tcPr>
            <w:tcW w:w="1275" w:type="dxa"/>
            <w:noWrap/>
            <w:vAlign w:val="center"/>
            <w:hideMark/>
          </w:tcPr>
          <w:p w14:paraId="7B0AA472" w14:textId="62004AA3"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3</w:t>
            </w:r>
          </w:p>
        </w:tc>
        <w:tc>
          <w:tcPr>
            <w:tcW w:w="1275" w:type="dxa"/>
            <w:noWrap/>
            <w:vAlign w:val="center"/>
            <w:hideMark/>
          </w:tcPr>
          <w:p w14:paraId="6253B17C" w14:textId="635DFD73"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4</w:t>
            </w:r>
          </w:p>
        </w:tc>
      </w:tr>
      <w:tr w:rsidR="005E2D0A" w:rsidRPr="005E2D0A" w14:paraId="3789F5DE" w14:textId="77777777" w:rsidTr="00B54BA3">
        <w:trPr>
          <w:trHeight w:val="377"/>
        </w:trPr>
        <w:tc>
          <w:tcPr>
            <w:tcW w:w="3397" w:type="dxa"/>
            <w:noWrap/>
            <w:hideMark/>
          </w:tcPr>
          <w:p w14:paraId="2EF7269E" w14:textId="77777777" w:rsidR="007F5D21" w:rsidRPr="005E2D0A" w:rsidRDefault="007F5D21" w:rsidP="00B54BA3">
            <w:pPr>
              <w:spacing w:before="0" w:after="0" w:line="240" w:lineRule="auto"/>
              <w:contextualSpacing w:val="0"/>
              <w:mirrorIndents w:val="0"/>
              <w:jc w:val="right"/>
              <w:rPr>
                <w:rFonts w:asciiTheme="majorHAnsi" w:eastAsia="Times New Roman" w:hAnsiTheme="majorHAnsi" w:cstheme="majorHAnsi"/>
                <w:sz w:val="20"/>
                <w:szCs w:val="20"/>
              </w:rPr>
            </w:pPr>
            <w:r w:rsidRPr="005E2D0A">
              <w:rPr>
                <w:rFonts w:asciiTheme="majorHAnsi" w:eastAsia="Times New Roman" w:hAnsiTheme="majorHAnsi" w:cstheme="majorHAnsi"/>
                <w:sz w:val="20"/>
                <w:szCs w:val="20"/>
              </w:rPr>
              <w:t>Buying Premium Bonds</w:t>
            </w:r>
          </w:p>
        </w:tc>
        <w:tc>
          <w:tcPr>
            <w:tcW w:w="1274" w:type="dxa"/>
            <w:noWrap/>
            <w:vAlign w:val="center"/>
            <w:hideMark/>
          </w:tcPr>
          <w:p w14:paraId="5A91474D" w14:textId="18ECD7C1"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1</w:t>
            </w:r>
          </w:p>
        </w:tc>
        <w:tc>
          <w:tcPr>
            <w:tcW w:w="1275" w:type="dxa"/>
            <w:noWrap/>
            <w:vAlign w:val="center"/>
            <w:hideMark/>
          </w:tcPr>
          <w:p w14:paraId="12692EE4" w14:textId="7C1BE991"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1</w:t>
            </w:r>
          </w:p>
        </w:tc>
        <w:tc>
          <w:tcPr>
            <w:tcW w:w="1275" w:type="dxa"/>
            <w:noWrap/>
            <w:vAlign w:val="center"/>
            <w:hideMark/>
          </w:tcPr>
          <w:p w14:paraId="6838931A" w14:textId="035CA0CC"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2</w:t>
            </w:r>
          </w:p>
        </w:tc>
        <w:tc>
          <w:tcPr>
            <w:tcW w:w="1275" w:type="dxa"/>
            <w:noWrap/>
            <w:vAlign w:val="center"/>
            <w:hideMark/>
          </w:tcPr>
          <w:p w14:paraId="5D704813" w14:textId="4983393A" w:rsidR="007F5D21" w:rsidRPr="005E2D0A" w:rsidRDefault="007F5D21" w:rsidP="00B56246">
            <w:pPr>
              <w:spacing w:before="0" w:after="0" w:line="240" w:lineRule="auto"/>
              <w:contextualSpacing w:val="0"/>
              <w:mirrorIndents w:val="0"/>
              <w:jc w:val="center"/>
              <w:rPr>
                <w:rFonts w:asciiTheme="majorHAnsi" w:eastAsia="Times New Roman" w:hAnsiTheme="majorHAnsi" w:cstheme="majorHAnsi"/>
                <w:sz w:val="20"/>
                <w:szCs w:val="20"/>
              </w:rPr>
            </w:pPr>
            <w:r w:rsidRPr="005E2D0A">
              <w:rPr>
                <w:rFonts w:asciiTheme="majorHAnsi" w:hAnsiTheme="majorHAnsi" w:cstheme="majorHAnsi"/>
                <w:sz w:val="20"/>
                <w:szCs w:val="20"/>
              </w:rPr>
              <w:t>2</w:t>
            </w:r>
          </w:p>
        </w:tc>
      </w:tr>
    </w:tbl>
    <w:p w14:paraId="72AF3362" w14:textId="20B7E1B6" w:rsidR="007F5D21" w:rsidRPr="005E2D0A" w:rsidRDefault="004113B2" w:rsidP="004113B2">
      <w:pPr>
        <w:pStyle w:val="Caption"/>
        <w:rPr>
          <w:rFonts w:eastAsiaTheme="majorEastAsia" w:cstheme="majorBidi"/>
          <w:i w:val="0"/>
          <w:color w:val="auto"/>
          <w:sz w:val="24"/>
          <w:szCs w:val="22"/>
        </w:rPr>
      </w:pPr>
      <w:r w:rsidRPr="005E2D0A">
        <w:rPr>
          <w:rFonts w:eastAsiaTheme="majorEastAsia" w:cstheme="majorBidi"/>
          <w:i w:val="0"/>
          <w:color w:val="auto"/>
          <w:sz w:val="24"/>
          <w:szCs w:val="22"/>
        </w:rPr>
        <w:t xml:space="preserve">Table </w:t>
      </w:r>
      <w:r w:rsidR="005E2D0A" w:rsidRPr="005E2D0A">
        <w:rPr>
          <w:rFonts w:eastAsiaTheme="majorEastAsia" w:cstheme="majorBidi"/>
          <w:i w:val="0"/>
          <w:color w:val="auto"/>
          <w:sz w:val="24"/>
          <w:szCs w:val="22"/>
        </w:rPr>
        <w:t>S</w:t>
      </w:r>
      <w:r w:rsidRPr="005E2D0A">
        <w:rPr>
          <w:rFonts w:eastAsiaTheme="majorEastAsia" w:cstheme="majorBidi"/>
          <w:i w:val="0"/>
          <w:color w:val="auto"/>
          <w:sz w:val="24"/>
          <w:szCs w:val="22"/>
        </w:rPr>
        <w:fldChar w:fldCharType="begin"/>
      </w:r>
      <w:r w:rsidRPr="005E2D0A">
        <w:rPr>
          <w:rFonts w:eastAsiaTheme="majorEastAsia" w:cstheme="majorBidi"/>
          <w:i w:val="0"/>
          <w:color w:val="auto"/>
          <w:sz w:val="24"/>
          <w:szCs w:val="22"/>
        </w:rPr>
        <w:instrText xml:space="preserve"> SEQ Table_A \* ARABIC </w:instrText>
      </w:r>
      <w:r w:rsidRPr="005E2D0A">
        <w:rPr>
          <w:rFonts w:eastAsiaTheme="majorEastAsia" w:cstheme="majorBidi"/>
          <w:i w:val="0"/>
          <w:color w:val="auto"/>
          <w:sz w:val="24"/>
          <w:szCs w:val="22"/>
        </w:rPr>
        <w:fldChar w:fldCharType="separate"/>
      </w:r>
      <w:r w:rsidRPr="005E2D0A">
        <w:rPr>
          <w:rFonts w:eastAsiaTheme="majorEastAsia" w:cstheme="majorBidi"/>
          <w:i w:val="0"/>
          <w:noProof/>
          <w:color w:val="auto"/>
          <w:sz w:val="24"/>
          <w:szCs w:val="22"/>
        </w:rPr>
        <w:t>1</w:t>
      </w:r>
      <w:r w:rsidRPr="005E2D0A">
        <w:rPr>
          <w:rFonts w:eastAsiaTheme="majorEastAsia" w:cstheme="majorBidi"/>
          <w:i w:val="0"/>
          <w:color w:val="auto"/>
          <w:sz w:val="24"/>
          <w:szCs w:val="22"/>
        </w:rPr>
        <w:fldChar w:fldCharType="end"/>
      </w:r>
      <w:r w:rsidRPr="005E2D0A">
        <w:rPr>
          <w:rFonts w:eastAsiaTheme="majorEastAsia" w:cstheme="majorBidi"/>
          <w:i w:val="0"/>
          <w:color w:val="auto"/>
          <w:sz w:val="24"/>
          <w:szCs w:val="22"/>
        </w:rPr>
        <w:t>.</w:t>
      </w:r>
      <w:r w:rsidR="005E2D0A" w:rsidRPr="005E2D0A">
        <w:rPr>
          <w:rFonts w:eastAsiaTheme="majorEastAsia" w:cstheme="majorBidi"/>
          <w:i w:val="0"/>
          <w:color w:val="auto"/>
          <w:sz w:val="24"/>
          <w:szCs w:val="22"/>
        </w:rPr>
        <w:t xml:space="preserve"> </w:t>
      </w:r>
      <w:r w:rsidR="007F5D21" w:rsidRPr="005E2D0A">
        <w:rPr>
          <w:rFonts w:eastAsiaTheme="majorEastAsia" w:cstheme="majorBidi"/>
          <w:i w:val="0"/>
          <w:color w:val="auto"/>
          <w:sz w:val="24"/>
          <w:szCs w:val="22"/>
        </w:rPr>
        <w:t>Perceptions of the safest and the best-value options for retirement saving by age group</w:t>
      </w:r>
      <w:r w:rsidR="00B54BA3" w:rsidRPr="005E2D0A">
        <w:rPr>
          <w:rFonts w:eastAsiaTheme="majorEastAsia" w:cstheme="majorBidi"/>
          <w:i w:val="0"/>
          <w:color w:val="auto"/>
          <w:sz w:val="24"/>
          <w:szCs w:val="22"/>
        </w:rPr>
        <w:t xml:space="preserve">, in percentage </w:t>
      </w:r>
      <w:r w:rsidR="007F5D21" w:rsidRPr="005E2D0A">
        <w:rPr>
          <w:rFonts w:eastAsiaTheme="majorEastAsia" w:cstheme="majorBidi"/>
          <w:i w:val="0"/>
          <w:color w:val="auto"/>
          <w:sz w:val="24"/>
          <w:szCs w:val="22"/>
        </w:rPr>
        <w:t>(2012/14)</w:t>
      </w:r>
    </w:p>
    <w:p w14:paraId="4ECA9958" w14:textId="0003AA15" w:rsidR="00B56246" w:rsidRPr="005E2D0A" w:rsidRDefault="00B56246" w:rsidP="00B56246">
      <w:pPr>
        <w:pStyle w:val="NoSpacing"/>
        <w:rPr>
          <w:rStyle w:val="SubtleEmphasis"/>
          <w:color w:val="auto"/>
        </w:rPr>
      </w:pPr>
      <w:r w:rsidRPr="005E2D0A">
        <w:rPr>
          <w:rStyle w:val="SubtleEmphasis"/>
          <w:color w:val="auto"/>
        </w:rPr>
        <w:t xml:space="preserve">Note: Author’s own calculation based on the </w:t>
      </w:r>
      <w:r w:rsidR="00B3760E" w:rsidRPr="005E2D0A">
        <w:rPr>
          <w:rStyle w:val="SubtleEmphasis"/>
          <w:color w:val="auto"/>
        </w:rPr>
        <w:t xml:space="preserve">respondents </w:t>
      </w:r>
      <w:r w:rsidR="00590FCC" w:rsidRPr="005E2D0A">
        <w:rPr>
          <w:rStyle w:val="SubtleEmphasis"/>
          <w:color w:val="auto"/>
        </w:rPr>
        <w:t>a</w:t>
      </w:r>
      <w:r w:rsidR="00B3760E" w:rsidRPr="005E2D0A">
        <w:rPr>
          <w:rStyle w:val="SubtleEmphasis"/>
          <w:color w:val="auto"/>
        </w:rPr>
        <w:t xml:space="preserve">ged between 30 and 49 </w:t>
      </w:r>
      <w:r w:rsidR="00151EA9" w:rsidRPr="005E2D0A">
        <w:rPr>
          <w:rStyle w:val="SubtleEmphasis"/>
          <w:color w:val="auto"/>
        </w:rPr>
        <w:t>(</w:t>
      </w:r>
      <w:r w:rsidR="002B0177" w:rsidRPr="005E2D0A">
        <w:rPr>
          <w:rStyle w:val="SubtleEmphasis"/>
          <w:color w:val="auto"/>
        </w:rPr>
        <w:t>corresponding to the general population in Table 1</w:t>
      </w:r>
      <w:r w:rsidR="00151EA9" w:rsidRPr="005E2D0A">
        <w:rPr>
          <w:rStyle w:val="SubtleEmphasis"/>
          <w:color w:val="auto"/>
        </w:rPr>
        <w:t>, excluding missing response &lt; 5%)</w:t>
      </w:r>
      <w:r w:rsidRPr="005E2D0A">
        <w:rPr>
          <w:rStyle w:val="SubtleEmphasis"/>
          <w:color w:val="auto"/>
        </w:rPr>
        <w:t>. All proportions are cross-sectionally weighted.</w:t>
      </w:r>
    </w:p>
    <w:p w14:paraId="36A76496" w14:textId="77777777" w:rsidR="00B56246" w:rsidRPr="005E2D0A" w:rsidRDefault="00B56246" w:rsidP="00B56246"/>
    <w:p w14:paraId="1584B111" w14:textId="77777777" w:rsidR="008C7E88" w:rsidRPr="005E2D0A" w:rsidRDefault="008C7E88" w:rsidP="00B56246"/>
    <w:p w14:paraId="1DA9570F" w14:textId="77777777" w:rsidR="008C7E88" w:rsidRPr="005E2D0A" w:rsidRDefault="008C7E88" w:rsidP="00B56246"/>
    <w:p w14:paraId="6121DE9A" w14:textId="77777777" w:rsidR="008C7E88" w:rsidRPr="005E2D0A" w:rsidRDefault="008C7E88" w:rsidP="00B56246"/>
    <w:p w14:paraId="361C5293" w14:textId="77777777" w:rsidR="008C7E88" w:rsidRPr="005E2D0A" w:rsidRDefault="008C7E88" w:rsidP="00B56246"/>
    <w:p w14:paraId="72D36AB7" w14:textId="77777777" w:rsidR="005252F7" w:rsidRPr="005E2D0A" w:rsidRDefault="005252F7" w:rsidP="00AF7594">
      <w:pPr>
        <w:pStyle w:val="NoSpacing"/>
      </w:pPr>
    </w:p>
    <w:p w14:paraId="486FABBD" w14:textId="77777777" w:rsidR="005252F7" w:rsidRPr="005E2D0A" w:rsidRDefault="005252F7" w:rsidP="00AF7594">
      <w:pPr>
        <w:pStyle w:val="NoSpacing"/>
      </w:pPr>
    </w:p>
    <w:p w14:paraId="7DDC4466" w14:textId="77777777" w:rsidR="005252F7" w:rsidRPr="005E2D0A" w:rsidRDefault="005252F7" w:rsidP="00AF7594">
      <w:pPr>
        <w:pStyle w:val="NoSpacing"/>
      </w:pPr>
    </w:p>
    <w:p w14:paraId="51EE6F05" w14:textId="77777777" w:rsidR="005252F7" w:rsidRPr="005E2D0A" w:rsidRDefault="005252F7" w:rsidP="00AF7594">
      <w:pPr>
        <w:pStyle w:val="NoSpacing"/>
      </w:pPr>
    </w:p>
    <w:p w14:paraId="1F42AE3C" w14:textId="5C22EF4A" w:rsidR="005252F7" w:rsidRPr="005E2D0A" w:rsidRDefault="005252F7" w:rsidP="00AF7594">
      <w:pPr>
        <w:pStyle w:val="NoSpacing"/>
      </w:pPr>
    </w:p>
    <w:p w14:paraId="4342CC44" w14:textId="74A31322" w:rsidR="005252F7" w:rsidRPr="005E2D0A" w:rsidRDefault="005252F7" w:rsidP="00AF7594">
      <w:pPr>
        <w:pStyle w:val="NoSpacing"/>
      </w:pPr>
    </w:p>
    <w:p w14:paraId="2F21F5AA" w14:textId="44DA4D67" w:rsidR="005252F7" w:rsidRPr="005E2D0A" w:rsidRDefault="005252F7" w:rsidP="00AF7594">
      <w:pPr>
        <w:pStyle w:val="NoSpacing"/>
      </w:pPr>
    </w:p>
    <w:p w14:paraId="05D84FAC" w14:textId="5675387F" w:rsidR="005252F7" w:rsidRPr="005E2D0A" w:rsidRDefault="005252F7" w:rsidP="00AF7594">
      <w:pPr>
        <w:pStyle w:val="NoSpacing"/>
      </w:pPr>
    </w:p>
    <w:p w14:paraId="6A05571F" w14:textId="69EC2B2F" w:rsidR="005252F7" w:rsidRPr="005E2D0A" w:rsidRDefault="005252F7" w:rsidP="00AF7594">
      <w:pPr>
        <w:pStyle w:val="NoSpacing"/>
      </w:pPr>
    </w:p>
    <w:p w14:paraId="24418BA2" w14:textId="01968C5D" w:rsidR="005252F7" w:rsidRPr="005E2D0A" w:rsidRDefault="005252F7" w:rsidP="00AF7594">
      <w:pPr>
        <w:pStyle w:val="NoSpacing"/>
      </w:pPr>
    </w:p>
    <w:p w14:paraId="07937C58" w14:textId="4015E40F" w:rsidR="005252F7" w:rsidRPr="005E2D0A" w:rsidRDefault="005252F7" w:rsidP="00AF7594">
      <w:pPr>
        <w:pStyle w:val="NoSpacing"/>
      </w:pPr>
    </w:p>
    <w:p w14:paraId="3A119ACE" w14:textId="51947792" w:rsidR="005252F7" w:rsidRPr="005E2D0A" w:rsidRDefault="005252F7" w:rsidP="005252F7">
      <w:pPr>
        <w:pStyle w:val="Heading2"/>
      </w:pPr>
      <w:r w:rsidRPr="005E2D0A">
        <w:t xml:space="preserve">Comparison between </w:t>
      </w:r>
      <w:r w:rsidR="004113B2" w:rsidRPr="005E2D0A">
        <w:t xml:space="preserve">general </w:t>
      </w:r>
      <w:r w:rsidRPr="005E2D0A">
        <w:t xml:space="preserve">savers and retirement savers </w:t>
      </w:r>
    </w:p>
    <w:tbl>
      <w:tblPr>
        <w:tblStyle w:val="TableGridLight"/>
        <w:tblW w:w="4724" w:type="pct"/>
        <w:tblCellMar>
          <w:top w:w="28" w:type="dxa"/>
          <w:bottom w:w="28" w:type="dxa"/>
        </w:tblCellMar>
        <w:tblLook w:val="04A0" w:firstRow="1" w:lastRow="0" w:firstColumn="1" w:lastColumn="0" w:noHBand="0" w:noVBand="1"/>
      </w:tblPr>
      <w:tblGrid>
        <w:gridCol w:w="2831"/>
        <w:gridCol w:w="2554"/>
        <w:gridCol w:w="1566"/>
        <w:gridCol w:w="1567"/>
      </w:tblGrid>
      <w:tr w:rsidR="005E2D0A" w:rsidRPr="005E2D0A" w14:paraId="68AA23A1" w14:textId="77777777" w:rsidTr="008E7095">
        <w:trPr>
          <w:trHeight w:val="339"/>
        </w:trPr>
        <w:tc>
          <w:tcPr>
            <w:tcW w:w="1662" w:type="pct"/>
            <w:vAlign w:val="center"/>
          </w:tcPr>
          <w:p w14:paraId="32B1896C" w14:textId="77777777" w:rsidR="00C550A1" w:rsidRPr="005E2D0A" w:rsidRDefault="00C550A1" w:rsidP="008E7095">
            <w:pPr>
              <w:pStyle w:val="NoSpacing"/>
              <w:jc w:val="center"/>
              <w:rPr>
                <w:rFonts w:asciiTheme="majorHAnsi" w:hAnsiTheme="majorHAnsi" w:cstheme="majorHAnsi"/>
                <w:szCs w:val="20"/>
              </w:rPr>
            </w:pPr>
          </w:p>
        </w:tc>
        <w:tc>
          <w:tcPr>
            <w:tcW w:w="1499" w:type="pct"/>
            <w:vAlign w:val="center"/>
          </w:tcPr>
          <w:p w14:paraId="5FF1B9FE" w14:textId="77777777" w:rsidR="00C550A1" w:rsidRPr="005E2D0A" w:rsidRDefault="00C550A1" w:rsidP="008E7095">
            <w:pPr>
              <w:pStyle w:val="NoSpacing"/>
              <w:jc w:val="center"/>
              <w:rPr>
                <w:rFonts w:asciiTheme="majorHAnsi" w:hAnsiTheme="majorHAnsi" w:cstheme="majorHAnsi"/>
                <w:szCs w:val="20"/>
              </w:rPr>
            </w:pPr>
          </w:p>
        </w:tc>
        <w:tc>
          <w:tcPr>
            <w:tcW w:w="919" w:type="pct"/>
            <w:vAlign w:val="center"/>
          </w:tcPr>
          <w:p w14:paraId="5779233B" w14:textId="77777777" w:rsidR="00C550A1" w:rsidRPr="005E2D0A" w:rsidRDefault="00C550A1" w:rsidP="008E7095">
            <w:pPr>
              <w:pStyle w:val="NoSpacing"/>
              <w:jc w:val="center"/>
              <w:rPr>
                <w:rFonts w:asciiTheme="majorHAnsi" w:hAnsiTheme="majorHAnsi" w:cstheme="majorHAnsi"/>
                <w:b/>
                <w:szCs w:val="20"/>
              </w:rPr>
            </w:pPr>
            <w:r w:rsidRPr="005E2D0A">
              <w:rPr>
                <w:rFonts w:asciiTheme="majorHAnsi" w:hAnsiTheme="majorHAnsi" w:cstheme="majorHAnsi"/>
                <w:b/>
                <w:szCs w:val="20"/>
              </w:rPr>
              <w:t>Proportion of savers</w:t>
            </w:r>
          </w:p>
        </w:tc>
        <w:tc>
          <w:tcPr>
            <w:tcW w:w="920" w:type="pct"/>
            <w:vAlign w:val="center"/>
          </w:tcPr>
          <w:p w14:paraId="5D498618" w14:textId="77777777" w:rsidR="00C550A1" w:rsidRPr="005E2D0A" w:rsidRDefault="00C550A1" w:rsidP="008E7095">
            <w:pPr>
              <w:pStyle w:val="NoSpacing"/>
              <w:jc w:val="center"/>
              <w:rPr>
                <w:rFonts w:asciiTheme="majorHAnsi" w:hAnsiTheme="majorHAnsi" w:cstheme="majorHAnsi"/>
                <w:b/>
                <w:szCs w:val="20"/>
              </w:rPr>
            </w:pPr>
            <w:r w:rsidRPr="005E2D0A">
              <w:rPr>
                <w:rFonts w:asciiTheme="majorHAnsi" w:hAnsiTheme="majorHAnsi" w:cstheme="majorHAnsi"/>
                <w:b/>
                <w:szCs w:val="20"/>
              </w:rPr>
              <w:t>Proportion of retirement savers</w:t>
            </w:r>
          </w:p>
        </w:tc>
      </w:tr>
      <w:tr w:rsidR="005E2D0A" w:rsidRPr="005E2D0A" w14:paraId="3B57D48E" w14:textId="77777777" w:rsidTr="008E7095">
        <w:trPr>
          <w:trHeight w:val="183"/>
        </w:trPr>
        <w:tc>
          <w:tcPr>
            <w:tcW w:w="1662" w:type="pct"/>
            <w:vMerge w:val="restart"/>
            <w:vAlign w:val="center"/>
            <w:hideMark/>
          </w:tcPr>
          <w:p w14:paraId="6225BA51" w14:textId="77777777" w:rsidR="00C550A1" w:rsidRPr="005E2D0A" w:rsidRDefault="00C550A1" w:rsidP="008E7095">
            <w:pPr>
              <w:pStyle w:val="NoSpacing"/>
              <w:jc w:val="center"/>
              <w:rPr>
                <w:rFonts w:asciiTheme="majorHAnsi" w:hAnsiTheme="majorHAnsi" w:cstheme="majorHAnsi"/>
                <w:b/>
                <w:szCs w:val="20"/>
              </w:rPr>
            </w:pPr>
            <w:r w:rsidRPr="005E2D0A">
              <w:rPr>
                <w:rFonts w:asciiTheme="majorHAnsi" w:hAnsiTheme="majorHAnsi" w:cstheme="majorHAnsi"/>
                <w:b/>
                <w:szCs w:val="20"/>
              </w:rPr>
              <w:t>Age group (2012/14)</w:t>
            </w:r>
          </w:p>
        </w:tc>
        <w:tc>
          <w:tcPr>
            <w:tcW w:w="1499" w:type="pct"/>
            <w:vAlign w:val="center"/>
          </w:tcPr>
          <w:p w14:paraId="5C69A5AB" w14:textId="68DC0F78"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Aged 30-3</w:t>
            </w:r>
            <w:r w:rsidR="006F39BA" w:rsidRPr="005E2D0A">
              <w:rPr>
                <w:rFonts w:asciiTheme="majorHAnsi" w:hAnsiTheme="majorHAnsi" w:cstheme="majorHAnsi"/>
                <w:szCs w:val="20"/>
              </w:rPr>
              <w:t>9</w:t>
            </w:r>
          </w:p>
        </w:tc>
        <w:tc>
          <w:tcPr>
            <w:tcW w:w="919" w:type="pct"/>
            <w:vAlign w:val="center"/>
          </w:tcPr>
          <w:p w14:paraId="5C056EB5" w14:textId="613A98FB"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58.</w:t>
            </w:r>
            <w:r w:rsidR="00502B3D" w:rsidRPr="005E2D0A">
              <w:rPr>
                <w:rFonts w:asciiTheme="majorHAnsi" w:hAnsiTheme="majorHAnsi" w:cstheme="majorHAnsi"/>
                <w:szCs w:val="20"/>
              </w:rPr>
              <w:t>1</w:t>
            </w:r>
            <w:r w:rsidRPr="005E2D0A">
              <w:rPr>
                <w:rFonts w:asciiTheme="majorHAnsi" w:hAnsiTheme="majorHAnsi" w:cstheme="majorHAnsi"/>
                <w:szCs w:val="20"/>
              </w:rPr>
              <w:t>%</w:t>
            </w:r>
          </w:p>
        </w:tc>
        <w:tc>
          <w:tcPr>
            <w:tcW w:w="920" w:type="pct"/>
            <w:vAlign w:val="center"/>
          </w:tcPr>
          <w:p w14:paraId="5774EA92" w14:textId="674A74E0" w:rsidR="00C550A1" w:rsidRPr="005E2D0A" w:rsidRDefault="00D90005" w:rsidP="008E7095">
            <w:pPr>
              <w:pStyle w:val="NoSpacing"/>
              <w:jc w:val="center"/>
              <w:rPr>
                <w:rFonts w:asciiTheme="majorHAnsi" w:hAnsiTheme="majorHAnsi" w:cstheme="majorHAnsi"/>
                <w:szCs w:val="20"/>
              </w:rPr>
            </w:pPr>
            <w:r w:rsidRPr="005E2D0A">
              <w:rPr>
                <w:rFonts w:asciiTheme="majorHAnsi" w:hAnsiTheme="majorHAnsi" w:cstheme="majorHAnsi"/>
                <w:szCs w:val="20"/>
              </w:rPr>
              <w:t>7.0</w:t>
            </w:r>
            <w:r w:rsidR="00C550A1" w:rsidRPr="005E2D0A">
              <w:rPr>
                <w:rFonts w:asciiTheme="majorHAnsi" w:hAnsiTheme="majorHAnsi" w:cstheme="majorHAnsi"/>
                <w:szCs w:val="20"/>
              </w:rPr>
              <w:t>%</w:t>
            </w:r>
          </w:p>
        </w:tc>
      </w:tr>
      <w:tr w:rsidR="005E2D0A" w:rsidRPr="005E2D0A" w14:paraId="1C73A3BE" w14:textId="77777777" w:rsidTr="008E7095">
        <w:trPr>
          <w:trHeight w:val="183"/>
        </w:trPr>
        <w:tc>
          <w:tcPr>
            <w:tcW w:w="1662" w:type="pct"/>
            <w:vMerge/>
            <w:vAlign w:val="center"/>
            <w:hideMark/>
          </w:tcPr>
          <w:p w14:paraId="33822C8B" w14:textId="77777777" w:rsidR="00C550A1" w:rsidRPr="005E2D0A" w:rsidRDefault="00C550A1" w:rsidP="008E7095">
            <w:pPr>
              <w:pStyle w:val="NoSpacing"/>
              <w:jc w:val="center"/>
              <w:rPr>
                <w:rFonts w:asciiTheme="majorHAnsi" w:hAnsiTheme="majorHAnsi" w:cstheme="majorHAnsi"/>
                <w:b/>
                <w:szCs w:val="20"/>
              </w:rPr>
            </w:pPr>
          </w:p>
        </w:tc>
        <w:tc>
          <w:tcPr>
            <w:tcW w:w="1499" w:type="pct"/>
            <w:vAlign w:val="center"/>
          </w:tcPr>
          <w:p w14:paraId="23F3ABFC"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Aged 40-49</w:t>
            </w:r>
          </w:p>
        </w:tc>
        <w:tc>
          <w:tcPr>
            <w:tcW w:w="919" w:type="pct"/>
            <w:vAlign w:val="center"/>
          </w:tcPr>
          <w:p w14:paraId="5619B411" w14:textId="7E14EA84"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55.</w:t>
            </w:r>
            <w:r w:rsidR="00502B3D" w:rsidRPr="005E2D0A">
              <w:rPr>
                <w:rFonts w:asciiTheme="majorHAnsi" w:hAnsiTheme="majorHAnsi" w:cstheme="majorHAnsi"/>
                <w:szCs w:val="20"/>
              </w:rPr>
              <w:t>1</w:t>
            </w:r>
            <w:r w:rsidRPr="005E2D0A">
              <w:rPr>
                <w:rFonts w:asciiTheme="majorHAnsi" w:hAnsiTheme="majorHAnsi" w:cstheme="majorHAnsi"/>
                <w:szCs w:val="20"/>
              </w:rPr>
              <w:t>%</w:t>
            </w:r>
          </w:p>
        </w:tc>
        <w:tc>
          <w:tcPr>
            <w:tcW w:w="920" w:type="pct"/>
            <w:vAlign w:val="center"/>
          </w:tcPr>
          <w:p w14:paraId="331DE1FE" w14:textId="00ACEBF4"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9.</w:t>
            </w:r>
            <w:r w:rsidR="00D90005" w:rsidRPr="005E2D0A">
              <w:rPr>
                <w:rFonts w:asciiTheme="majorHAnsi" w:hAnsiTheme="majorHAnsi" w:cstheme="majorHAnsi"/>
                <w:szCs w:val="20"/>
              </w:rPr>
              <w:t>6</w:t>
            </w:r>
            <w:r w:rsidRPr="005E2D0A">
              <w:rPr>
                <w:rFonts w:asciiTheme="majorHAnsi" w:hAnsiTheme="majorHAnsi" w:cstheme="majorHAnsi"/>
                <w:szCs w:val="20"/>
              </w:rPr>
              <w:t>%</w:t>
            </w:r>
          </w:p>
        </w:tc>
      </w:tr>
      <w:tr w:rsidR="005E2D0A" w:rsidRPr="005E2D0A" w14:paraId="5BE613EF" w14:textId="77777777" w:rsidTr="008E7095">
        <w:trPr>
          <w:trHeight w:val="183"/>
        </w:trPr>
        <w:tc>
          <w:tcPr>
            <w:tcW w:w="1662" w:type="pct"/>
            <w:vMerge w:val="restart"/>
            <w:vAlign w:val="center"/>
            <w:hideMark/>
          </w:tcPr>
          <w:p w14:paraId="1B5D7B07" w14:textId="77777777" w:rsidR="00C550A1" w:rsidRPr="005E2D0A" w:rsidRDefault="00C550A1" w:rsidP="008E7095">
            <w:pPr>
              <w:pStyle w:val="NoSpacing"/>
              <w:jc w:val="center"/>
              <w:rPr>
                <w:rFonts w:asciiTheme="majorHAnsi" w:hAnsiTheme="majorHAnsi" w:cstheme="majorHAnsi"/>
                <w:b/>
                <w:szCs w:val="20"/>
              </w:rPr>
            </w:pPr>
            <w:r w:rsidRPr="005E2D0A">
              <w:rPr>
                <w:rFonts w:asciiTheme="majorHAnsi" w:hAnsiTheme="majorHAnsi" w:cstheme="majorHAnsi"/>
                <w:b/>
                <w:szCs w:val="20"/>
              </w:rPr>
              <w:t>Gender</w:t>
            </w:r>
          </w:p>
        </w:tc>
        <w:tc>
          <w:tcPr>
            <w:tcW w:w="1499" w:type="pct"/>
            <w:vAlign w:val="center"/>
          </w:tcPr>
          <w:p w14:paraId="6C458E90"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Males</w:t>
            </w:r>
          </w:p>
        </w:tc>
        <w:tc>
          <w:tcPr>
            <w:tcW w:w="919" w:type="pct"/>
            <w:vAlign w:val="center"/>
          </w:tcPr>
          <w:p w14:paraId="437B0E0B" w14:textId="599CA97C"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57.</w:t>
            </w:r>
            <w:r w:rsidR="00502B3D" w:rsidRPr="005E2D0A">
              <w:rPr>
                <w:rFonts w:asciiTheme="majorHAnsi" w:hAnsiTheme="majorHAnsi" w:cstheme="majorHAnsi"/>
                <w:szCs w:val="20"/>
              </w:rPr>
              <w:t>8</w:t>
            </w:r>
            <w:r w:rsidRPr="005E2D0A">
              <w:rPr>
                <w:rFonts w:asciiTheme="majorHAnsi" w:hAnsiTheme="majorHAnsi" w:cstheme="majorHAnsi"/>
                <w:szCs w:val="20"/>
              </w:rPr>
              <w:t>%</w:t>
            </w:r>
          </w:p>
        </w:tc>
        <w:tc>
          <w:tcPr>
            <w:tcW w:w="920" w:type="pct"/>
            <w:vAlign w:val="center"/>
          </w:tcPr>
          <w:p w14:paraId="62D68CD8"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9.5%</w:t>
            </w:r>
          </w:p>
        </w:tc>
      </w:tr>
      <w:tr w:rsidR="005E2D0A" w:rsidRPr="005E2D0A" w14:paraId="5AF9779C" w14:textId="77777777" w:rsidTr="008E7095">
        <w:trPr>
          <w:trHeight w:val="183"/>
        </w:trPr>
        <w:tc>
          <w:tcPr>
            <w:tcW w:w="1662" w:type="pct"/>
            <w:vMerge/>
            <w:vAlign w:val="center"/>
            <w:hideMark/>
          </w:tcPr>
          <w:p w14:paraId="24978D05" w14:textId="77777777" w:rsidR="00C550A1" w:rsidRPr="005E2D0A" w:rsidRDefault="00C550A1" w:rsidP="008E7095">
            <w:pPr>
              <w:pStyle w:val="NoSpacing"/>
              <w:jc w:val="center"/>
              <w:rPr>
                <w:rFonts w:asciiTheme="majorHAnsi" w:hAnsiTheme="majorHAnsi" w:cstheme="majorHAnsi"/>
                <w:b/>
                <w:szCs w:val="20"/>
              </w:rPr>
            </w:pPr>
          </w:p>
        </w:tc>
        <w:tc>
          <w:tcPr>
            <w:tcW w:w="1499" w:type="pct"/>
            <w:vAlign w:val="center"/>
          </w:tcPr>
          <w:p w14:paraId="6509C072"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Females</w:t>
            </w:r>
          </w:p>
        </w:tc>
        <w:tc>
          <w:tcPr>
            <w:tcW w:w="919" w:type="pct"/>
            <w:vAlign w:val="center"/>
          </w:tcPr>
          <w:p w14:paraId="4228C821" w14:textId="6B5F8FB9"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55.</w:t>
            </w:r>
            <w:r w:rsidR="00DE164E" w:rsidRPr="005E2D0A">
              <w:rPr>
                <w:rFonts w:asciiTheme="majorHAnsi" w:hAnsiTheme="majorHAnsi" w:cstheme="majorHAnsi"/>
                <w:szCs w:val="20"/>
              </w:rPr>
              <w:t>3</w:t>
            </w:r>
            <w:r w:rsidRPr="005E2D0A">
              <w:rPr>
                <w:rFonts w:asciiTheme="majorHAnsi" w:hAnsiTheme="majorHAnsi" w:cstheme="majorHAnsi"/>
                <w:szCs w:val="20"/>
              </w:rPr>
              <w:t>%</w:t>
            </w:r>
          </w:p>
        </w:tc>
        <w:tc>
          <w:tcPr>
            <w:tcW w:w="920" w:type="pct"/>
            <w:vAlign w:val="center"/>
          </w:tcPr>
          <w:p w14:paraId="3192775A" w14:textId="4FBA8572"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7.</w:t>
            </w:r>
            <w:r w:rsidR="00D90005" w:rsidRPr="005E2D0A">
              <w:rPr>
                <w:rFonts w:asciiTheme="majorHAnsi" w:hAnsiTheme="majorHAnsi" w:cstheme="majorHAnsi"/>
                <w:szCs w:val="20"/>
              </w:rPr>
              <w:t>4</w:t>
            </w:r>
            <w:r w:rsidRPr="005E2D0A">
              <w:rPr>
                <w:rFonts w:asciiTheme="majorHAnsi" w:hAnsiTheme="majorHAnsi" w:cstheme="majorHAnsi"/>
                <w:szCs w:val="20"/>
              </w:rPr>
              <w:t>%</w:t>
            </w:r>
          </w:p>
        </w:tc>
      </w:tr>
      <w:tr w:rsidR="005E2D0A" w:rsidRPr="005E2D0A" w14:paraId="372FDF36" w14:textId="77777777" w:rsidTr="008E7095">
        <w:trPr>
          <w:trHeight w:val="183"/>
        </w:trPr>
        <w:tc>
          <w:tcPr>
            <w:tcW w:w="1662" w:type="pct"/>
            <w:vMerge w:val="restart"/>
            <w:vAlign w:val="center"/>
            <w:hideMark/>
          </w:tcPr>
          <w:p w14:paraId="2F6E7331" w14:textId="77777777" w:rsidR="00C550A1" w:rsidRPr="005E2D0A" w:rsidRDefault="00C550A1" w:rsidP="008E7095">
            <w:pPr>
              <w:pStyle w:val="NoSpacing"/>
              <w:jc w:val="center"/>
              <w:rPr>
                <w:rFonts w:asciiTheme="majorHAnsi" w:hAnsiTheme="majorHAnsi" w:cstheme="majorHAnsi"/>
                <w:b/>
                <w:szCs w:val="20"/>
              </w:rPr>
            </w:pPr>
            <w:r w:rsidRPr="005E2D0A">
              <w:rPr>
                <w:rFonts w:asciiTheme="majorHAnsi" w:hAnsiTheme="majorHAnsi" w:cstheme="majorHAnsi"/>
                <w:b/>
                <w:szCs w:val="20"/>
              </w:rPr>
              <w:t>Marital Status</w:t>
            </w:r>
          </w:p>
        </w:tc>
        <w:tc>
          <w:tcPr>
            <w:tcW w:w="1499" w:type="pct"/>
            <w:vAlign w:val="center"/>
          </w:tcPr>
          <w:p w14:paraId="3B45D845"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Married</w:t>
            </w:r>
          </w:p>
        </w:tc>
        <w:tc>
          <w:tcPr>
            <w:tcW w:w="919" w:type="pct"/>
            <w:vAlign w:val="center"/>
          </w:tcPr>
          <w:p w14:paraId="0186B51F" w14:textId="0F68505C"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58.</w:t>
            </w:r>
            <w:r w:rsidR="00DE164E" w:rsidRPr="005E2D0A">
              <w:rPr>
                <w:rFonts w:asciiTheme="majorHAnsi" w:hAnsiTheme="majorHAnsi" w:cstheme="majorHAnsi"/>
                <w:szCs w:val="20"/>
              </w:rPr>
              <w:t>2</w:t>
            </w:r>
            <w:r w:rsidRPr="005E2D0A">
              <w:rPr>
                <w:rFonts w:asciiTheme="majorHAnsi" w:hAnsiTheme="majorHAnsi" w:cstheme="majorHAnsi"/>
                <w:szCs w:val="20"/>
              </w:rPr>
              <w:t>%</w:t>
            </w:r>
          </w:p>
        </w:tc>
        <w:tc>
          <w:tcPr>
            <w:tcW w:w="920" w:type="pct"/>
            <w:vAlign w:val="center"/>
          </w:tcPr>
          <w:p w14:paraId="27DF28E0" w14:textId="6FAA8A86"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8.</w:t>
            </w:r>
            <w:r w:rsidR="00D90005" w:rsidRPr="005E2D0A">
              <w:rPr>
                <w:rFonts w:asciiTheme="majorHAnsi" w:hAnsiTheme="majorHAnsi" w:cstheme="majorHAnsi"/>
                <w:szCs w:val="20"/>
              </w:rPr>
              <w:t>9</w:t>
            </w:r>
            <w:r w:rsidRPr="005E2D0A">
              <w:rPr>
                <w:rFonts w:asciiTheme="majorHAnsi" w:hAnsiTheme="majorHAnsi" w:cstheme="majorHAnsi"/>
                <w:szCs w:val="20"/>
              </w:rPr>
              <w:t>%</w:t>
            </w:r>
          </w:p>
        </w:tc>
      </w:tr>
      <w:tr w:rsidR="005E2D0A" w:rsidRPr="005E2D0A" w14:paraId="42AE9933" w14:textId="77777777" w:rsidTr="008E7095">
        <w:trPr>
          <w:trHeight w:val="348"/>
        </w:trPr>
        <w:tc>
          <w:tcPr>
            <w:tcW w:w="1662" w:type="pct"/>
            <w:vMerge/>
            <w:vAlign w:val="center"/>
            <w:hideMark/>
          </w:tcPr>
          <w:p w14:paraId="4292E4AF" w14:textId="77777777" w:rsidR="00C550A1" w:rsidRPr="005E2D0A" w:rsidRDefault="00C550A1" w:rsidP="008E7095">
            <w:pPr>
              <w:pStyle w:val="NoSpacing"/>
              <w:jc w:val="center"/>
              <w:rPr>
                <w:rFonts w:asciiTheme="majorHAnsi" w:hAnsiTheme="majorHAnsi" w:cstheme="majorHAnsi"/>
                <w:b/>
                <w:szCs w:val="20"/>
              </w:rPr>
            </w:pPr>
          </w:p>
        </w:tc>
        <w:tc>
          <w:tcPr>
            <w:tcW w:w="1499" w:type="pct"/>
            <w:vAlign w:val="center"/>
          </w:tcPr>
          <w:p w14:paraId="185BE970"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Separated/Divorced</w:t>
            </w:r>
          </w:p>
          <w:p w14:paraId="19173BB1"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/Widowed</w:t>
            </w:r>
          </w:p>
        </w:tc>
        <w:tc>
          <w:tcPr>
            <w:tcW w:w="919" w:type="pct"/>
            <w:vAlign w:val="center"/>
          </w:tcPr>
          <w:p w14:paraId="2B59AC26" w14:textId="31496168"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47.</w:t>
            </w:r>
            <w:r w:rsidR="00DE164E" w:rsidRPr="005E2D0A">
              <w:rPr>
                <w:rFonts w:asciiTheme="majorHAnsi" w:hAnsiTheme="majorHAnsi" w:cstheme="majorHAnsi"/>
                <w:szCs w:val="20"/>
              </w:rPr>
              <w:t>8</w:t>
            </w:r>
            <w:r w:rsidRPr="005E2D0A">
              <w:rPr>
                <w:rFonts w:asciiTheme="majorHAnsi" w:hAnsiTheme="majorHAnsi" w:cstheme="majorHAnsi"/>
                <w:szCs w:val="20"/>
              </w:rPr>
              <w:t>%</w:t>
            </w:r>
          </w:p>
        </w:tc>
        <w:tc>
          <w:tcPr>
            <w:tcW w:w="920" w:type="pct"/>
            <w:vAlign w:val="center"/>
          </w:tcPr>
          <w:p w14:paraId="2A2E0626"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4.5%</w:t>
            </w:r>
          </w:p>
        </w:tc>
      </w:tr>
      <w:tr w:rsidR="005E2D0A" w:rsidRPr="005E2D0A" w14:paraId="07A1D446" w14:textId="77777777" w:rsidTr="008E7095">
        <w:trPr>
          <w:trHeight w:val="348"/>
        </w:trPr>
        <w:tc>
          <w:tcPr>
            <w:tcW w:w="1662" w:type="pct"/>
            <w:vMerge/>
            <w:vAlign w:val="center"/>
            <w:hideMark/>
          </w:tcPr>
          <w:p w14:paraId="3F38189D" w14:textId="77777777" w:rsidR="00C550A1" w:rsidRPr="005E2D0A" w:rsidRDefault="00C550A1" w:rsidP="008E7095">
            <w:pPr>
              <w:pStyle w:val="NoSpacing"/>
              <w:jc w:val="center"/>
              <w:rPr>
                <w:rFonts w:asciiTheme="majorHAnsi" w:hAnsiTheme="majorHAnsi" w:cstheme="majorHAnsi"/>
                <w:b/>
                <w:szCs w:val="20"/>
              </w:rPr>
            </w:pPr>
          </w:p>
        </w:tc>
        <w:tc>
          <w:tcPr>
            <w:tcW w:w="1499" w:type="pct"/>
            <w:vAlign w:val="center"/>
          </w:tcPr>
          <w:p w14:paraId="661505C4"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Single</w:t>
            </w:r>
          </w:p>
        </w:tc>
        <w:tc>
          <w:tcPr>
            <w:tcW w:w="919" w:type="pct"/>
            <w:vAlign w:val="center"/>
          </w:tcPr>
          <w:p w14:paraId="4F8B1C06" w14:textId="44BAB1D8"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5</w:t>
            </w:r>
            <w:r w:rsidR="00DE164E" w:rsidRPr="005E2D0A">
              <w:rPr>
                <w:rFonts w:asciiTheme="majorHAnsi" w:hAnsiTheme="majorHAnsi" w:cstheme="majorHAnsi"/>
                <w:szCs w:val="20"/>
              </w:rPr>
              <w:t>6.4</w:t>
            </w:r>
            <w:r w:rsidRPr="005E2D0A">
              <w:rPr>
                <w:rFonts w:asciiTheme="majorHAnsi" w:hAnsiTheme="majorHAnsi" w:cstheme="majorHAnsi"/>
                <w:szCs w:val="20"/>
              </w:rPr>
              <w:t>%</w:t>
            </w:r>
          </w:p>
        </w:tc>
        <w:tc>
          <w:tcPr>
            <w:tcW w:w="920" w:type="pct"/>
            <w:vAlign w:val="center"/>
          </w:tcPr>
          <w:p w14:paraId="26BEFAA2"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8.9%</w:t>
            </w:r>
          </w:p>
        </w:tc>
      </w:tr>
      <w:tr w:rsidR="005E2D0A" w:rsidRPr="005E2D0A" w14:paraId="6FA382DA" w14:textId="77777777" w:rsidTr="008E7095">
        <w:trPr>
          <w:trHeight w:val="183"/>
        </w:trPr>
        <w:tc>
          <w:tcPr>
            <w:tcW w:w="1662" w:type="pct"/>
            <w:vMerge w:val="restart"/>
            <w:vAlign w:val="center"/>
            <w:hideMark/>
          </w:tcPr>
          <w:p w14:paraId="6659367A" w14:textId="77777777" w:rsidR="00C550A1" w:rsidRPr="005E2D0A" w:rsidRDefault="00C550A1" w:rsidP="008E7095">
            <w:pPr>
              <w:pStyle w:val="NoSpacing"/>
              <w:jc w:val="center"/>
              <w:rPr>
                <w:rFonts w:asciiTheme="majorHAnsi" w:hAnsiTheme="majorHAnsi" w:cstheme="majorHAnsi"/>
                <w:b/>
                <w:szCs w:val="20"/>
              </w:rPr>
            </w:pPr>
            <w:r w:rsidRPr="005E2D0A">
              <w:rPr>
                <w:rFonts w:asciiTheme="majorHAnsi" w:hAnsiTheme="majorHAnsi" w:cstheme="majorHAnsi"/>
                <w:b/>
                <w:szCs w:val="20"/>
              </w:rPr>
              <w:t>Education level</w:t>
            </w:r>
          </w:p>
        </w:tc>
        <w:tc>
          <w:tcPr>
            <w:tcW w:w="1499" w:type="pct"/>
            <w:vAlign w:val="center"/>
          </w:tcPr>
          <w:p w14:paraId="078BD73E"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Degree holders</w:t>
            </w:r>
          </w:p>
        </w:tc>
        <w:tc>
          <w:tcPr>
            <w:tcW w:w="919" w:type="pct"/>
            <w:vAlign w:val="center"/>
          </w:tcPr>
          <w:p w14:paraId="1ACD0EBD"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68.8%</w:t>
            </w:r>
          </w:p>
        </w:tc>
        <w:tc>
          <w:tcPr>
            <w:tcW w:w="920" w:type="pct"/>
            <w:vAlign w:val="center"/>
          </w:tcPr>
          <w:p w14:paraId="47BB1864" w14:textId="6971F3BE"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12.</w:t>
            </w:r>
            <w:r w:rsidR="00D90005" w:rsidRPr="005E2D0A">
              <w:rPr>
                <w:rFonts w:asciiTheme="majorHAnsi" w:hAnsiTheme="majorHAnsi" w:cstheme="majorHAnsi"/>
                <w:szCs w:val="20"/>
              </w:rPr>
              <w:t>3</w:t>
            </w:r>
            <w:r w:rsidRPr="005E2D0A">
              <w:rPr>
                <w:rFonts w:asciiTheme="majorHAnsi" w:hAnsiTheme="majorHAnsi" w:cstheme="majorHAnsi"/>
                <w:szCs w:val="20"/>
              </w:rPr>
              <w:t>%</w:t>
            </w:r>
          </w:p>
        </w:tc>
      </w:tr>
      <w:tr w:rsidR="005E2D0A" w:rsidRPr="005E2D0A" w14:paraId="1DA96A09" w14:textId="77777777" w:rsidTr="008E7095">
        <w:trPr>
          <w:trHeight w:val="348"/>
        </w:trPr>
        <w:tc>
          <w:tcPr>
            <w:tcW w:w="1662" w:type="pct"/>
            <w:vMerge/>
            <w:vAlign w:val="center"/>
            <w:hideMark/>
          </w:tcPr>
          <w:p w14:paraId="6EDFCCD2" w14:textId="77777777" w:rsidR="00C550A1" w:rsidRPr="005E2D0A" w:rsidRDefault="00C550A1" w:rsidP="008E7095">
            <w:pPr>
              <w:pStyle w:val="NoSpacing"/>
              <w:jc w:val="center"/>
              <w:rPr>
                <w:rFonts w:asciiTheme="majorHAnsi" w:hAnsiTheme="majorHAnsi" w:cstheme="majorHAnsi"/>
                <w:b/>
                <w:szCs w:val="20"/>
              </w:rPr>
            </w:pPr>
          </w:p>
        </w:tc>
        <w:tc>
          <w:tcPr>
            <w:tcW w:w="1499" w:type="pct"/>
            <w:vAlign w:val="center"/>
          </w:tcPr>
          <w:p w14:paraId="1AC17639"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Non-degree holders</w:t>
            </w:r>
          </w:p>
        </w:tc>
        <w:tc>
          <w:tcPr>
            <w:tcW w:w="919" w:type="pct"/>
            <w:vAlign w:val="center"/>
          </w:tcPr>
          <w:p w14:paraId="0AE12BC5" w14:textId="69816261"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4</w:t>
            </w:r>
            <w:r w:rsidR="00DE164E" w:rsidRPr="005E2D0A">
              <w:rPr>
                <w:rFonts w:asciiTheme="majorHAnsi" w:hAnsiTheme="majorHAnsi" w:cstheme="majorHAnsi"/>
                <w:szCs w:val="20"/>
              </w:rPr>
              <w:t>9.2</w:t>
            </w:r>
            <w:r w:rsidRPr="005E2D0A">
              <w:rPr>
                <w:rFonts w:asciiTheme="majorHAnsi" w:hAnsiTheme="majorHAnsi" w:cstheme="majorHAnsi"/>
                <w:szCs w:val="20"/>
              </w:rPr>
              <w:t>%</w:t>
            </w:r>
          </w:p>
        </w:tc>
        <w:tc>
          <w:tcPr>
            <w:tcW w:w="920" w:type="pct"/>
            <w:vAlign w:val="center"/>
          </w:tcPr>
          <w:p w14:paraId="7B58EDD8" w14:textId="1197C9A0" w:rsidR="00C550A1" w:rsidRPr="005E2D0A" w:rsidRDefault="00D90005" w:rsidP="008E7095">
            <w:pPr>
              <w:pStyle w:val="NoSpacing"/>
              <w:jc w:val="center"/>
              <w:rPr>
                <w:rFonts w:asciiTheme="majorHAnsi" w:hAnsiTheme="majorHAnsi" w:cstheme="majorHAnsi"/>
                <w:szCs w:val="20"/>
              </w:rPr>
            </w:pPr>
            <w:r w:rsidRPr="005E2D0A">
              <w:rPr>
                <w:rFonts w:asciiTheme="majorHAnsi" w:hAnsiTheme="majorHAnsi" w:cstheme="majorHAnsi"/>
                <w:szCs w:val="20"/>
              </w:rPr>
              <w:t>6.0</w:t>
            </w:r>
            <w:r w:rsidR="00C550A1" w:rsidRPr="005E2D0A">
              <w:rPr>
                <w:rFonts w:asciiTheme="majorHAnsi" w:hAnsiTheme="majorHAnsi" w:cstheme="majorHAnsi"/>
                <w:szCs w:val="20"/>
              </w:rPr>
              <w:t>%</w:t>
            </w:r>
          </w:p>
        </w:tc>
      </w:tr>
      <w:tr w:rsidR="005E2D0A" w:rsidRPr="005E2D0A" w14:paraId="57FA3581" w14:textId="77777777" w:rsidTr="008E7095">
        <w:trPr>
          <w:trHeight w:val="267"/>
        </w:trPr>
        <w:tc>
          <w:tcPr>
            <w:tcW w:w="1662" w:type="pct"/>
            <w:vMerge w:val="restart"/>
            <w:vAlign w:val="center"/>
            <w:hideMark/>
          </w:tcPr>
          <w:p w14:paraId="0755AAC6" w14:textId="77777777" w:rsidR="00C550A1" w:rsidRPr="005E2D0A" w:rsidRDefault="00C550A1" w:rsidP="008E7095">
            <w:pPr>
              <w:pStyle w:val="NoSpacing"/>
              <w:jc w:val="center"/>
              <w:rPr>
                <w:rFonts w:asciiTheme="majorHAnsi" w:hAnsiTheme="majorHAnsi" w:cstheme="majorHAnsi"/>
                <w:b/>
                <w:szCs w:val="20"/>
              </w:rPr>
            </w:pPr>
            <w:r w:rsidRPr="005E2D0A">
              <w:rPr>
                <w:rFonts w:asciiTheme="majorHAnsi" w:hAnsiTheme="majorHAnsi" w:cstheme="majorHAnsi"/>
                <w:b/>
                <w:szCs w:val="20"/>
              </w:rPr>
              <w:t>Household income (Equivalised)</w:t>
            </w:r>
          </w:p>
        </w:tc>
        <w:tc>
          <w:tcPr>
            <w:tcW w:w="1499" w:type="pct"/>
            <w:vAlign w:val="center"/>
          </w:tcPr>
          <w:p w14:paraId="7C8516B0"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Low</w:t>
            </w:r>
          </w:p>
        </w:tc>
        <w:tc>
          <w:tcPr>
            <w:tcW w:w="919" w:type="pct"/>
            <w:vAlign w:val="center"/>
          </w:tcPr>
          <w:p w14:paraId="18C456F3" w14:textId="04253A92"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32.</w:t>
            </w:r>
            <w:r w:rsidR="00DE164E" w:rsidRPr="005E2D0A">
              <w:rPr>
                <w:rFonts w:asciiTheme="majorHAnsi" w:hAnsiTheme="majorHAnsi" w:cstheme="majorHAnsi"/>
                <w:szCs w:val="20"/>
              </w:rPr>
              <w:t>3</w:t>
            </w:r>
            <w:r w:rsidRPr="005E2D0A">
              <w:rPr>
                <w:rFonts w:asciiTheme="majorHAnsi" w:hAnsiTheme="majorHAnsi" w:cstheme="majorHAnsi"/>
                <w:szCs w:val="20"/>
              </w:rPr>
              <w:t>%</w:t>
            </w:r>
          </w:p>
        </w:tc>
        <w:tc>
          <w:tcPr>
            <w:tcW w:w="920" w:type="pct"/>
            <w:vAlign w:val="center"/>
          </w:tcPr>
          <w:p w14:paraId="3F48693E" w14:textId="3EF8D82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2.</w:t>
            </w:r>
            <w:r w:rsidR="00D90005" w:rsidRPr="005E2D0A">
              <w:rPr>
                <w:rFonts w:asciiTheme="majorHAnsi" w:hAnsiTheme="majorHAnsi" w:cstheme="majorHAnsi"/>
                <w:szCs w:val="20"/>
              </w:rPr>
              <w:t>7</w:t>
            </w:r>
            <w:r w:rsidRPr="005E2D0A">
              <w:rPr>
                <w:rFonts w:asciiTheme="majorHAnsi" w:hAnsiTheme="majorHAnsi" w:cstheme="majorHAnsi"/>
                <w:szCs w:val="20"/>
              </w:rPr>
              <w:t>%</w:t>
            </w:r>
          </w:p>
        </w:tc>
      </w:tr>
      <w:tr w:rsidR="005E2D0A" w:rsidRPr="005E2D0A" w14:paraId="264CE9E6" w14:textId="77777777" w:rsidTr="008E7095">
        <w:trPr>
          <w:trHeight w:val="183"/>
        </w:trPr>
        <w:tc>
          <w:tcPr>
            <w:tcW w:w="1662" w:type="pct"/>
            <w:vMerge/>
            <w:vAlign w:val="center"/>
            <w:hideMark/>
          </w:tcPr>
          <w:p w14:paraId="34E388BB" w14:textId="77777777" w:rsidR="00C550A1" w:rsidRPr="005E2D0A" w:rsidRDefault="00C550A1" w:rsidP="008E7095">
            <w:pPr>
              <w:pStyle w:val="NoSpacing"/>
              <w:jc w:val="center"/>
              <w:rPr>
                <w:rFonts w:asciiTheme="majorHAnsi" w:hAnsiTheme="majorHAnsi" w:cstheme="majorHAnsi"/>
                <w:b/>
                <w:szCs w:val="20"/>
              </w:rPr>
            </w:pPr>
          </w:p>
        </w:tc>
        <w:tc>
          <w:tcPr>
            <w:tcW w:w="1499" w:type="pct"/>
            <w:vAlign w:val="center"/>
          </w:tcPr>
          <w:p w14:paraId="180132DF"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Medium</w:t>
            </w:r>
          </w:p>
        </w:tc>
        <w:tc>
          <w:tcPr>
            <w:tcW w:w="919" w:type="pct"/>
            <w:vAlign w:val="center"/>
          </w:tcPr>
          <w:p w14:paraId="01094CB0" w14:textId="691000AD"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5</w:t>
            </w:r>
            <w:r w:rsidR="00DE164E" w:rsidRPr="005E2D0A">
              <w:rPr>
                <w:rFonts w:asciiTheme="majorHAnsi" w:hAnsiTheme="majorHAnsi" w:cstheme="majorHAnsi"/>
                <w:szCs w:val="20"/>
              </w:rPr>
              <w:t>7</w:t>
            </w:r>
            <w:r w:rsidRPr="005E2D0A">
              <w:rPr>
                <w:rFonts w:asciiTheme="majorHAnsi" w:hAnsiTheme="majorHAnsi" w:cstheme="majorHAnsi"/>
                <w:szCs w:val="20"/>
              </w:rPr>
              <w:t>.</w:t>
            </w:r>
            <w:r w:rsidR="00DE164E" w:rsidRPr="005E2D0A">
              <w:rPr>
                <w:rFonts w:asciiTheme="majorHAnsi" w:hAnsiTheme="majorHAnsi" w:cstheme="majorHAnsi"/>
                <w:szCs w:val="20"/>
              </w:rPr>
              <w:t>3</w:t>
            </w:r>
            <w:r w:rsidRPr="005E2D0A">
              <w:rPr>
                <w:rFonts w:asciiTheme="majorHAnsi" w:hAnsiTheme="majorHAnsi" w:cstheme="majorHAnsi"/>
                <w:szCs w:val="20"/>
              </w:rPr>
              <w:t>%</w:t>
            </w:r>
          </w:p>
        </w:tc>
        <w:tc>
          <w:tcPr>
            <w:tcW w:w="920" w:type="pct"/>
            <w:vAlign w:val="center"/>
          </w:tcPr>
          <w:p w14:paraId="5CCFADD7" w14:textId="5444E57E" w:rsidR="00C550A1" w:rsidRPr="005E2D0A" w:rsidRDefault="00D90005" w:rsidP="008E7095">
            <w:pPr>
              <w:pStyle w:val="NoSpacing"/>
              <w:jc w:val="center"/>
              <w:rPr>
                <w:rFonts w:asciiTheme="majorHAnsi" w:hAnsiTheme="majorHAnsi" w:cstheme="majorHAnsi"/>
                <w:szCs w:val="20"/>
              </w:rPr>
            </w:pPr>
            <w:r w:rsidRPr="005E2D0A">
              <w:rPr>
                <w:rFonts w:asciiTheme="majorHAnsi" w:hAnsiTheme="majorHAnsi" w:cstheme="majorHAnsi"/>
                <w:szCs w:val="20"/>
              </w:rPr>
              <w:t>6</w:t>
            </w:r>
            <w:r w:rsidR="00C550A1" w:rsidRPr="005E2D0A">
              <w:rPr>
                <w:rFonts w:asciiTheme="majorHAnsi" w:hAnsiTheme="majorHAnsi" w:cstheme="majorHAnsi"/>
                <w:szCs w:val="20"/>
              </w:rPr>
              <w:t>.</w:t>
            </w:r>
            <w:r w:rsidRPr="005E2D0A">
              <w:rPr>
                <w:rFonts w:asciiTheme="majorHAnsi" w:hAnsiTheme="majorHAnsi" w:cstheme="majorHAnsi"/>
                <w:szCs w:val="20"/>
              </w:rPr>
              <w:t>9</w:t>
            </w:r>
            <w:r w:rsidR="00C550A1" w:rsidRPr="005E2D0A">
              <w:rPr>
                <w:rFonts w:asciiTheme="majorHAnsi" w:hAnsiTheme="majorHAnsi" w:cstheme="majorHAnsi"/>
                <w:szCs w:val="20"/>
              </w:rPr>
              <w:t>%</w:t>
            </w:r>
          </w:p>
        </w:tc>
      </w:tr>
      <w:tr w:rsidR="005E2D0A" w:rsidRPr="005E2D0A" w14:paraId="72203DCF" w14:textId="77777777" w:rsidTr="008E7095">
        <w:trPr>
          <w:trHeight w:val="183"/>
        </w:trPr>
        <w:tc>
          <w:tcPr>
            <w:tcW w:w="1662" w:type="pct"/>
            <w:vMerge/>
            <w:vAlign w:val="center"/>
          </w:tcPr>
          <w:p w14:paraId="6FB5E4DC" w14:textId="77777777" w:rsidR="00C550A1" w:rsidRPr="005E2D0A" w:rsidRDefault="00C550A1" w:rsidP="008E7095">
            <w:pPr>
              <w:pStyle w:val="NoSpacing"/>
              <w:jc w:val="center"/>
              <w:rPr>
                <w:rFonts w:asciiTheme="majorHAnsi" w:hAnsiTheme="majorHAnsi" w:cstheme="majorHAnsi"/>
                <w:b/>
                <w:szCs w:val="20"/>
              </w:rPr>
            </w:pPr>
          </w:p>
        </w:tc>
        <w:tc>
          <w:tcPr>
            <w:tcW w:w="1499" w:type="pct"/>
            <w:vAlign w:val="center"/>
          </w:tcPr>
          <w:p w14:paraId="3019B0A0"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High</w:t>
            </w:r>
          </w:p>
        </w:tc>
        <w:tc>
          <w:tcPr>
            <w:tcW w:w="919" w:type="pct"/>
            <w:vAlign w:val="center"/>
          </w:tcPr>
          <w:p w14:paraId="6499C8C2" w14:textId="1AFA2865"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7</w:t>
            </w:r>
            <w:r w:rsidR="00DE164E" w:rsidRPr="005E2D0A">
              <w:rPr>
                <w:rFonts w:asciiTheme="majorHAnsi" w:hAnsiTheme="majorHAnsi" w:cstheme="majorHAnsi"/>
                <w:szCs w:val="20"/>
              </w:rPr>
              <w:t>3</w:t>
            </w:r>
            <w:r w:rsidRPr="005E2D0A">
              <w:rPr>
                <w:rFonts w:asciiTheme="majorHAnsi" w:hAnsiTheme="majorHAnsi" w:cstheme="majorHAnsi"/>
                <w:szCs w:val="20"/>
              </w:rPr>
              <w:t>.</w:t>
            </w:r>
            <w:r w:rsidR="00DE164E" w:rsidRPr="005E2D0A">
              <w:rPr>
                <w:rFonts w:asciiTheme="majorHAnsi" w:hAnsiTheme="majorHAnsi" w:cstheme="majorHAnsi"/>
                <w:szCs w:val="20"/>
              </w:rPr>
              <w:t>1</w:t>
            </w:r>
            <w:r w:rsidRPr="005E2D0A">
              <w:rPr>
                <w:rFonts w:asciiTheme="majorHAnsi" w:hAnsiTheme="majorHAnsi" w:cstheme="majorHAnsi"/>
                <w:szCs w:val="20"/>
              </w:rPr>
              <w:t>%</w:t>
            </w:r>
          </w:p>
        </w:tc>
        <w:tc>
          <w:tcPr>
            <w:tcW w:w="920" w:type="pct"/>
            <w:vAlign w:val="center"/>
          </w:tcPr>
          <w:p w14:paraId="7AB7A41F" w14:textId="5724BDEE"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1</w:t>
            </w:r>
            <w:r w:rsidR="008944D7" w:rsidRPr="005E2D0A">
              <w:rPr>
                <w:rFonts w:asciiTheme="majorHAnsi" w:hAnsiTheme="majorHAnsi" w:cstheme="majorHAnsi"/>
                <w:szCs w:val="20"/>
              </w:rPr>
              <w:t>5</w:t>
            </w:r>
            <w:r w:rsidRPr="005E2D0A">
              <w:rPr>
                <w:rFonts w:asciiTheme="majorHAnsi" w:hAnsiTheme="majorHAnsi" w:cstheme="majorHAnsi"/>
                <w:szCs w:val="20"/>
              </w:rPr>
              <w:t>.</w:t>
            </w:r>
            <w:r w:rsidR="008944D7" w:rsidRPr="005E2D0A">
              <w:rPr>
                <w:rFonts w:asciiTheme="majorHAnsi" w:hAnsiTheme="majorHAnsi" w:cstheme="majorHAnsi"/>
                <w:szCs w:val="20"/>
              </w:rPr>
              <w:t>3</w:t>
            </w:r>
            <w:r w:rsidRPr="005E2D0A">
              <w:rPr>
                <w:rFonts w:asciiTheme="majorHAnsi" w:hAnsiTheme="majorHAnsi" w:cstheme="majorHAnsi"/>
                <w:szCs w:val="20"/>
              </w:rPr>
              <w:t>%</w:t>
            </w:r>
          </w:p>
        </w:tc>
      </w:tr>
      <w:tr w:rsidR="005E2D0A" w:rsidRPr="005E2D0A" w14:paraId="665EDC51" w14:textId="77777777" w:rsidTr="008E7095">
        <w:trPr>
          <w:trHeight w:val="282"/>
        </w:trPr>
        <w:tc>
          <w:tcPr>
            <w:tcW w:w="1662" w:type="pct"/>
            <w:vMerge w:val="restart"/>
            <w:vAlign w:val="center"/>
            <w:hideMark/>
          </w:tcPr>
          <w:p w14:paraId="59F0147A" w14:textId="1C032BE0" w:rsidR="00C550A1" w:rsidRPr="005E2D0A" w:rsidRDefault="00C550A1" w:rsidP="008E7095">
            <w:pPr>
              <w:pStyle w:val="NoSpacing"/>
              <w:jc w:val="center"/>
              <w:rPr>
                <w:rFonts w:asciiTheme="majorHAnsi" w:hAnsiTheme="majorHAnsi" w:cstheme="majorHAnsi"/>
                <w:b/>
                <w:szCs w:val="20"/>
              </w:rPr>
            </w:pPr>
            <w:r w:rsidRPr="005E2D0A">
              <w:rPr>
                <w:rFonts w:asciiTheme="majorHAnsi" w:hAnsiTheme="majorHAnsi" w:cstheme="majorHAnsi"/>
                <w:b/>
                <w:szCs w:val="20"/>
              </w:rPr>
              <w:t>Inheritance, gift</w:t>
            </w:r>
            <w:r w:rsidR="00EE1505" w:rsidRPr="005E2D0A">
              <w:rPr>
                <w:rFonts w:asciiTheme="majorHAnsi" w:hAnsiTheme="majorHAnsi" w:cstheme="majorHAnsi"/>
                <w:b/>
                <w:szCs w:val="20"/>
              </w:rPr>
              <w:t>s</w:t>
            </w:r>
            <w:r w:rsidRPr="005E2D0A">
              <w:rPr>
                <w:rFonts w:asciiTheme="majorHAnsi" w:hAnsiTheme="majorHAnsi" w:cstheme="majorHAnsi"/>
                <w:b/>
                <w:szCs w:val="20"/>
              </w:rPr>
              <w:t xml:space="preserve"> and informal loans</w:t>
            </w:r>
          </w:p>
        </w:tc>
        <w:tc>
          <w:tcPr>
            <w:tcW w:w="1499" w:type="pct"/>
            <w:vAlign w:val="center"/>
          </w:tcPr>
          <w:p w14:paraId="6A4E63E9"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Not received</w:t>
            </w:r>
          </w:p>
        </w:tc>
        <w:tc>
          <w:tcPr>
            <w:tcW w:w="919" w:type="pct"/>
            <w:vAlign w:val="center"/>
          </w:tcPr>
          <w:p w14:paraId="5C5BC872"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66.3%</w:t>
            </w:r>
          </w:p>
        </w:tc>
        <w:tc>
          <w:tcPr>
            <w:tcW w:w="920" w:type="pct"/>
            <w:vAlign w:val="center"/>
          </w:tcPr>
          <w:p w14:paraId="48259F58" w14:textId="3ED127B6"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10.</w:t>
            </w:r>
            <w:r w:rsidR="008944D7" w:rsidRPr="005E2D0A">
              <w:rPr>
                <w:rFonts w:asciiTheme="majorHAnsi" w:hAnsiTheme="majorHAnsi" w:cstheme="majorHAnsi"/>
                <w:szCs w:val="20"/>
              </w:rPr>
              <w:t>9</w:t>
            </w:r>
            <w:r w:rsidRPr="005E2D0A">
              <w:rPr>
                <w:rFonts w:asciiTheme="majorHAnsi" w:hAnsiTheme="majorHAnsi" w:cstheme="majorHAnsi"/>
                <w:szCs w:val="20"/>
              </w:rPr>
              <w:t>%</w:t>
            </w:r>
          </w:p>
        </w:tc>
      </w:tr>
      <w:tr w:rsidR="005E2D0A" w:rsidRPr="005E2D0A" w14:paraId="0FE9AE47" w14:textId="77777777" w:rsidTr="008E7095">
        <w:trPr>
          <w:trHeight w:val="183"/>
        </w:trPr>
        <w:tc>
          <w:tcPr>
            <w:tcW w:w="1662" w:type="pct"/>
            <w:vMerge/>
            <w:vAlign w:val="center"/>
            <w:hideMark/>
          </w:tcPr>
          <w:p w14:paraId="6036F819" w14:textId="77777777" w:rsidR="00C550A1" w:rsidRPr="005E2D0A" w:rsidRDefault="00C550A1" w:rsidP="008E7095">
            <w:pPr>
              <w:pStyle w:val="NoSpacing"/>
              <w:jc w:val="center"/>
              <w:rPr>
                <w:rFonts w:asciiTheme="majorHAnsi" w:hAnsiTheme="majorHAnsi" w:cstheme="majorHAnsi"/>
                <w:b/>
                <w:szCs w:val="20"/>
              </w:rPr>
            </w:pPr>
          </w:p>
        </w:tc>
        <w:tc>
          <w:tcPr>
            <w:tcW w:w="1499" w:type="pct"/>
            <w:vAlign w:val="center"/>
          </w:tcPr>
          <w:p w14:paraId="37D8CDC5"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Yes</w:t>
            </w:r>
          </w:p>
        </w:tc>
        <w:tc>
          <w:tcPr>
            <w:tcW w:w="919" w:type="pct"/>
            <w:vAlign w:val="center"/>
          </w:tcPr>
          <w:p w14:paraId="135ACD9E"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54.4%</w:t>
            </w:r>
          </w:p>
        </w:tc>
        <w:tc>
          <w:tcPr>
            <w:tcW w:w="920" w:type="pct"/>
            <w:vAlign w:val="center"/>
          </w:tcPr>
          <w:p w14:paraId="1D8EF214" w14:textId="43CB9A61"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7.</w:t>
            </w:r>
            <w:r w:rsidR="008944D7" w:rsidRPr="005E2D0A">
              <w:rPr>
                <w:rFonts w:asciiTheme="majorHAnsi" w:hAnsiTheme="majorHAnsi" w:cstheme="majorHAnsi"/>
                <w:szCs w:val="20"/>
              </w:rPr>
              <w:t>8</w:t>
            </w:r>
            <w:r w:rsidRPr="005E2D0A">
              <w:rPr>
                <w:rFonts w:asciiTheme="majorHAnsi" w:hAnsiTheme="majorHAnsi" w:cstheme="majorHAnsi"/>
                <w:szCs w:val="20"/>
              </w:rPr>
              <w:t>%</w:t>
            </w:r>
          </w:p>
        </w:tc>
      </w:tr>
      <w:tr w:rsidR="005E2D0A" w:rsidRPr="005E2D0A" w14:paraId="1C5AC103" w14:textId="77777777" w:rsidTr="008E7095">
        <w:trPr>
          <w:trHeight w:val="183"/>
        </w:trPr>
        <w:tc>
          <w:tcPr>
            <w:tcW w:w="1662" w:type="pct"/>
            <w:vMerge w:val="restart"/>
            <w:vAlign w:val="center"/>
            <w:hideMark/>
          </w:tcPr>
          <w:p w14:paraId="12CF9870" w14:textId="77777777" w:rsidR="00C550A1" w:rsidRPr="005E2D0A" w:rsidRDefault="00C550A1" w:rsidP="008E7095">
            <w:pPr>
              <w:pStyle w:val="NoSpacing"/>
              <w:jc w:val="center"/>
              <w:rPr>
                <w:rFonts w:asciiTheme="majorHAnsi" w:hAnsiTheme="majorHAnsi" w:cstheme="majorHAnsi"/>
                <w:b/>
                <w:szCs w:val="20"/>
              </w:rPr>
            </w:pPr>
            <w:r w:rsidRPr="005E2D0A">
              <w:rPr>
                <w:rFonts w:asciiTheme="majorHAnsi" w:hAnsiTheme="majorHAnsi" w:cstheme="majorHAnsi"/>
                <w:b/>
                <w:szCs w:val="20"/>
              </w:rPr>
              <w:t>DB schemes</w:t>
            </w:r>
          </w:p>
        </w:tc>
        <w:tc>
          <w:tcPr>
            <w:tcW w:w="1499" w:type="pct"/>
            <w:vAlign w:val="center"/>
          </w:tcPr>
          <w:p w14:paraId="4117AE78"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No</w:t>
            </w:r>
          </w:p>
        </w:tc>
        <w:tc>
          <w:tcPr>
            <w:tcW w:w="919" w:type="pct"/>
            <w:vAlign w:val="center"/>
          </w:tcPr>
          <w:p w14:paraId="448D0AC2" w14:textId="71FD30F3"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63.</w:t>
            </w:r>
            <w:r w:rsidR="001C511C" w:rsidRPr="005E2D0A">
              <w:rPr>
                <w:rFonts w:asciiTheme="majorHAnsi" w:hAnsiTheme="majorHAnsi" w:cstheme="majorHAnsi"/>
                <w:szCs w:val="20"/>
              </w:rPr>
              <w:t>9</w:t>
            </w:r>
            <w:r w:rsidRPr="005E2D0A">
              <w:rPr>
                <w:rFonts w:asciiTheme="majorHAnsi" w:hAnsiTheme="majorHAnsi" w:cstheme="majorHAnsi"/>
                <w:szCs w:val="20"/>
              </w:rPr>
              <w:t>%</w:t>
            </w:r>
          </w:p>
        </w:tc>
        <w:tc>
          <w:tcPr>
            <w:tcW w:w="920" w:type="pct"/>
            <w:vAlign w:val="center"/>
          </w:tcPr>
          <w:p w14:paraId="71E29428" w14:textId="78DD93EE"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8.</w:t>
            </w:r>
            <w:r w:rsidR="008944D7" w:rsidRPr="005E2D0A">
              <w:rPr>
                <w:rFonts w:asciiTheme="majorHAnsi" w:hAnsiTheme="majorHAnsi" w:cstheme="majorHAnsi"/>
                <w:szCs w:val="20"/>
              </w:rPr>
              <w:t>5</w:t>
            </w:r>
            <w:r w:rsidRPr="005E2D0A">
              <w:rPr>
                <w:rFonts w:asciiTheme="majorHAnsi" w:hAnsiTheme="majorHAnsi" w:cstheme="majorHAnsi"/>
                <w:szCs w:val="20"/>
              </w:rPr>
              <w:t>%</w:t>
            </w:r>
          </w:p>
        </w:tc>
      </w:tr>
      <w:tr w:rsidR="005E2D0A" w:rsidRPr="005E2D0A" w14:paraId="5AFC4A34" w14:textId="77777777" w:rsidTr="008E7095">
        <w:trPr>
          <w:trHeight w:val="183"/>
        </w:trPr>
        <w:tc>
          <w:tcPr>
            <w:tcW w:w="1662" w:type="pct"/>
            <w:vMerge/>
            <w:vAlign w:val="center"/>
            <w:hideMark/>
          </w:tcPr>
          <w:p w14:paraId="60AB5AF1" w14:textId="77777777" w:rsidR="00C550A1" w:rsidRPr="005E2D0A" w:rsidRDefault="00C550A1" w:rsidP="008E7095">
            <w:pPr>
              <w:pStyle w:val="NoSpacing"/>
              <w:jc w:val="center"/>
              <w:rPr>
                <w:rFonts w:asciiTheme="majorHAnsi" w:hAnsiTheme="majorHAnsi" w:cstheme="majorHAnsi"/>
                <w:b/>
                <w:szCs w:val="20"/>
              </w:rPr>
            </w:pPr>
          </w:p>
        </w:tc>
        <w:tc>
          <w:tcPr>
            <w:tcW w:w="1499" w:type="pct"/>
            <w:vAlign w:val="center"/>
          </w:tcPr>
          <w:p w14:paraId="28CCBB00"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Yes</w:t>
            </w:r>
          </w:p>
        </w:tc>
        <w:tc>
          <w:tcPr>
            <w:tcW w:w="919" w:type="pct"/>
            <w:vAlign w:val="center"/>
          </w:tcPr>
          <w:p w14:paraId="512EB49C"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51.4%</w:t>
            </w:r>
          </w:p>
        </w:tc>
        <w:tc>
          <w:tcPr>
            <w:tcW w:w="920" w:type="pct"/>
            <w:vAlign w:val="center"/>
          </w:tcPr>
          <w:p w14:paraId="07D394B3" w14:textId="5DF6F3D9"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8.</w:t>
            </w:r>
            <w:r w:rsidR="008944D7" w:rsidRPr="005E2D0A">
              <w:rPr>
                <w:rFonts w:asciiTheme="majorHAnsi" w:hAnsiTheme="majorHAnsi" w:cstheme="majorHAnsi"/>
                <w:szCs w:val="20"/>
              </w:rPr>
              <w:t>3</w:t>
            </w:r>
            <w:r w:rsidRPr="005E2D0A">
              <w:rPr>
                <w:rFonts w:asciiTheme="majorHAnsi" w:hAnsiTheme="majorHAnsi" w:cstheme="majorHAnsi"/>
                <w:szCs w:val="20"/>
              </w:rPr>
              <w:t>%</w:t>
            </w:r>
          </w:p>
        </w:tc>
      </w:tr>
      <w:tr w:rsidR="005E2D0A" w:rsidRPr="005E2D0A" w14:paraId="22B89ECF" w14:textId="77777777" w:rsidTr="008E7095">
        <w:trPr>
          <w:trHeight w:val="183"/>
        </w:trPr>
        <w:tc>
          <w:tcPr>
            <w:tcW w:w="1662" w:type="pct"/>
            <w:vMerge w:val="restart"/>
            <w:vAlign w:val="center"/>
            <w:hideMark/>
          </w:tcPr>
          <w:p w14:paraId="1BB7890E" w14:textId="77777777" w:rsidR="00C550A1" w:rsidRPr="005E2D0A" w:rsidRDefault="00C550A1" w:rsidP="008E7095">
            <w:pPr>
              <w:pStyle w:val="NoSpacing"/>
              <w:jc w:val="center"/>
              <w:rPr>
                <w:rFonts w:asciiTheme="majorHAnsi" w:hAnsiTheme="majorHAnsi" w:cstheme="majorHAnsi"/>
                <w:b/>
                <w:szCs w:val="20"/>
              </w:rPr>
            </w:pPr>
            <w:r w:rsidRPr="005E2D0A">
              <w:rPr>
                <w:rFonts w:asciiTheme="majorHAnsi" w:hAnsiTheme="majorHAnsi" w:cstheme="majorHAnsi"/>
                <w:b/>
                <w:szCs w:val="20"/>
              </w:rPr>
              <w:t>DC schemes</w:t>
            </w:r>
          </w:p>
        </w:tc>
        <w:tc>
          <w:tcPr>
            <w:tcW w:w="1499" w:type="pct"/>
            <w:vAlign w:val="center"/>
          </w:tcPr>
          <w:p w14:paraId="6B11A198"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No</w:t>
            </w:r>
          </w:p>
        </w:tc>
        <w:tc>
          <w:tcPr>
            <w:tcW w:w="919" w:type="pct"/>
            <w:vAlign w:val="center"/>
          </w:tcPr>
          <w:p w14:paraId="1E713750" w14:textId="0B465240"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66.</w:t>
            </w:r>
            <w:r w:rsidR="001C511C" w:rsidRPr="005E2D0A">
              <w:rPr>
                <w:rFonts w:asciiTheme="majorHAnsi" w:hAnsiTheme="majorHAnsi" w:cstheme="majorHAnsi"/>
                <w:szCs w:val="20"/>
              </w:rPr>
              <w:t>3</w:t>
            </w:r>
            <w:r w:rsidRPr="005E2D0A">
              <w:rPr>
                <w:rFonts w:asciiTheme="majorHAnsi" w:hAnsiTheme="majorHAnsi" w:cstheme="majorHAnsi"/>
                <w:szCs w:val="20"/>
              </w:rPr>
              <w:t>%</w:t>
            </w:r>
          </w:p>
        </w:tc>
        <w:tc>
          <w:tcPr>
            <w:tcW w:w="920" w:type="pct"/>
            <w:vAlign w:val="center"/>
          </w:tcPr>
          <w:p w14:paraId="7863AB89" w14:textId="1D9F151D"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11.</w:t>
            </w:r>
            <w:r w:rsidR="008944D7" w:rsidRPr="005E2D0A">
              <w:rPr>
                <w:rFonts w:asciiTheme="majorHAnsi" w:hAnsiTheme="majorHAnsi" w:cstheme="majorHAnsi"/>
                <w:szCs w:val="20"/>
              </w:rPr>
              <w:t>7</w:t>
            </w:r>
            <w:r w:rsidRPr="005E2D0A">
              <w:rPr>
                <w:rFonts w:asciiTheme="majorHAnsi" w:hAnsiTheme="majorHAnsi" w:cstheme="majorHAnsi"/>
                <w:szCs w:val="20"/>
              </w:rPr>
              <w:t>%</w:t>
            </w:r>
          </w:p>
        </w:tc>
      </w:tr>
      <w:tr w:rsidR="005E2D0A" w:rsidRPr="005E2D0A" w14:paraId="0CE29777" w14:textId="77777777" w:rsidTr="008E7095">
        <w:trPr>
          <w:trHeight w:val="183"/>
        </w:trPr>
        <w:tc>
          <w:tcPr>
            <w:tcW w:w="1662" w:type="pct"/>
            <w:vMerge/>
            <w:vAlign w:val="center"/>
            <w:hideMark/>
          </w:tcPr>
          <w:p w14:paraId="1FB11E61" w14:textId="77777777" w:rsidR="00C550A1" w:rsidRPr="005E2D0A" w:rsidRDefault="00C550A1" w:rsidP="008E7095">
            <w:pPr>
              <w:pStyle w:val="NoSpacing"/>
              <w:jc w:val="center"/>
              <w:rPr>
                <w:rFonts w:asciiTheme="majorHAnsi" w:hAnsiTheme="majorHAnsi" w:cstheme="majorHAnsi"/>
                <w:szCs w:val="20"/>
              </w:rPr>
            </w:pPr>
          </w:p>
        </w:tc>
        <w:tc>
          <w:tcPr>
            <w:tcW w:w="1499" w:type="pct"/>
            <w:vAlign w:val="center"/>
          </w:tcPr>
          <w:p w14:paraId="68E72509"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Yes</w:t>
            </w:r>
          </w:p>
        </w:tc>
        <w:tc>
          <w:tcPr>
            <w:tcW w:w="919" w:type="pct"/>
            <w:vAlign w:val="center"/>
          </w:tcPr>
          <w:p w14:paraId="0684B426" w14:textId="31AAF004"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53.</w:t>
            </w:r>
            <w:r w:rsidR="001C511C" w:rsidRPr="005E2D0A">
              <w:rPr>
                <w:rFonts w:asciiTheme="majorHAnsi" w:hAnsiTheme="majorHAnsi" w:cstheme="majorHAnsi"/>
                <w:szCs w:val="20"/>
              </w:rPr>
              <w:t>8</w:t>
            </w:r>
            <w:r w:rsidRPr="005E2D0A">
              <w:rPr>
                <w:rFonts w:asciiTheme="majorHAnsi" w:hAnsiTheme="majorHAnsi" w:cstheme="majorHAnsi"/>
                <w:szCs w:val="20"/>
              </w:rPr>
              <w:t>%</w:t>
            </w:r>
          </w:p>
        </w:tc>
        <w:tc>
          <w:tcPr>
            <w:tcW w:w="920" w:type="pct"/>
            <w:vAlign w:val="center"/>
          </w:tcPr>
          <w:p w14:paraId="2BFFBC2B" w14:textId="59606763"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7.</w:t>
            </w:r>
            <w:r w:rsidR="008944D7" w:rsidRPr="005E2D0A">
              <w:rPr>
                <w:rFonts w:asciiTheme="majorHAnsi" w:hAnsiTheme="majorHAnsi" w:cstheme="majorHAnsi"/>
                <w:szCs w:val="20"/>
              </w:rPr>
              <w:t>4</w:t>
            </w:r>
            <w:r w:rsidRPr="005E2D0A">
              <w:rPr>
                <w:rFonts w:asciiTheme="majorHAnsi" w:hAnsiTheme="majorHAnsi" w:cstheme="majorHAnsi"/>
                <w:szCs w:val="20"/>
              </w:rPr>
              <w:t>%</w:t>
            </w:r>
          </w:p>
        </w:tc>
      </w:tr>
      <w:tr w:rsidR="005E2D0A" w:rsidRPr="005E2D0A" w14:paraId="08D73F24" w14:textId="77777777" w:rsidTr="008E7095">
        <w:trPr>
          <w:trHeight w:val="183"/>
        </w:trPr>
        <w:tc>
          <w:tcPr>
            <w:tcW w:w="1662" w:type="pct"/>
            <w:vAlign w:val="center"/>
          </w:tcPr>
          <w:p w14:paraId="6BD95B89" w14:textId="77777777" w:rsidR="00C550A1" w:rsidRPr="005E2D0A" w:rsidRDefault="00C550A1" w:rsidP="008E7095">
            <w:pPr>
              <w:pStyle w:val="NoSpacing"/>
              <w:jc w:val="center"/>
              <w:rPr>
                <w:rFonts w:asciiTheme="majorHAnsi" w:hAnsiTheme="majorHAnsi" w:cstheme="majorHAnsi"/>
                <w:szCs w:val="20"/>
              </w:rPr>
            </w:pPr>
          </w:p>
        </w:tc>
        <w:tc>
          <w:tcPr>
            <w:tcW w:w="1499" w:type="pct"/>
            <w:vAlign w:val="center"/>
          </w:tcPr>
          <w:p w14:paraId="0C999687" w14:textId="77777777"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b/>
                <w:szCs w:val="20"/>
              </w:rPr>
              <w:t>All Savers</w:t>
            </w:r>
          </w:p>
        </w:tc>
        <w:tc>
          <w:tcPr>
            <w:tcW w:w="919" w:type="pct"/>
            <w:vAlign w:val="center"/>
          </w:tcPr>
          <w:p w14:paraId="7B3060FA" w14:textId="7B28A018"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56.5%</w:t>
            </w:r>
          </w:p>
        </w:tc>
        <w:tc>
          <w:tcPr>
            <w:tcW w:w="920" w:type="pct"/>
            <w:vAlign w:val="center"/>
          </w:tcPr>
          <w:p w14:paraId="0A054FE8" w14:textId="4446079C" w:rsidR="00C550A1" w:rsidRPr="005E2D0A" w:rsidRDefault="00C550A1" w:rsidP="008E7095">
            <w:pPr>
              <w:pStyle w:val="NoSpacing"/>
              <w:jc w:val="center"/>
              <w:rPr>
                <w:rFonts w:asciiTheme="majorHAnsi" w:hAnsiTheme="majorHAnsi" w:cstheme="majorHAnsi"/>
                <w:szCs w:val="20"/>
              </w:rPr>
            </w:pPr>
            <w:r w:rsidRPr="005E2D0A">
              <w:rPr>
                <w:rFonts w:asciiTheme="majorHAnsi" w:hAnsiTheme="majorHAnsi" w:cstheme="majorHAnsi"/>
                <w:szCs w:val="20"/>
              </w:rPr>
              <w:t>8.</w:t>
            </w:r>
            <w:r w:rsidR="008944D7" w:rsidRPr="005E2D0A">
              <w:rPr>
                <w:rFonts w:asciiTheme="majorHAnsi" w:hAnsiTheme="majorHAnsi" w:cstheme="majorHAnsi"/>
                <w:szCs w:val="20"/>
              </w:rPr>
              <w:t>4</w:t>
            </w:r>
            <w:r w:rsidRPr="005E2D0A">
              <w:rPr>
                <w:rFonts w:asciiTheme="majorHAnsi" w:hAnsiTheme="majorHAnsi" w:cstheme="majorHAnsi"/>
                <w:szCs w:val="20"/>
              </w:rPr>
              <w:t>%</w:t>
            </w:r>
          </w:p>
        </w:tc>
      </w:tr>
    </w:tbl>
    <w:p w14:paraId="7A212508" w14:textId="46CE14AE" w:rsidR="00EE1505" w:rsidRPr="005E2D0A" w:rsidRDefault="004113B2" w:rsidP="004113B2">
      <w:pPr>
        <w:pStyle w:val="Caption"/>
        <w:rPr>
          <w:rFonts w:eastAsiaTheme="majorEastAsia" w:cstheme="majorBidi"/>
          <w:i w:val="0"/>
          <w:color w:val="auto"/>
          <w:sz w:val="24"/>
          <w:szCs w:val="22"/>
        </w:rPr>
      </w:pPr>
      <w:r w:rsidRPr="005E2D0A">
        <w:rPr>
          <w:rFonts w:eastAsiaTheme="majorEastAsia" w:cstheme="majorBidi"/>
          <w:i w:val="0"/>
          <w:color w:val="auto"/>
          <w:sz w:val="24"/>
          <w:szCs w:val="22"/>
        </w:rPr>
        <w:t xml:space="preserve">Table </w:t>
      </w:r>
      <w:r w:rsidR="005E2D0A" w:rsidRPr="005E2D0A">
        <w:rPr>
          <w:rFonts w:eastAsiaTheme="majorEastAsia" w:cstheme="majorBidi"/>
          <w:i w:val="0"/>
          <w:color w:val="auto"/>
          <w:sz w:val="24"/>
          <w:szCs w:val="22"/>
        </w:rPr>
        <w:t>S</w:t>
      </w:r>
      <w:r w:rsidRPr="005E2D0A">
        <w:rPr>
          <w:rFonts w:eastAsiaTheme="majorEastAsia" w:cstheme="majorBidi"/>
          <w:i w:val="0"/>
          <w:color w:val="auto"/>
          <w:sz w:val="24"/>
          <w:szCs w:val="22"/>
        </w:rPr>
        <w:fldChar w:fldCharType="begin"/>
      </w:r>
      <w:r w:rsidRPr="005E2D0A">
        <w:rPr>
          <w:rFonts w:eastAsiaTheme="majorEastAsia" w:cstheme="majorBidi"/>
          <w:i w:val="0"/>
          <w:color w:val="auto"/>
          <w:sz w:val="24"/>
          <w:szCs w:val="22"/>
        </w:rPr>
        <w:instrText xml:space="preserve"> SEQ Table_A \* ARABIC </w:instrText>
      </w:r>
      <w:r w:rsidRPr="005E2D0A">
        <w:rPr>
          <w:rFonts w:eastAsiaTheme="majorEastAsia" w:cstheme="majorBidi"/>
          <w:i w:val="0"/>
          <w:color w:val="auto"/>
          <w:sz w:val="24"/>
          <w:szCs w:val="22"/>
        </w:rPr>
        <w:fldChar w:fldCharType="separate"/>
      </w:r>
      <w:r w:rsidRPr="005E2D0A">
        <w:rPr>
          <w:rFonts w:eastAsiaTheme="majorEastAsia" w:cstheme="majorBidi"/>
          <w:i w:val="0"/>
          <w:color w:val="auto"/>
          <w:sz w:val="24"/>
          <w:szCs w:val="22"/>
        </w:rPr>
        <w:t>2</w:t>
      </w:r>
      <w:r w:rsidRPr="005E2D0A">
        <w:rPr>
          <w:rFonts w:eastAsiaTheme="majorEastAsia" w:cstheme="majorBidi"/>
          <w:i w:val="0"/>
          <w:color w:val="auto"/>
          <w:sz w:val="24"/>
          <w:szCs w:val="22"/>
        </w:rPr>
        <w:fldChar w:fldCharType="end"/>
      </w:r>
      <w:r w:rsidRPr="005E2D0A">
        <w:rPr>
          <w:rFonts w:eastAsiaTheme="majorEastAsia" w:cstheme="majorBidi"/>
          <w:i w:val="0"/>
          <w:color w:val="auto"/>
          <w:sz w:val="24"/>
          <w:szCs w:val="22"/>
        </w:rPr>
        <w:t>.</w:t>
      </w:r>
      <w:r w:rsidR="005E2D0A" w:rsidRPr="005E2D0A">
        <w:rPr>
          <w:rFonts w:eastAsiaTheme="majorEastAsia" w:cstheme="majorBidi"/>
          <w:i w:val="0"/>
          <w:color w:val="auto"/>
          <w:sz w:val="24"/>
          <w:szCs w:val="22"/>
        </w:rPr>
        <w:t xml:space="preserve"> </w:t>
      </w:r>
      <w:r w:rsidR="00EE1505" w:rsidRPr="005E2D0A">
        <w:rPr>
          <w:rFonts w:eastAsiaTheme="majorEastAsia" w:cstheme="majorBidi"/>
          <w:i w:val="0"/>
          <w:color w:val="auto"/>
          <w:sz w:val="24"/>
          <w:szCs w:val="22"/>
        </w:rPr>
        <w:t>The characteristics of the (all-purpose) savers and retirement savers (WAS; 2012/2014)</w:t>
      </w:r>
    </w:p>
    <w:p w14:paraId="2FD1DA79" w14:textId="77777777" w:rsidR="00E61EE3" w:rsidRPr="005E2D0A" w:rsidRDefault="00E61EE3" w:rsidP="00E61EE3">
      <w:pPr>
        <w:pStyle w:val="NoSpacing"/>
      </w:pPr>
      <w:r w:rsidRPr="005E2D0A">
        <w:rPr>
          <w:rStyle w:val="SubtleEmphasis"/>
          <w:i w:val="0"/>
          <w:iCs w:val="0"/>
          <w:color w:val="auto"/>
        </w:rPr>
        <w:t>Note: All proportions are weighted using a cross-sectional weight provided in the dataset.</w:t>
      </w:r>
      <w:r w:rsidRPr="005E2D0A">
        <w:t xml:space="preserve"> *Inheritance, cash gifts and informal loans are measured at the household level. Individual records are identified using following thresholds in Wealth and Assets Survey (WAS): inheritance equal or greater than £1,000, cash gifts equal or greater than £500 and informal loans equal or greater than £500.</w:t>
      </w:r>
    </w:p>
    <w:p w14:paraId="3A718396" w14:textId="77777777" w:rsidR="00E61EE3" w:rsidRPr="005E2D0A" w:rsidRDefault="00E61EE3" w:rsidP="00E61EE3">
      <w:pPr>
        <w:pStyle w:val="NoSpacing"/>
      </w:pPr>
    </w:p>
    <w:p w14:paraId="72EE153C" w14:textId="77777777" w:rsidR="00C550A1" w:rsidRPr="005E2D0A" w:rsidRDefault="00C550A1"/>
    <w:sectPr w:rsidR="00C550A1" w:rsidRPr="005E2D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C3E90" w14:textId="77777777" w:rsidR="00D06096" w:rsidRDefault="00D06096" w:rsidP="0008154C">
      <w:pPr>
        <w:spacing w:before="0" w:after="0" w:line="240" w:lineRule="auto"/>
      </w:pPr>
      <w:r>
        <w:separator/>
      </w:r>
    </w:p>
  </w:endnote>
  <w:endnote w:type="continuationSeparator" w:id="0">
    <w:p w14:paraId="7611A951" w14:textId="77777777" w:rsidR="00D06096" w:rsidRDefault="00D06096" w:rsidP="000815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B79D8" w14:textId="77777777" w:rsidR="00D06096" w:rsidRDefault="00D06096" w:rsidP="0008154C">
      <w:pPr>
        <w:spacing w:before="0" w:after="0" w:line="240" w:lineRule="auto"/>
      </w:pPr>
      <w:r>
        <w:separator/>
      </w:r>
    </w:p>
  </w:footnote>
  <w:footnote w:type="continuationSeparator" w:id="0">
    <w:p w14:paraId="51964F06" w14:textId="77777777" w:rsidR="00D06096" w:rsidRDefault="00D06096" w:rsidP="0008154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1NDK3NDcxAxJGxko6SsGpxcWZ+XkgBSa1ADEDZe4sAAAA"/>
  </w:docVars>
  <w:rsids>
    <w:rsidRoot w:val="005D6A76"/>
    <w:rsid w:val="00051C7E"/>
    <w:rsid w:val="000573D8"/>
    <w:rsid w:val="0008154C"/>
    <w:rsid w:val="00151EA9"/>
    <w:rsid w:val="00183B8F"/>
    <w:rsid w:val="001C511C"/>
    <w:rsid w:val="002B0177"/>
    <w:rsid w:val="00375268"/>
    <w:rsid w:val="003C3A3F"/>
    <w:rsid w:val="003C4173"/>
    <w:rsid w:val="004113B2"/>
    <w:rsid w:val="0043352A"/>
    <w:rsid w:val="00502B3D"/>
    <w:rsid w:val="005252F7"/>
    <w:rsid w:val="005419C1"/>
    <w:rsid w:val="00590FCC"/>
    <w:rsid w:val="005C2F79"/>
    <w:rsid w:val="005C7215"/>
    <w:rsid w:val="005D6A76"/>
    <w:rsid w:val="005E23B2"/>
    <w:rsid w:val="005E2D0A"/>
    <w:rsid w:val="005F3BAF"/>
    <w:rsid w:val="0064345F"/>
    <w:rsid w:val="006F39BA"/>
    <w:rsid w:val="00754475"/>
    <w:rsid w:val="007F5D21"/>
    <w:rsid w:val="00853A9D"/>
    <w:rsid w:val="00890300"/>
    <w:rsid w:val="008944D7"/>
    <w:rsid w:val="008A0E37"/>
    <w:rsid w:val="008C7E88"/>
    <w:rsid w:val="009E1854"/>
    <w:rsid w:val="00AF7594"/>
    <w:rsid w:val="00B3760E"/>
    <w:rsid w:val="00B54BA3"/>
    <w:rsid w:val="00B56246"/>
    <w:rsid w:val="00B71BA0"/>
    <w:rsid w:val="00C32B8A"/>
    <w:rsid w:val="00C34B91"/>
    <w:rsid w:val="00C550A1"/>
    <w:rsid w:val="00C64D6A"/>
    <w:rsid w:val="00D004E6"/>
    <w:rsid w:val="00D06096"/>
    <w:rsid w:val="00D1441E"/>
    <w:rsid w:val="00D35728"/>
    <w:rsid w:val="00D75B84"/>
    <w:rsid w:val="00D90005"/>
    <w:rsid w:val="00DE164E"/>
    <w:rsid w:val="00E026C5"/>
    <w:rsid w:val="00E61EE3"/>
    <w:rsid w:val="00E85A90"/>
    <w:rsid w:val="00EE1505"/>
    <w:rsid w:val="00F3391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541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2A"/>
    <w:pPr>
      <w:spacing w:before="240" w:after="420" w:line="276" w:lineRule="auto"/>
      <w:contextualSpacing/>
      <w:mirrorIndents/>
    </w:pPr>
    <w:rPr>
      <w:rFonts w:ascii="Garamond" w:hAnsi="Garamond"/>
      <w:sz w:val="24"/>
    </w:rPr>
  </w:style>
  <w:style w:type="paragraph" w:styleId="Heading1">
    <w:name w:val="heading 1"/>
    <w:basedOn w:val="Normal"/>
    <w:next w:val="Normal"/>
    <w:link w:val="Heading1Char"/>
    <w:uiPriority w:val="9"/>
    <w:qFormat/>
    <w:rsid w:val="00C32B8A"/>
    <w:pPr>
      <w:keepNext/>
      <w:keepLines/>
      <w:spacing w:after="0"/>
      <w:outlineLvl w:val="0"/>
    </w:pPr>
    <w:rPr>
      <w:rFonts w:ascii="Avenir Book" w:eastAsiaTheme="majorEastAsia" w:hAnsi="Avenir Book" w:cstheme="majorBidi"/>
      <w:b/>
      <w:bCs/>
      <w:color w:val="3B3838" w:themeColor="background2" w:themeShade="40"/>
      <w:sz w:val="28"/>
      <w:szCs w:val="28"/>
    </w:rPr>
  </w:style>
  <w:style w:type="paragraph" w:styleId="Heading2">
    <w:name w:val="heading 2"/>
    <w:basedOn w:val="NoSpacing"/>
    <w:next w:val="Normal"/>
    <w:link w:val="Heading2Char"/>
    <w:uiPriority w:val="9"/>
    <w:unhideWhenUsed/>
    <w:qFormat/>
    <w:rsid w:val="00C32B8A"/>
    <w:pPr>
      <w:spacing w:before="240" w:after="120"/>
      <w:outlineLvl w:val="1"/>
    </w:pPr>
    <w:rPr>
      <w:b/>
      <w:bCs/>
      <w:sz w:val="24"/>
      <w:szCs w:val="24"/>
    </w:rPr>
  </w:style>
  <w:style w:type="paragraph" w:styleId="Heading7">
    <w:name w:val="heading 7"/>
    <w:aliases w:val="FT"/>
    <w:basedOn w:val="NoSpacing"/>
    <w:next w:val="NoSpacing"/>
    <w:link w:val="Heading7Char"/>
    <w:autoRedefine/>
    <w:uiPriority w:val="9"/>
    <w:unhideWhenUsed/>
    <w:qFormat/>
    <w:rsid w:val="0043352A"/>
    <w:pPr>
      <w:keepNext/>
      <w:keepLines/>
      <w:spacing w:line="276" w:lineRule="auto"/>
      <w:outlineLvl w:val="6"/>
    </w:pPr>
    <w:rPr>
      <w:rFonts w:eastAsiaTheme="majorEastAsia" w:cstheme="majorBidi"/>
      <w:i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52A"/>
    <w:pPr>
      <w:spacing w:before="0" w:after="0" w:line="240" w:lineRule="auto"/>
      <w:contextualSpacing w:val="0"/>
      <w:mirrorIndents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52A"/>
    <w:rPr>
      <w:rFonts w:ascii="Segoe UI" w:hAnsi="Segoe UI" w:cs="Segoe UI"/>
      <w:sz w:val="18"/>
      <w:szCs w:val="18"/>
    </w:rPr>
  </w:style>
  <w:style w:type="character" w:customStyle="1" w:styleId="Heading7Char">
    <w:name w:val="Heading 7 Char"/>
    <w:aliases w:val="FT Char"/>
    <w:basedOn w:val="DefaultParagraphFont"/>
    <w:link w:val="Heading7"/>
    <w:uiPriority w:val="9"/>
    <w:rsid w:val="0043352A"/>
    <w:rPr>
      <w:rFonts w:ascii="Garamond" w:eastAsiaTheme="majorEastAsia" w:hAnsi="Garamond" w:cstheme="majorBidi"/>
      <w:iCs/>
      <w:color w:val="44546A" w:themeColor="text2"/>
      <w:sz w:val="24"/>
    </w:rPr>
  </w:style>
  <w:style w:type="character" w:styleId="SubtleEmphasis">
    <w:name w:val="Subtle Emphasis"/>
    <w:basedOn w:val="DefaultParagraphFont"/>
    <w:uiPriority w:val="19"/>
    <w:qFormat/>
    <w:rsid w:val="0043352A"/>
    <w:rPr>
      <w:rFonts w:ascii="Garamond" w:hAnsi="Garamond"/>
      <w:i/>
      <w:iCs/>
      <w:color w:val="000000"/>
      <w:sz w:val="20"/>
    </w:rPr>
  </w:style>
  <w:style w:type="paragraph" w:styleId="NoSpacing">
    <w:name w:val="No Spacing"/>
    <w:link w:val="NoSpacingChar"/>
    <w:uiPriority w:val="1"/>
    <w:qFormat/>
    <w:rsid w:val="0043352A"/>
    <w:pPr>
      <w:spacing w:after="0" w:line="240" w:lineRule="auto"/>
    </w:pPr>
    <w:rPr>
      <w:rFonts w:ascii="Garamond" w:hAnsi="Garamond"/>
      <w:sz w:val="20"/>
    </w:rPr>
  </w:style>
  <w:style w:type="character" w:customStyle="1" w:styleId="NoSpacingChar">
    <w:name w:val="No Spacing Char"/>
    <w:basedOn w:val="DefaultParagraphFont"/>
    <w:link w:val="NoSpacing"/>
    <w:uiPriority w:val="1"/>
    <w:rsid w:val="0043352A"/>
    <w:rPr>
      <w:rFonts w:ascii="Garamond" w:hAnsi="Garamond"/>
      <w:sz w:val="20"/>
    </w:rPr>
  </w:style>
  <w:style w:type="table" w:styleId="TableGridLight">
    <w:name w:val="Grid Table Light"/>
    <w:basedOn w:val="TableNormal"/>
    <w:uiPriority w:val="99"/>
    <w:rsid w:val="007F5D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7F5D21"/>
    <w:pPr>
      <w:spacing w:before="0"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C32B8A"/>
    <w:rPr>
      <w:rFonts w:ascii="Garamond" w:hAnsi="Garamond"/>
      <w:b/>
      <w:bCs/>
      <w:sz w:val="24"/>
      <w:szCs w:val="24"/>
    </w:rPr>
  </w:style>
  <w:style w:type="character" w:customStyle="1" w:styleId="Heading1Char">
    <w:name w:val="Heading 1 Char"/>
    <w:basedOn w:val="DefaultParagraphFont"/>
    <w:link w:val="Heading1"/>
    <w:uiPriority w:val="9"/>
    <w:rsid w:val="00C32B8A"/>
    <w:rPr>
      <w:rFonts w:ascii="Avenir Book" w:eastAsiaTheme="majorEastAsia" w:hAnsi="Avenir Book" w:cstheme="majorBidi"/>
      <w:b/>
      <w:bCs/>
      <w:color w:val="3B3838" w:themeColor="background2" w:themeShade="40"/>
      <w:sz w:val="28"/>
      <w:szCs w:val="28"/>
    </w:rPr>
  </w:style>
  <w:style w:type="character" w:styleId="FootnoteReference">
    <w:name w:val="footnote reference"/>
    <w:basedOn w:val="DefaultParagraphFont"/>
    <w:uiPriority w:val="99"/>
    <w:unhideWhenUsed/>
    <w:qFormat/>
    <w:rsid w:val="00E61EE3"/>
    <w:rPr>
      <w:rFonts w:asciiTheme="minorHAnsi" w:hAnsiTheme="minorHAnsi"/>
      <w:color w:val="auto"/>
      <w:sz w:val="22"/>
      <w:vertAlign w:val="superscript"/>
    </w:rPr>
  </w:style>
  <w:style w:type="paragraph" w:styleId="Header">
    <w:name w:val="header"/>
    <w:basedOn w:val="Normal"/>
    <w:link w:val="HeaderChar"/>
    <w:uiPriority w:val="99"/>
    <w:unhideWhenUsed/>
    <w:rsid w:val="000815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8154C"/>
    <w:rPr>
      <w:rFonts w:ascii="Garamond" w:hAnsi="Garamond"/>
      <w:sz w:val="24"/>
    </w:rPr>
  </w:style>
  <w:style w:type="paragraph" w:styleId="Footer">
    <w:name w:val="footer"/>
    <w:basedOn w:val="Normal"/>
    <w:link w:val="FooterChar"/>
    <w:uiPriority w:val="99"/>
    <w:unhideWhenUsed/>
    <w:rsid w:val="000815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8154C"/>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501608">
      <w:bodyDiv w:val="1"/>
      <w:marLeft w:val="0"/>
      <w:marRight w:val="0"/>
      <w:marTop w:val="0"/>
      <w:marBottom w:val="0"/>
      <w:divBdr>
        <w:top w:val="none" w:sz="0" w:space="0" w:color="auto"/>
        <w:left w:val="none" w:sz="0" w:space="0" w:color="auto"/>
        <w:bottom w:val="none" w:sz="0" w:space="0" w:color="auto"/>
        <w:right w:val="none" w:sz="0" w:space="0" w:color="auto"/>
      </w:divBdr>
    </w:div>
    <w:div w:id="15247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7717edbcbf553599/PhD/aa_Analysis/was/Analysis_log-p1/2020_analysis_log/2020%2012%20Paper%201%20analysis%20log%20for%20submiss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135666009286689E-2"/>
          <c:y val="4.5013024306117616E-2"/>
          <c:w val="0.92019543973941365"/>
          <c:h val="0.74286775018920226"/>
        </c:manualLayout>
      </c:layout>
      <c:barChart>
        <c:barDir val="col"/>
        <c:grouping val="clustered"/>
        <c:varyColors val="0"/>
        <c:ser>
          <c:idx val="0"/>
          <c:order val="0"/>
          <c:tx>
            <c:strRef>
              <c:f>'[2020 12 Paper 1 analysis log for submission.xlsx]Fut_income3'!$G$17</c:f>
              <c:strCache>
                <c:ptCount val="1"/>
                <c:pt idx="0">
                  <c:v>20-29</c:v>
                </c:pt>
              </c:strCache>
            </c:strRef>
          </c:tx>
          <c:spPr>
            <a:solidFill>
              <a:schemeClr val="bg1">
                <a:lumMod val="85000"/>
              </a:schemeClr>
            </a:solidFill>
            <a:ln>
              <a:solidFill>
                <a:schemeClr val="bg1">
                  <a:lumMod val="65000"/>
                </a:schemeClr>
              </a:solidFill>
            </a:ln>
            <a:effectLst/>
          </c:spPr>
          <c:invertIfNegative val="0"/>
          <c:cat>
            <c:strRef>
              <c:f>'[2020 12 Paper 1 analysis log for submission.xlsx]Fut_income3'!$B$18:$B$27</c:f>
              <c:strCache>
                <c:ptCount val="10"/>
                <c:pt idx="0">
                  <c:v>State 
pension</c:v>
                </c:pt>
                <c:pt idx="1">
                  <c:v>Occupational or
personal pension</c:v>
                </c:pt>
                <c:pt idx="2">
                  <c:v>Savings/
investments</c:v>
                </c:pt>
                <c:pt idx="3">
                  <c:v>Downsizing</c:v>
                </c:pt>
                <c:pt idx="4">
                  <c:v>Future 
Inheritance</c:v>
                </c:pt>
                <c:pt idx="5">
                  <c:v>Earnings 
from work</c:v>
                </c:pt>
                <c:pt idx="6">
                  <c:v>Family 
members</c:v>
                </c:pt>
                <c:pt idx="7">
                  <c:v>State 
benefits</c:v>
                </c:pt>
                <c:pt idx="8">
                  <c:v>Other*</c:v>
                </c:pt>
                <c:pt idx="9">
                  <c:v>Don't know</c:v>
                </c:pt>
              </c:strCache>
            </c:strRef>
          </c:cat>
          <c:val>
            <c:numRef>
              <c:f>'[2020 12 Paper 1 analysis log for submission.xlsx]Fut_income3'!$G$18:$G$27</c:f>
              <c:numCache>
                <c:formatCode>General</c:formatCode>
                <c:ptCount val="10"/>
                <c:pt idx="0">
                  <c:v>0.68252900000000005</c:v>
                </c:pt>
                <c:pt idx="1">
                  <c:v>0.45209519999999997</c:v>
                </c:pt>
                <c:pt idx="2">
                  <c:v>0.4001266</c:v>
                </c:pt>
                <c:pt idx="3">
                  <c:v>0.1245984</c:v>
                </c:pt>
                <c:pt idx="4">
                  <c:v>0.15955340000000001</c:v>
                </c:pt>
                <c:pt idx="5">
                  <c:v>7.1793200000000001E-2</c:v>
                </c:pt>
                <c:pt idx="6">
                  <c:v>0.122197</c:v>
                </c:pt>
                <c:pt idx="7">
                  <c:v>6.0812499999999999E-2</c:v>
                </c:pt>
                <c:pt idx="8">
                  <c:v>0.1710276</c:v>
                </c:pt>
                <c:pt idx="9">
                  <c:v>0.11675439999999999</c:v>
                </c:pt>
              </c:numCache>
            </c:numRef>
          </c:val>
          <c:extLst>
            <c:ext xmlns:c16="http://schemas.microsoft.com/office/drawing/2014/chart" uri="{C3380CC4-5D6E-409C-BE32-E72D297353CC}">
              <c16:uniqueId val="{00000000-5240-4E45-A219-670805B13D98}"/>
            </c:ext>
          </c:extLst>
        </c:ser>
        <c:ser>
          <c:idx val="1"/>
          <c:order val="1"/>
          <c:tx>
            <c:strRef>
              <c:f>'[2020 12 Paper 1 analysis log for submission.xlsx]Fut_income3'!$F$17</c:f>
              <c:strCache>
                <c:ptCount val="1"/>
                <c:pt idx="0">
                  <c:v>30-39</c:v>
                </c:pt>
              </c:strCache>
            </c:strRef>
          </c:tx>
          <c:spPr>
            <a:pattFill prst="wdUpDiag">
              <a:fgClr>
                <a:schemeClr val="tx1">
                  <a:lumMod val="65000"/>
                  <a:lumOff val="35000"/>
                </a:schemeClr>
              </a:fgClr>
              <a:bgClr>
                <a:schemeClr val="bg1"/>
              </a:bgClr>
            </a:pattFill>
            <a:ln>
              <a:solidFill>
                <a:schemeClr val="bg1">
                  <a:lumMod val="75000"/>
                </a:schemeClr>
              </a:solidFill>
            </a:ln>
            <a:effectLst/>
          </c:spPr>
          <c:invertIfNegative val="0"/>
          <c:cat>
            <c:strRef>
              <c:f>'[2020 12 Paper 1 analysis log for submission.xlsx]Fut_income3'!$B$18:$B$27</c:f>
              <c:strCache>
                <c:ptCount val="10"/>
                <c:pt idx="0">
                  <c:v>State 
pension</c:v>
                </c:pt>
                <c:pt idx="1">
                  <c:v>Occupational or
personal pension</c:v>
                </c:pt>
                <c:pt idx="2">
                  <c:v>Savings/
investments</c:v>
                </c:pt>
                <c:pt idx="3">
                  <c:v>Downsizing</c:v>
                </c:pt>
                <c:pt idx="4">
                  <c:v>Future 
Inheritance</c:v>
                </c:pt>
                <c:pt idx="5">
                  <c:v>Earnings 
from work</c:v>
                </c:pt>
                <c:pt idx="6">
                  <c:v>Family 
members</c:v>
                </c:pt>
                <c:pt idx="7">
                  <c:v>State 
benefits</c:v>
                </c:pt>
                <c:pt idx="8">
                  <c:v>Other*</c:v>
                </c:pt>
                <c:pt idx="9">
                  <c:v>Don't know</c:v>
                </c:pt>
              </c:strCache>
            </c:strRef>
          </c:cat>
          <c:val>
            <c:numRef>
              <c:f>'[2020 12 Paper 1 analysis log for submission.xlsx]Fut_income3'!$F$18:$F$27</c:f>
              <c:numCache>
                <c:formatCode>General</c:formatCode>
                <c:ptCount val="10"/>
                <c:pt idx="0">
                  <c:v>0.76857189999999997</c:v>
                </c:pt>
                <c:pt idx="1">
                  <c:v>0.57656589999999996</c:v>
                </c:pt>
                <c:pt idx="2">
                  <c:v>0.43547629999999998</c:v>
                </c:pt>
                <c:pt idx="3">
                  <c:v>0.22747410000000001</c:v>
                </c:pt>
                <c:pt idx="4">
                  <c:v>0.22505259999999999</c:v>
                </c:pt>
                <c:pt idx="5">
                  <c:v>0.1068629</c:v>
                </c:pt>
                <c:pt idx="6">
                  <c:v>0.14013439999999999</c:v>
                </c:pt>
                <c:pt idx="7">
                  <c:v>5.7981900000000003E-2</c:v>
                </c:pt>
                <c:pt idx="8">
                  <c:v>0.1921572</c:v>
                </c:pt>
                <c:pt idx="9">
                  <c:v>5.06594E-2</c:v>
                </c:pt>
              </c:numCache>
            </c:numRef>
          </c:val>
          <c:extLst>
            <c:ext xmlns:c16="http://schemas.microsoft.com/office/drawing/2014/chart" uri="{C3380CC4-5D6E-409C-BE32-E72D297353CC}">
              <c16:uniqueId val="{00000001-5240-4E45-A219-670805B13D98}"/>
            </c:ext>
          </c:extLst>
        </c:ser>
        <c:ser>
          <c:idx val="2"/>
          <c:order val="2"/>
          <c:tx>
            <c:strRef>
              <c:f>'[2020 12 Paper 1 analysis log for submission.xlsx]Fut_income3'!$E$17</c:f>
              <c:strCache>
                <c:ptCount val="1"/>
                <c:pt idx="0">
                  <c:v>40-49</c:v>
                </c:pt>
              </c:strCache>
            </c:strRef>
          </c:tx>
          <c:spPr>
            <a:solidFill>
              <a:schemeClr val="bg1">
                <a:lumMod val="50000"/>
              </a:schemeClr>
            </a:solidFill>
            <a:ln>
              <a:solidFill>
                <a:schemeClr val="tx1">
                  <a:lumMod val="65000"/>
                  <a:lumOff val="35000"/>
                </a:schemeClr>
              </a:solidFill>
            </a:ln>
            <a:effectLst/>
          </c:spPr>
          <c:invertIfNegative val="0"/>
          <c:cat>
            <c:strRef>
              <c:f>'[2020 12 Paper 1 analysis log for submission.xlsx]Fut_income3'!$B$18:$B$27</c:f>
              <c:strCache>
                <c:ptCount val="10"/>
                <c:pt idx="0">
                  <c:v>State 
pension</c:v>
                </c:pt>
                <c:pt idx="1">
                  <c:v>Occupational or
personal pension</c:v>
                </c:pt>
                <c:pt idx="2">
                  <c:v>Savings/
investments</c:v>
                </c:pt>
                <c:pt idx="3">
                  <c:v>Downsizing</c:v>
                </c:pt>
                <c:pt idx="4">
                  <c:v>Future 
Inheritance</c:v>
                </c:pt>
                <c:pt idx="5">
                  <c:v>Earnings 
from work</c:v>
                </c:pt>
                <c:pt idx="6">
                  <c:v>Family 
members</c:v>
                </c:pt>
                <c:pt idx="7">
                  <c:v>State 
benefits</c:v>
                </c:pt>
                <c:pt idx="8">
                  <c:v>Other*</c:v>
                </c:pt>
                <c:pt idx="9">
                  <c:v>Don't know</c:v>
                </c:pt>
              </c:strCache>
            </c:strRef>
          </c:cat>
          <c:val>
            <c:numRef>
              <c:f>'[2020 12 Paper 1 analysis log for submission.xlsx]Fut_income3'!$E$18:$E$27</c:f>
              <c:numCache>
                <c:formatCode>General</c:formatCode>
                <c:ptCount val="10"/>
                <c:pt idx="0">
                  <c:v>0.85622909999999997</c:v>
                </c:pt>
                <c:pt idx="1">
                  <c:v>0.61950740000000004</c:v>
                </c:pt>
                <c:pt idx="2">
                  <c:v>0.35407499999999997</c:v>
                </c:pt>
                <c:pt idx="3">
                  <c:v>0.26919310000000002</c:v>
                </c:pt>
                <c:pt idx="4">
                  <c:v>0.20983859999999999</c:v>
                </c:pt>
                <c:pt idx="5">
                  <c:v>9.8881499999999997E-2</c:v>
                </c:pt>
                <c:pt idx="6">
                  <c:v>0.13468330000000001</c:v>
                </c:pt>
                <c:pt idx="7">
                  <c:v>6.8547800000000006E-2</c:v>
                </c:pt>
                <c:pt idx="8">
                  <c:v>0.18068219999999999</c:v>
                </c:pt>
                <c:pt idx="9">
                  <c:v>2.9640400000000001E-2</c:v>
                </c:pt>
              </c:numCache>
            </c:numRef>
          </c:val>
          <c:extLst>
            <c:ext xmlns:c16="http://schemas.microsoft.com/office/drawing/2014/chart" uri="{C3380CC4-5D6E-409C-BE32-E72D297353CC}">
              <c16:uniqueId val="{00000002-5240-4E45-A219-670805B13D98}"/>
            </c:ext>
          </c:extLst>
        </c:ser>
        <c:ser>
          <c:idx val="3"/>
          <c:order val="3"/>
          <c:tx>
            <c:strRef>
              <c:f>'[2020 12 Paper 1 analysis log for submission.xlsx]Fut_income3'!$D$17</c:f>
              <c:strCache>
                <c:ptCount val="1"/>
                <c:pt idx="0">
                  <c:v>50-59</c:v>
                </c:pt>
              </c:strCache>
            </c:strRef>
          </c:tx>
          <c:spPr>
            <a:pattFill prst="pct20">
              <a:fgClr>
                <a:schemeClr val="tx1">
                  <a:lumMod val="65000"/>
                  <a:lumOff val="35000"/>
                </a:schemeClr>
              </a:fgClr>
              <a:bgClr>
                <a:schemeClr val="bg1"/>
              </a:bgClr>
            </a:pattFill>
            <a:ln>
              <a:solidFill>
                <a:schemeClr val="tx1">
                  <a:lumMod val="50000"/>
                  <a:lumOff val="50000"/>
                </a:schemeClr>
              </a:solidFill>
            </a:ln>
            <a:effectLst/>
          </c:spPr>
          <c:invertIfNegative val="0"/>
          <c:cat>
            <c:strRef>
              <c:f>'[2020 12 Paper 1 analysis log for submission.xlsx]Fut_income3'!$B$18:$B$27</c:f>
              <c:strCache>
                <c:ptCount val="10"/>
                <c:pt idx="0">
                  <c:v>State 
pension</c:v>
                </c:pt>
                <c:pt idx="1">
                  <c:v>Occupational or
personal pension</c:v>
                </c:pt>
                <c:pt idx="2">
                  <c:v>Savings/
investments</c:v>
                </c:pt>
                <c:pt idx="3">
                  <c:v>Downsizing</c:v>
                </c:pt>
                <c:pt idx="4">
                  <c:v>Future 
Inheritance</c:v>
                </c:pt>
                <c:pt idx="5">
                  <c:v>Earnings 
from work</c:v>
                </c:pt>
                <c:pt idx="6">
                  <c:v>Family 
members</c:v>
                </c:pt>
                <c:pt idx="7">
                  <c:v>State 
benefits</c:v>
                </c:pt>
                <c:pt idx="8">
                  <c:v>Other*</c:v>
                </c:pt>
                <c:pt idx="9">
                  <c:v>Don't know</c:v>
                </c:pt>
              </c:strCache>
            </c:strRef>
          </c:cat>
          <c:val>
            <c:numRef>
              <c:f>'[2020 12 Paper 1 analysis log for submission.xlsx]Fut_income3'!$D$18:$D$27</c:f>
              <c:numCache>
                <c:formatCode>General</c:formatCode>
                <c:ptCount val="10"/>
                <c:pt idx="0">
                  <c:v>0.90259389999999995</c:v>
                </c:pt>
                <c:pt idx="1">
                  <c:v>0.64351899999999995</c:v>
                </c:pt>
                <c:pt idx="2">
                  <c:v>0.36592239999999998</c:v>
                </c:pt>
                <c:pt idx="3">
                  <c:v>0.24698629999999999</c:v>
                </c:pt>
                <c:pt idx="4">
                  <c:v>0.13358719999999999</c:v>
                </c:pt>
                <c:pt idx="5">
                  <c:v>9.8466100000000001E-2</c:v>
                </c:pt>
                <c:pt idx="6">
                  <c:v>0.1218897</c:v>
                </c:pt>
                <c:pt idx="7">
                  <c:v>8.1798899999999994E-2</c:v>
                </c:pt>
                <c:pt idx="8">
                  <c:v>0.1732226</c:v>
                </c:pt>
                <c:pt idx="9">
                  <c:v>1.7802200000000001E-2</c:v>
                </c:pt>
              </c:numCache>
            </c:numRef>
          </c:val>
          <c:extLst>
            <c:ext xmlns:c16="http://schemas.microsoft.com/office/drawing/2014/chart" uri="{C3380CC4-5D6E-409C-BE32-E72D297353CC}">
              <c16:uniqueId val="{00000003-5240-4E45-A219-670805B13D98}"/>
            </c:ext>
          </c:extLst>
        </c:ser>
        <c:ser>
          <c:idx val="4"/>
          <c:order val="4"/>
          <c:tx>
            <c:strRef>
              <c:f>'[2020 12 Paper 1 analysis log for submission.xlsx]Fut_income3'!$C$17</c:f>
              <c:strCache>
                <c:ptCount val="1"/>
                <c:pt idx="0">
                  <c:v>60-64</c:v>
                </c:pt>
              </c:strCache>
            </c:strRef>
          </c:tx>
          <c:spPr>
            <a:pattFill prst="narHorz">
              <a:fgClr>
                <a:schemeClr val="tx1">
                  <a:lumMod val="65000"/>
                  <a:lumOff val="35000"/>
                </a:schemeClr>
              </a:fgClr>
              <a:bgClr>
                <a:schemeClr val="bg1"/>
              </a:bgClr>
            </a:pattFill>
            <a:ln>
              <a:solidFill>
                <a:schemeClr val="tx1">
                  <a:lumMod val="65000"/>
                  <a:lumOff val="35000"/>
                </a:schemeClr>
              </a:solidFill>
            </a:ln>
            <a:effectLst/>
          </c:spPr>
          <c:invertIfNegative val="0"/>
          <c:cat>
            <c:strRef>
              <c:f>'[2020 12 Paper 1 analysis log for submission.xlsx]Fut_income3'!$B$18:$B$27</c:f>
              <c:strCache>
                <c:ptCount val="10"/>
                <c:pt idx="0">
                  <c:v>State 
pension</c:v>
                </c:pt>
                <c:pt idx="1">
                  <c:v>Occupational or
personal pension</c:v>
                </c:pt>
                <c:pt idx="2">
                  <c:v>Savings/
investments</c:v>
                </c:pt>
                <c:pt idx="3">
                  <c:v>Downsizing</c:v>
                </c:pt>
                <c:pt idx="4">
                  <c:v>Future 
Inheritance</c:v>
                </c:pt>
                <c:pt idx="5">
                  <c:v>Earnings 
from work</c:v>
                </c:pt>
                <c:pt idx="6">
                  <c:v>Family 
members</c:v>
                </c:pt>
                <c:pt idx="7">
                  <c:v>State 
benefits</c:v>
                </c:pt>
                <c:pt idx="8">
                  <c:v>Other*</c:v>
                </c:pt>
                <c:pt idx="9">
                  <c:v>Don't know</c:v>
                </c:pt>
              </c:strCache>
            </c:strRef>
          </c:cat>
          <c:val>
            <c:numRef>
              <c:f>'[2020 12 Paper 1 analysis log for submission.xlsx]Fut_income3'!$C$18:$C$27</c:f>
              <c:numCache>
                <c:formatCode>General</c:formatCode>
                <c:ptCount val="10"/>
                <c:pt idx="0">
                  <c:v>0.94286389999999998</c:v>
                </c:pt>
                <c:pt idx="1">
                  <c:v>0.65012630000000005</c:v>
                </c:pt>
                <c:pt idx="2">
                  <c:v>0.38515319999999997</c:v>
                </c:pt>
                <c:pt idx="3">
                  <c:v>0.20336899999999999</c:v>
                </c:pt>
                <c:pt idx="4">
                  <c:v>6.9958199999999998E-2</c:v>
                </c:pt>
                <c:pt idx="5">
                  <c:v>6.5797300000000003E-2</c:v>
                </c:pt>
                <c:pt idx="6">
                  <c:v>0.14759169999999999</c:v>
                </c:pt>
                <c:pt idx="7">
                  <c:v>7.8791600000000003E-2</c:v>
                </c:pt>
                <c:pt idx="8">
                  <c:v>0.15796109999999999</c:v>
                </c:pt>
                <c:pt idx="9">
                  <c:v>1.32306E-2</c:v>
                </c:pt>
              </c:numCache>
            </c:numRef>
          </c:val>
          <c:extLst>
            <c:ext xmlns:c16="http://schemas.microsoft.com/office/drawing/2014/chart" uri="{C3380CC4-5D6E-409C-BE32-E72D297353CC}">
              <c16:uniqueId val="{00000004-5240-4E45-A219-670805B13D98}"/>
            </c:ext>
          </c:extLst>
        </c:ser>
        <c:dLbls>
          <c:showLegendKey val="0"/>
          <c:showVal val="0"/>
          <c:showCatName val="0"/>
          <c:showSerName val="0"/>
          <c:showPercent val="0"/>
          <c:showBubbleSize val="0"/>
        </c:dLbls>
        <c:gapWidth val="182"/>
        <c:axId val="225427424"/>
        <c:axId val="225427032"/>
      </c:barChart>
      <c:catAx>
        <c:axId val="22542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25427032"/>
        <c:crosses val="autoZero"/>
        <c:auto val="1"/>
        <c:lblAlgn val="ctr"/>
        <c:lblOffset val="100"/>
        <c:noMultiLvlLbl val="0"/>
      </c:catAx>
      <c:valAx>
        <c:axId val="225427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427424"/>
        <c:crosses val="autoZero"/>
        <c:crossBetween val="between"/>
      </c:valAx>
      <c:spPr>
        <a:noFill/>
        <a:ln>
          <a:noFill/>
        </a:ln>
        <a:effectLst/>
      </c:spPr>
    </c:plotArea>
    <c:legend>
      <c:legendPos val="b"/>
      <c:layout>
        <c:manualLayout>
          <c:xMode val="edge"/>
          <c:yMode val="edge"/>
          <c:x val="0.2625967676929814"/>
          <c:y val="0.93109602327837049"/>
          <c:w val="0.57881308765054929"/>
          <c:h val="4.203113039482730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2BC46-1009-4126-BC7C-B89A9B5A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2020-12-30T18:36:00Z</dcterms:created>
  <dcterms:modified xsi:type="dcterms:W3CDTF">2021-03-01T07:55:00Z</dcterms:modified>
</cp:coreProperties>
</file>