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075" w:rsidRPr="00724834" w:rsidRDefault="007F1075" w:rsidP="007F1075">
      <w:pPr>
        <w:spacing w:line="360" w:lineRule="auto"/>
        <w:jc w:val="center"/>
        <w:rPr>
          <w:rFonts w:ascii="Garamond" w:hAnsi="Garamond" w:cs="Times New Roman"/>
          <w:b/>
          <w:sz w:val="32"/>
          <w:szCs w:val="36"/>
          <w:lang w:val="en-US"/>
        </w:rPr>
      </w:pPr>
      <w:bookmarkStart w:id="0" w:name="_GoBack"/>
      <w:r w:rsidRPr="00724834">
        <w:rPr>
          <w:rFonts w:ascii="Garamond" w:hAnsi="Garamond" w:cs="Times New Roman"/>
          <w:b/>
          <w:sz w:val="32"/>
          <w:szCs w:val="36"/>
          <w:lang w:val="en-US"/>
        </w:rPr>
        <w:t>Methodological appendix [Online only]</w:t>
      </w:r>
    </w:p>
    <w:p w:rsidR="007F1075" w:rsidRPr="00724834" w:rsidRDefault="007F1075" w:rsidP="007F1075">
      <w:pPr>
        <w:pStyle w:val="TOCHeading"/>
        <w:spacing w:after="240"/>
        <w:jc w:val="center"/>
        <w:rPr>
          <w:rFonts w:ascii="Garamond" w:eastAsiaTheme="minorHAnsi" w:hAnsi="Garamond" w:cs="Times New Roman"/>
          <w:b/>
          <w:color w:val="auto"/>
          <w:sz w:val="28"/>
          <w:szCs w:val="22"/>
        </w:rPr>
      </w:pPr>
      <w:r w:rsidRPr="00724834">
        <w:rPr>
          <w:rFonts w:ascii="Garamond" w:eastAsiaTheme="minorHAnsi" w:hAnsi="Garamond" w:cs="Times New Roman"/>
          <w:b/>
          <w:color w:val="auto"/>
          <w:sz w:val="28"/>
          <w:szCs w:val="22"/>
        </w:rPr>
        <w:t>Climate policy for the public? Affluence, congruence and lobbying success in EU climate policy</w:t>
      </w:r>
    </w:p>
    <w:p w:rsidR="007F1075" w:rsidRPr="00724834" w:rsidRDefault="007F1075" w:rsidP="007F1075">
      <w:pPr>
        <w:jc w:val="center"/>
        <w:rPr>
          <w:rFonts w:ascii="Garamond" w:hAnsi="Garamond" w:cs="Times New Roman"/>
          <w:i/>
          <w:sz w:val="28"/>
          <w:lang w:val="en-US"/>
        </w:rPr>
      </w:pPr>
      <w:r w:rsidRPr="00724834">
        <w:rPr>
          <w:rFonts w:ascii="Garamond" w:hAnsi="Garamond" w:cs="Times New Roman"/>
          <w:i/>
          <w:sz w:val="28"/>
          <w:lang w:val="en-US"/>
        </w:rPr>
        <w:t>Iskander De Bruycker &amp; Francesca Colli</w:t>
      </w:r>
    </w:p>
    <w:sdt>
      <w:sdtPr>
        <w:rPr>
          <w:rFonts w:ascii="Garamond" w:eastAsiaTheme="minorHAnsi" w:hAnsi="Garamond" w:cs="Times New Roman"/>
          <w:b/>
          <w:noProof/>
          <w:color w:val="auto"/>
          <w:sz w:val="24"/>
          <w:szCs w:val="22"/>
        </w:rPr>
        <w:id w:val="-173797920"/>
        <w:docPartObj>
          <w:docPartGallery w:val="Table of Contents"/>
          <w:docPartUnique/>
        </w:docPartObj>
      </w:sdtPr>
      <w:sdtEndPr>
        <w:rPr>
          <w:b w:val="0"/>
          <w:sz w:val="22"/>
        </w:rPr>
      </w:sdtEndPr>
      <w:sdtContent>
        <w:p w:rsidR="007F1075" w:rsidRPr="00724834" w:rsidRDefault="007F1075" w:rsidP="007F1075">
          <w:pPr>
            <w:pStyle w:val="TOCHeading"/>
            <w:spacing w:after="240"/>
            <w:rPr>
              <w:rFonts w:ascii="Garamond" w:hAnsi="Garamond" w:cs="Times New Roman"/>
              <w:b/>
              <w:color w:val="auto"/>
              <w:sz w:val="22"/>
              <w:szCs w:val="22"/>
            </w:rPr>
          </w:pPr>
          <w:r w:rsidRPr="00724834">
            <w:rPr>
              <w:rFonts w:ascii="Garamond" w:hAnsi="Garamond" w:cs="Times New Roman"/>
              <w:b/>
              <w:color w:val="auto"/>
              <w:sz w:val="22"/>
              <w:szCs w:val="22"/>
            </w:rPr>
            <w:t>Table of Contents</w:t>
          </w:r>
        </w:p>
        <w:p w:rsidR="007F1075" w:rsidRPr="00724834" w:rsidRDefault="007F1075">
          <w:pPr>
            <w:pStyle w:val="TOC1"/>
            <w:rPr>
              <w:rFonts w:ascii="Garamond" w:hAnsi="Garamond" w:cs="Times New Roman"/>
              <w:noProof w:val="0"/>
            </w:rPr>
          </w:pPr>
          <w:r w:rsidRPr="00724834">
            <w:rPr>
              <w:rFonts w:ascii="Garamond" w:hAnsi="Garamond" w:cs="Times New Roman"/>
              <w:noProof w:val="0"/>
            </w:rPr>
            <w:fldChar w:fldCharType="begin"/>
          </w:r>
          <w:r w:rsidRPr="00724834">
            <w:rPr>
              <w:rFonts w:ascii="Garamond" w:hAnsi="Garamond" w:cs="Times New Roman"/>
              <w:noProof w:val="0"/>
            </w:rPr>
            <w:instrText xml:space="preserve"> TOC \o "1-3" \h \z \u </w:instrText>
          </w:r>
          <w:r w:rsidRPr="00724834">
            <w:rPr>
              <w:rFonts w:ascii="Garamond" w:hAnsi="Garamond" w:cs="Times New Roman"/>
              <w:noProof w:val="0"/>
            </w:rPr>
            <w:fldChar w:fldCharType="separate"/>
          </w:r>
          <w:hyperlink w:anchor="_Toc132807386" w:history="1">
            <w:r w:rsidRPr="00724834">
              <w:rPr>
                <w:rFonts w:ascii="Garamond" w:hAnsi="Garamond"/>
                <w:noProof w:val="0"/>
              </w:rPr>
              <w:t>1.</w:t>
            </w:r>
            <w:r w:rsidRPr="00724834">
              <w:rPr>
                <w:rFonts w:ascii="Garamond" w:hAnsi="Garamond" w:cs="Times New Roman"/>
                <w:noProof w:val="0"/>
              </w:rPr>
              <w:tab/>
            </w:r>
            <w:r w:rsidRPr="00724834">
              <w:rPr>
                <w:rFonts w:ascii="Garamond" w:hAnsi="Garamond"/>
                <w:noProof w:val="0"/>
              </w:rPr>
              <w:t>Sampling strategy of the research project</w:t>
            </w:r>
            <w:r w:rsidRPr="00724834">
              <w:rPr>
                <w:rFonts w:ascii="Garamond" w:hAnsi="Garamond" w:cs="Times New Roman"/>
                <w:noProof w:val="0"/>
                <w:webHidden/>
              </w:rPr>
              <w:tab/>
            </w:r>
            <w:r w:rsidRPr="00724834">
              <w:rPr>
                <w:rFonts w:ascii="Garamond" w:hAnsi="Garamond" w:cs="Times New Roman"/>
                <w:noProof w:val="0"/>
                <w:webHidden/>
              </w:rPr>
              <w:fldChar w:fldCharType="begin"/>
            </w:r>
            <w:r w:rsidRPr="00724834">
              <w:rPr>
                <w:rFonts w:ascii="Garamond" w:hAnsi="Garamond" w:cs="Times New Roman"/>
                <w:noProof w:val="0"/>
                <w:webHidden/>
              </w:rPr>
              <w:instrText xml:space="preserve"> PAGEREF _Toc132807386 \h </w:instrText>
            </w:r>
            <w:r w:rsidRPr="00724834">
              <w:rPr>
                <w:rFonts w:ascii="Garamond" w:hAnsi="Garamond" w:cs="Times New Roman"/>
                <w:noProof w:val="0"/>
                <w:webHidden/>
              </w:rPr>
            </w:r>
            <w:r w:rsidRPr="00724834">
              <w:rPr>
                <w:rFonts w:ascii="Garamond" w:hAnsi="Garamond" w:cs="Times New Roman"/>
                <w:noProof w:val="0"/>
                <w:webHidden/>
              </w:rPr>
              <w:fldChar w:fldCharType="separate"/>
            </w:r>
            <w:r w:rsidRPr="00724834">
              <w:rPr>
                <w:rFonts w:ascii="Garamond" w:hAnsi="Garamond" w:cs="Times New Roman"/>
                <w:noProof w:val="0"/>
                <w:webHidden/>
              </w:rPr>
              <w:t>1</w:t>
            </w:r>
            <w:r w:rsidRPr="00724834">
              <w:rPr>
                <w:rFonts w:ascii="Garamond" w:hAnsi="Garamond" w:cs="Times New Roman"/>
                <w:noProof w:val="0"/>
                <w:webHidden/>
              </w:rPr>
              <w:fldChar w:fldCharType="end"/>
            </w:r>
          </w:hyperlink>
        </w:p>
        <w:p w:rsidR="007F1075" w:rsidRPr="00724834" w:rsidRDefault="007F1075">
          <w:pPr>
            <w:pStyle w:val="TOC1"/>
            <w:rPr>
              <w:rFonts w:ascii="Garamond" w:hAnsi="Garamond" w:cs="Times New Roman"/>
              <w:noProof w:val="0"/>
            </w:rPr>
          </w:pPr>
          <w:hyperlink w:anchor="_Toc132807387" w:history="1">
            <w:r w:rsidRPr="00724834">
              <w:rPr>
                <w:rFonts w:ascii="Garamond" w:hAnsi="Garamond"/>
                <w:noProof w:val="0"/>
              </w:rPr>
              <w:t>2.</w:t>
            </w:r>
            <w:r w:rsidRPr="00724834">
              <w:rPr>
                <w:rFonts w:ascii="Garamond" w:hAnsi="Garamond" w:cs="Times New Roman"/>
                <w:noProof w:val="0"/>
              </w:rPr>
              <w:tab/>
            </w:r>
            <w:r w:rsidRPr="00724834">
              <w:rPr>
                <w:rFonts w:ascii="Garamond" w:hAnsi="Garamond"/>
                <w:noProof w:val="0"/>
              </w:rPr>
              <w:t>Selection of media sources</w:t>
            </w:r>
            <w:r w:rsidRPr="00724834">
              <w:rPr>
                <w:rFonts w:ascii="Garamond" w:hAnsi="Garamond" w:cs="Times New Roman"/>
                <w:noProof w:val="0"/>
                <w:webHidden/>
              </w:rPr>
              <w:tab/>
            </w:r>
            <w:r w:rsidRPr="00724834">
              <w:rPr>
                <w:rFonts w:ascii="Garamond" w:hAnsi="Garamond" w:cs="Times New Roman"/>
                <w:noProof w:val="0"/>
                <w:webHidden/>
              </w:rPr>
              <w:fldChar w:fldCharType="begin"/>
            </w:r>
            <w:r w:rsidRPr="00724834">
              <w:rPr>
                <w:rFonts w:ascii="Garamond" w:hAnsi="Garamond" w:cs="Times New Roman"/>
                <w:noProof w:val="0"/>
                <w:webHidden/>
              </w:rPr>
              <w:instrText xml:space="preserve"> PAGEREF _Toc132807387 \h </w:instrText>
            </w:r>
            <w:r w:rsidRPr="00724834">
              <w:rPr>
                <w:rFonts w:ascii="Garamond" w:hAnsi="Garamond" w:cs="Times New Roman"/>
                <w:noProof w:val="0"/>
                <w:webHidden/>
              </w:rPr>
            </w:r>
            <w:r w:rsidRPr="00724834">
              <w:rPr>
                <w:rFonts w:ascii="Garamond" w:hAnsi="Garamond" w:cs="Times New Roman"/>
                <w:noProof w:val="0"/>
                <w:webHidden/>
              </w:rPr>
              <w:fldChar w:fldCharType="separate"/>
            </w:r>
            <w:r w:rsidRPr="00724834">
              <w:rPr>
                <w:rFonts w:ascii="Garamond" w:hAnsi="Garamond" w:cs="Times New Roman"/>
                <w:noProof w:val="0"/>
                <w:webHidden/>
              </w:rPr>
              <w:t>4</w:t>
            </w:r>
            <w:r w:rsidRPr="00724834">
              <w:rPr>
                <w:rFonts w:ascii="Garamond" w:hAnsi="Garamond" w:cs="Times New Roman"/>
                <w:noProof w:val="0"/>
                <w:webHidden/>
              </w:rPr>
              <w:fldChar w:fldCharType="end"/>
            </w:r>
          </w:hyperlink>
        </w:p>
        <w:p w:rsidR="007F1075" w:rsidRPr="00724834" w:rsidRDefault="007F1075">
          <w:pPr>
            <w:pStyle w:val="TOC1"/>
            <w:rPr>
              <w:rFonts w:ascii="Garamond" w:hAnsi="Garamond" w:cs="Times New Roman"/>
              <w:noProof w:val="0"/>
            </w:rPr>
          </w:pPr>
          <w:hyperlink w:anchor="_Toc132807388" w:history="1">
            <w:r w:rsidRPr="00724834">
              <w:rPr>
                <w:rFonts w:ascii="Garamond" w:hAnsi="Garamond"/>
                <w:noProof w:val="0"/>
              </w:rPr>
              <w:t>3.</w:t>
            </w:r>
            <w:r w:rsidRPr="00724834">
              <w:rPr>
                <w:rFonts w:ascii="Garamond" w:hAnsi="Garamond" w:cs="Times New Roman"/>
                <w:noProof w:val="0"/>
              </w:rPr>
              <w:tab/>
            </w:r>
            <w:r w:rsidRPr="00724834">
              <w:rPr>
                <w:rFonts w:ascii="Garamond" w:hAnsi="Garamond"/>
                <w:noProof w:val="0"/>
              </w:rPr>
              <w:t>Content analysis of media statements and quality controls</w:t>
            </w:r>
            <w:r w:rsidRPr="00724834">
              <w:rPr>
                <w:rFonts w:ascii="Garamond" w:hAnsi="Garamond" w:cs="Times New Roman"/>
                <w:noProof w:val="0"/>
                <w:webHidden/>
              </w:rPr>
              <w:tab/>
            </w:r>
            <w:r w:rsidRPr="00724834">
              <w:rPr>
                <w:rFonts w:ascii="Garamond" w:hAnsi="Garamond" w:cs="Times New Roman"/>
                <w:noProof w:val="0"/>
                <w:webHidden/>
              </w:rPr>
              <w:fldChar w:fldCharType="begin"/>
            </w:r>
            <w:r w:rsidRPr="00724834">
              <w:rPr>
                <w:rFonts w:ascii="Garamond" w:hAnsi="Garamond" w:cs="Times New Roman"/>
                <w:noProof w:val="0"/>
                <w:webHidden/>
              </w:rPr>
              <w:instrText xml:space="preserve"> PAGEREF _Toc132807388 \h </w:instrText>
            </w:r>
            <w:r w:rsidRPr="00724834">
              <w:rPr>
                <w:rFonts w:ascii="Garamond" w:hAnsi="Garamond" w:cs="Times New Roman"/>
                <w:noProof w:val="0"/>
                <w:webHidden/>
              </w:rPr>
            </w:r>
            <w:r w:rsidRPr="00724834">
              <w:rPr>
                <w:rFonts w:ascii="Garamond" w:hAnsi="Garamond" w:cs="Times New Roman"/>
                <w:noProof w:val="0"/>
                <w:webHidden/>
              </w:rPr>
              <w:fldChar w:fldCharType="separate"/>
            </w:r>
            <w:r w:rsidRPr="00724834">
              <w:rPr>
                <w:rFonts w:ascii="Garamond" w:hAnsi="Garamond" w:cs="Times New Roman"/>
                <w:noProof w:val="0"/>
                <w:webHidden/>
              </w:rPr>
              <w:t>6</w:t>
            </w:r>
            <w:r w:rsidRPr="00724834">
              <w:rPr>
                <w:rFonts w:ascii="Garamond" w:hAnsi="Garamond" w:cs="Times New Roman"/>
                <w:noProof w:val="0"/>
                <w:webHidden/>
              </w:rPr>
              <w:fldChar w:fldCharType="end"/>
            </w:r>
          </w:hyperlink>
        </w:p>
        <w:p w:rsidR="007F1075" w:rsidRPr="00724834" w:rsidRDefault="007F1075">
          <w:pPr>
            <w:pStyle w:val="TOC1"/>
            <w:rPr>
              <w:rFonts w:ascii="Garamond" w:hAnsi="Garamond" w:cs="Times New Roman"/>
              <w:noProof w:val="0"/>
            </w:rPr>
          </w:pPr>
          <w:hyperlink w:anchor="_Toc132807389" w:history="1">
            <w:r w:rsidRPr="00724834">
              <w:rPr>
                <w:rFonts w:ascii="Garamond" w:hAnsi="Garamond" w:cs="Times New Roman"/>
                <w:noProof w:val="0"/>
              </w:rPr>
              <w:t>4.</w:t>
            </w:r>
            <w:r w:rsidRPr="00724834">
              <w:rPr>
                <w:rFonts w:ascii="Garamond" w:hAnsi="Garamond" w:cs="Times New Roman"/>
                <w:noProof w:val="0"/>
              </w:rPr>
              <w:tab/>
              <w:t>The survey project</w:t>
            </w:r>
            <w:r w:rsidRPr="00724834">
              <w:rPr>
                <w:rFonts w:ascii="Garamond" w:hAnsi="Garamond" w:cs="Times New Roman"/>
                <w:noProof w:val="0"/>
                <w:webHidden/>
              </w:rPr>
              <w:tab/>
            </w:r>
            <w:r w:rsidRPr="00724834">
              <w:rPr>
                <w:rFonts w:ascii="Garamond" w:hAnsi="Garamond" w:cs="Times New Roman"/>
                <w:noProof w:val="0"/>
                <w:webHidden/>
              </w:rPr>
              <w:fldChar w:fldCharType="begin"/>
            </w:r>
            <w:r w:rsidRPr="00724834">
              <w:rPr>
                <w:rFonts w:ascii="Garamond" w:hAnsi="Garamond" w:cs="Times New Roman"/>
                <w:noProof w:val="0"/>
                <w:webHidden/>
              </w:rPr>
              <w:instrText xml:space="preserve"> PAGEREF _Toc132807389 \h </w:instrText>
            </w:r>
            <w:r w:rsidRPr="00724834">
              <w:rPr>
                <w:rFonts w:ascii="Garamond" w:hAnsi="Garamond" w:cs="Times New Roman"/>
                <w:noProof w:val="0"/>
                <w:webHidden/>
              </w:rPr>
            </w:r>
            <w:r w:rsidRPr="00724834">
              <w:rPr>
                <w:rFonts w:ascii="Garamond" w:hAnsi="Garamond" w:cs="Times New Roman"/>
                <w:noProof w:val="0"/>
                <w:webHidden/>
              </w:rPr>
              <w:fldChar w:fldCharType="separate"/>
            </w:r>
            <w:r w:rsidRPr="00724834">
              <w:rPr>
                <w:rFonts w:ascii="Garamond" w:hAnsi="Garamond" w:cs="Times New Roman"/>
                <w:noProof w:val="0"/>
                <w:webHidden/>
              </w:rPr>
              <w:t>8</w:t>
            </w:r>
            <w:r w:rsidRPr="00724834">
              <w:rPr>
                <w:rFonts w:ascii="Garamond" w:hAnsi="Garamond" w:cs="Times New Roman"/>
                <w:noProof w:val="0"/>
                <w:webHidden/>
              </w:rPr>
              <w:fldChar w:fldCharType="end"/>
            </w:r>
          </w:hyperlink>
        </w:p>
        <w:p w:rsidR="007F1075" w:rsidRPr="00724834" w:rsidRDefault="007F1075">
          <w:pPr>
            <w:pStyle w:val="TOC1"/>
            <w:rPr>
              <w:rFonts w:ascii="Garamond" w:hAnsi="Garamond" w:cs="Times New Roman"/>
              <w:noProof w:val="0"/>
            </w:rPr>
          </w:pPr>
          <w:hyperlink w:anchor="_Toc132807390" w:history="1">
            <w:r w:rsidRPr="00724834">
              <w:rPr>
                <w:rFonts w:ascii="Garamond" w:hAnsi="Garamond" w:cs="Times New Roman"/>
                <w:noProof w:val="0"/>
              </w:rPr>
              <w:t>5.</w:t>
            </w:r>
            <w:r w:rsidRPr="00724834">
              <w:rPr>
                <w:rFonts w:ascii="Garamond" w:hAnsi="Garamond" w:cs="Times New Roman"/>
                <w:noProof w:val="0"/>
              </w:rPr>
              <w:tab/>
              <w:t>Robustness check with attributed influence</w:t>
            </w:r>
            <w:r w:rsidRPr="00724834">
              <w:rPr>
                <w:rFonts w:ascii="Garamond" w:hAnsi="Garamond" w:cs="Times New Roman"/>
                <w:noProof w:val="0"/>
                <w:webHidden/>
              </w:rPr>
              <w:tab/>
            </w:r>
            <w:r w:rsidRPr="00724834">
              <w:rPr>
                <w:rFonts w:ascii="Garamond" w:hAnsi="Garamond" w:cs="Times New Roman"/>
                <w:noProof w:val="0"/>
                <w:webHidden/>
              </w:rPr>
              <w:fldChar w:fldCharType="begin"/>
            </w:r>
            <w:r w:rsidRPr="00724834">
              <w:rPr>
                <w:rFonts w:ascii="Garamond" w:hAnsi="Garamond" w:cs="Times New Roman"/>
                <w:noProof w:val="0"/>
                <w:webHidden/>
              </w:rPr>
              <w:instrText xml:space="preserve"> PAGEREF _Toc132807390 \h </w:instrText>
            </w:r>
            <w:r w:rsidRPr="00724834">
              <w:rPr>
                <w:rFonts w:ascii="Garamond" w:hAnsi="Garamond" w:cs="Times New Roman"/>
                <w:noProof w:val="0"/>
                <w:webHidden/>
              </w:rPr>
            </w:r>
            <w:r w:rsidRPr="00724834">
              <w:rPr>
                <w:rFonts w:ascii="Garamond" w:hAnsi="Garamond" w:cs="Times New Roman"/>
                <w:noProof w:val="0"/>
                <w:webHidden/>
              </w:rPr>
              <w:fldChar w:fldCharType="separate"/>
            </w:r>
            <w:r w:rsidRPr="00724834">
              <w:rPr>
                <w:rFonts w:ascii="Garamond" w:hAnsi="Garamond" w:cs="Times New Roman"/>
                <w:noProof w:val="0"/>
                <w:webHidden/>
              </w:rPr>
              <w:t>10</w:t>
            </w:r>
            <w:r w:rsidRPr="00724834">
              <w:rPr>
                <w:rFonts w:ascii="Garamond" w:hAnsi="Garamond" w:cs="Times New Roman"/>
                <w:noProof w:val="0"/>
                <w:webHidden/>
              </w:rPr>
              <w:fldChar w:fldCharType="end"/>
            </w:r>
          </w:hyperlink>
        </w:p>
        <w:p w:rsidR="007F1075" w:rsidRPr="00724834" w:rsidRDefault="007F1075">
          <w:pPr>
            <w:pStyle w:val="TOC1"/>
            <w:rPr>
              <w:rFonts w:ascii="Garamond" w:hAnsi="Garamond" w:cs="Times New Roman"/>
              <w:noProof w:val="0"/>
            </w:rPr>
          </w:pPr>
          <w:hyperlink w:anchor="_Toc132807391" w:history="1">
            <w:r w:rsidRPr="00724834">
              <w:rPr>
                <w:rFonts w:ascii="Garamond" w:hAnsi="Garamond" w:cs="Times New Roman"/>
                <w:noProof w:val="0"/>
              </w:rPr>
              <w:t>6.</w:t>
            </w:r>
            <w:r w:rsidRPr="00724834">
              <w:rPr>
                <w:rFonts w:ascii="Garamond" w:hAnsi="Garamond" w:cs="Times New Roman"/>
                <w:noProof w:val="0"/>
              </w:rPr>
              <w:tab/>
              <w:t>Robustness check with staff</w:t>
            </w:r>
            <w:r w:rsidRPr="00724834">
              <w:rPr>
                <w:rFonts w:ascii="Garamond" w:hAnsi="Garamond" w:cs="Times New Roman"/>
                <w:noProof w:val="0"/>
                <w:webHidden/>
              </w:rPr>
              <w:tab/>
            </w:r>
            <w:r w:rsidRPr="00724834">
              <w:rPr>
                <w:rFonts w:ascii="Garamond" w:hAnsi="Garamond" w:cs="Times New Roman"/>
                <w:noProof w:val="0"/>
                <w:webHidden/>
              </w:rPr>
              <w:fldChar w:fldCharType="begin"/>
            </w:r>
            <w:r w:rsidRPr="00724834">
              <w:rPr>
                <w:rFonts w:ascii="Garamond" w:hAnsi="Garamond" w:cs="Times New Roman"/>
                <w:noProof w:val="0"/>
                <w:webHidden/>
              </w:rPr>
              <w:instrText xml:space="preserve"> PAGEREF _Toc132807391 \h </w:instrText>
            </w:r>
            <w:r w:rsidRPr="00724834">
              <w:rPr>
                <w:rFonts w:ascii="Garamond" w:hAnsi="Garamond" w:cs="Times New Roman"/>
                <w:noProof w:val="0"/>
                <w:webHidden/>
              </w:rPr>
            </w:r>
            <w:r w:rsidRPr="00724834">
              <w:rPr>
                <w:rFonts w:ascii="Garamond" w:hAnsi="Garamond" w:cs="Times New Roman"/>
                <w:noProof w:val="0"/>
                <w:webHidden/>
              </w:rPr>
              <w:fldChar w:fldCharType="separate"/>
            </w:r>
            <w:r w:rsidRPr="00724834">
              <w:rPr>
                <w:rFonts w:ascii="Garamond" w:hAnsi="Garamond" w:cs="Times New Roman"/>
                <w:noProof w:val="0"/>
                <w:webHidden/>
              </w:rPr>
              <w:t>12</w:t>
            </w:r>
            <w:r w:rsidRPr="00724834">
              <w:rPr>
                <w:rFonts w:ascii="Garamond" w:hAnsi="Garamond" w:cs="Times New Roman"/>
                <w:noProof w:val="0"/>
                <w:webHidden/>
              </w:rPr>
              <w:fldChar w:fldCharType="end"/>
            </w:r>
          </w:hyperlink>
        </w:p>
        <w:p w:rsidR="007F1075" w:rsidRPr="00724834" w:rsidRDefault="007F1075">
          <w:pPr>
            <w:pStyle w:val="TOC1"/>
            <w:rPr>
              <w:rFonts w:ascii="Garamond" w:hAnsi="Garamond" w:cs="Times New Roman"/>
              <w:noProof w:val="0"/>
            </w:rPr>
          </w:pPr>
          <w:hyperlink w:anchor="_Toc132807392" w:history="1">
            <w:r w:rsidRPr="00724834">
              <w:rPr>
                <w:rFonts w:ascii="Garamond" w:hAnsi="Garamond" w:cs="Times New Roman"/>
                <w:noProof w:val="0"/>
              </w:rPr>
              <w:t>7.</w:t>
            </w:r>
            <w:r w:rsidRPr="00724834">
              <w:rPr>
                <w:rFonts w:ascii="Garamond" w:hAnsi="Garamond" w:cs="Times New Roman"/>
                <w:noProof w:val="0"/>
              </w:rPr>
              <w:tab/>
              <w:t>Robustness check including groups with an unclear position</w:t>
            </w:r>
            <w:r w:rsidRPr="00724834">
              <w:rPr>
                <w:rFonts w:ascii="Garamond" w:hAnsi="Garamond" w:cs="Times New Roman"/>
                <w:noProof w:val="0"/>
                <w:webHidden/>
              </w:rPr>
              <w:tab/>
            </w:r>
            <w:r w:rsidRPr="00724834">
              <w:rPr>
                <w:rFonts w:ascii="Garamond" w:hAnsi="Garamond" w:cs="Times New Roman"/>
                <w:noProof w:val="0"/>
                <w:webHidden/>
              </w:rPr>
              <w:fldChar w:fldCharType="begin"/>
            </w:r>
            <w:r w:rsidRPr="00724834">
              <w:rPr>
                <w:rFonts w:ascii="Garamond" w:hAnsi="Garamond" w:cs="Times New Roman"/>
                <w:noProof w:val="0"/>
                <w:webHidden/>
              </w:rPr>
              <w:instrText xml:space="preserve"> PAGEREF _Toc132807392 \h </w:instrText>
            </w:r>
            <w:r w:rsidRPr="00724834">
              <w:rPr>
                <w:rFonts w:ascii="Garamond" w:hAnsi="Garamond" w:cs="Times New Roman"/>
                <w:noProof w:val="0"/>
                <w:webHidden/>
              </w:rPr>
            </w:r>
            <w:r w:rsidRPr="00724834">
              <w:rPr>
                <w:rFonts w:ascii="Garamond" w:hAnsi="Garamond" w:cs="Times New Roman"/>
                <w:noProof w:val="0"/>
                <w:webHidden/>
              </w:rPr>
              <w:fldChar w:fldCharType="separate"/>
            </w:r>
            <w:r w:rsidRPr="00724834">
              <w:rPr>
                <w:rFonts w:ascii="Garamond" w:hAnsi="Garamond" w:cs="Times New Roman"/>
                <w:noProof w:val="0"/>
                <w:webHidden/>
              </w:rPr>
              <w:t>13</w:t>
            </w:r>
            <w:r w:rsidRPr="00724834">
              <w:rPr>
                <w:rFonts w:ascii="Garamond" w:hAnsi="Garamond" w:cs="Times New Roman"/>
                <w:noProof w:val="0"/>
                <w:webHidden/>
              </w:rPr>
              <w:fldChar w:fldCharType="end"/>
            </w:r>
          </w:hyperlink>
        </w:p>
        <w:p w:rsidR="007F1075" w:rsidRPr="00724834" w:rsidRDefault="007F1075">
          <w:pPr>
            <w:pStyle w:val="TOC1"/>
            <w:rPr>
              <w:rFonts w:ascii="Garamond" w:hAnsi="Garamond" w:cs="Times New Roman"/>
              <w:noProof w:val="0"/>
            </w:rPr>
          </w:pPr>
          <w:hyperlink w:anchor="_Toc132807393" w:history="1">
            <w:r w:rsidRPr="00724834">
              <w:rPr>
                <w:rFonts w:ascii="Garamond" w:hAnsi="Garamond" w:cs="Times New Roman"/>
                <w:noProof w:val="0"/>
              </w:rPr>
              <w:t>8.</w:t>
            </w:r>
            <w:r w:rsidRPr="00724834">
              <w:rPr>
                <w:rFonts w:ascii="Garamond" w:hAnsi="Garamond" w:cs="Times New Roman"/>
                <w:noProof w:val="0"/>
              </w:rPr>
              <w:tab/>
              <w:t>Robustness check including groups’ lobbying budgets over time</w:t>
            </w:r>
            <w:r w:rsidRPr="00724834">
              <w:rPr>
                <w:rFonts w:ascii="Garamond" w:hAnsi="Garamond" w:cs="Times New Roman"/>
                <w:noProof w:val="0"/>
                <w:webHidden/>
              </w:rPr>
              <w:tab/>
            </w:r>
            <w:r w:rsidRPr="00724834">
              <w:rPr>
                <w:rFonts w:ascii="Garamond" w:hAnsi="Garamond" w:cs="Times New Roman"/>
                <w:noProof w:val="0"/>
                <w:webHidden/>
              </w:rPr>
              <w:fldChar w:fldCharType="begin"/>
            </w:r>
            <w:r w:rsidRPr="00724834">
              <w:rPr>
                <w:rFonts w:ascii="Garamond" w:hAnsi="Garamond" w:cs="Times New Roman"/>
                <w:noProof w:val="0"/>
                <w:webHidden/>
              </w:rPr>
              <w:instrText xml:space="preserve"> PAGEREF _Toc132807393 \h </w:instrText>
            </w:r>
            <w:r w:rsidRPr="00724834">
              <w:rPr>
                <w:rFonts w:ascii="Garamond" w:hAnsi="Garamond" w:cs="Times New Roman"/>
                <w:noProof w:val="0"/>
                <w:webHidden/>
              </w:rPr>
            </w:r>
            <w:r w:rsidRPr="00724834">
              <w:rPr>
                <w:rFonts w:ascii="Garamond" w:hAnsi="Garamond" w:cs="Times New Roman"/>
                <w:noProof w:val="0"/>
                <w:webHidden/>
              </w:rPr>
              <w:fldChar w:fldCharType="separate"/>
            </w:r>
            <w:r w:rsidRPr="00724834">
              <w:rPr>
                <w:rFonts w:ascii="Garamond" w:hAnsi="Garamond" w:cs="Times New Roman"/>
                <w:noProof w:val="0"/>
                <w:webHidden/>
              </w:rPr>
              <w:t>16</w:t>
            </w:r>
            <w:r w:rsidRPr="00724834">
              <w:rPr>
                <w:rFonts w:ascii="Garamond" w:hAnsi="Garamond" w:cs="Times New Roman"/>
                <w:noProof w:val="0"/>
                <w:webHidden/>
              </w:rPr>
              <w:fldChar w:fldCharType="end"/>
            </w:r>
          </w:hyperlink>
        </w:p>
        <w:p w:rsidR="007F1075" w:rsidRPr="00724834" w:rsidRDefault="007F1075">
          <w:pPr>
            <w:pStyle w:val="TOC1"/>
            <w:rPr>
              <w:rFonts w:ascii="Garamond" w:hAnsi="Garamond" w:cs="Times New Roman"/>
              <w:noProof w:val="0"/>
            </w:rPr>
          </w:pPr>
          <w:hyperlink w:anchor="_Toc132807394" w:history="1">
            <w:r w:rsidRPr="00724834">
              <w:rPr>
                <w:rFonts w:ascii="Garamond" w:hAnsi="Garamond" w:cs="Times New Roman"/>
                <w:noProof w:val="0"/>
              </w:rPr>
              <w:t>9.</w:t>
            </w:r>
            <w:r w:rsidRPr="00724834">
              <w:rPr>
                <w:rFonts w:ascii="Garamond" w:hAnsi="Garamond" w:cs="Times New Roman"/>
                <w:noProof w:val="0"/>
              </w:rPr>
              <w:tab/>
              <w:t>Robustness check without imputation for lobbying budgets</w:t>
            </w:r>
            <w:r w:rsidRPr="00724834">
              <w:rPr>
                <w:rFonts w:ascii="Garamond" w:hAnsi="Garamond" w:cs="Times New Roman"/>
                <w:noProof w:val="0"/>
                <w:webHidden/>
              </w:rPr>
              <w:tab/>
            </w:r>
            <w:r w:rsidRPr="00724834">
              <w:rPr>
                <w:rFonts w:ascii="Garamond" w:hAnsi="Garamond" w:cs="Times New Roman"/>
                <w:noProof w:val="0"/>
                <w:webHidden/>
              </w:rPr>
              <w:fldChar w:fldCharType="begin"/>
            </w:r>
            <w:r w:rsidRPr="00724834">
              <w:rPr>
                <w:rFonts w:ascii="Garamond" w:hAnsi="Garamond" w:cs="Times New Roman"/>
                <w:noProof w:val="0"/>
                <w:webHidden/>
              </w:rPr>
              <w:instrText xml:space="preserve"> PAGEREF _Toc132807394 \h </w:instrText>
            </w:r>
            <w:r w:rsidRPr="00724834">
              <w:rPr>
                <w:rFonts w:ascii="Garamond" w:hAnsi="Garamond" w:cs="Times New Roman"/>
                <w:noProof w:val="0"/>
                <w:webHidden/>
              </w:rPr>
            </w:r>
            <w:r w:rsidRPr="00724834">
              <w:rPr>
                <w:rFonts w:ascii="Garamond" w:hAnsi="Garamond" w:cs="Times New Roman"/>
                <w:noProof w:val="0"/>
                <w:webHidden/>
              </w:rPr>
              <w:fldChar w:fldCharType="separate"/>
            </w:r>
            <w:r w:rsidRPr="00724834">
              <w:rPr>
                <w:rFonts w:ascii="Garamond" w:hAnsi="Garamond" w:cs="Times New Roman"/>
                <w:noProof w:val="0"/>
                <w:webHidden/>
              </w:rPr>
              <w:t>18</w:t>
            </w:r>
            <w:r w:rsidRPr="00724834">
              <w:rPr>
                <w:rFonts w:ascii="Garamond" w:hAnsi="Garamond" w:cs="Times New Roman"/>
                <w:noProof w:val="0"/>
                <w:webHidden/>
              </w:rPr>
              <w:fldChar w:fldCharType="end"/>
            </w:r>
          </w:hyperlink>
        </w:p>
        <w:p w:rsidR="007F1075" w:rsidRPr="00724834" w:rsidRDefault="007F1075">
          <w:pPr>
            <w:pStyle w:val="TOC1"/>
            <w:rPr>
              <w:rFonts w:ascii="Garamond" w:hAnsi="Garamond" w:cs="Times New Roman"/>
              <w:noProof w:val="0"/>
            </w:rPr>
          </w:pPr>
          <w:hyperlink w:anchor="_Toc132807395" w:history="1">
            <w:r w:rsidRPr="00724834">
              <w:rPr>
                <w:rFonts w:ascii="Garamond" w:hAnsi="Garamond" w:cs="Times New Roman"/>
                <w:noProof w:val="0"/>
              </w:rPr>
              <w:t>10.</w:t>
            </w:r>
            <w:r w:rsidRPr="00724834">
              <w:rPr>
                <w:rFonts w:ascii="Garamond" w:hAnsi="Garamond" w:cs="Times New Roman"/>
                <w:noProof w:val="0"/>
              </w:rPr>
              <w:tab/>
              <w:t>References</w:t>
            </w:r>
            <w:r w:rsidRPr="00724834">
              <w:rPr>
                <w:rFonts w:ascii="Garamond" w:hAnsi="Garamond" w:cs="Times New Roman"/>
                <w:noProof w:val="0"/>
                <w:webHidden/>
              </w:rPr>
              <w:tab/>
            </w:r>
            <w:r w:rsidRPr="00724834">
              <w:rPr>
                <w:rFonts w:ascii="Garamond" w:hAnsi="Garamond" w:cs="Times New Roman"/>
                <w:noProof w:val="0"/>
                <w:webHidden/>
              </w:rPr>
              <w:fldChar w:fldCharType="begin"/>
            </w:r>
            <w:r w:rsidRPr="00724834">
              <w:rPr>
                <w:rFonts w:ascii="Garamond" w:hAnsi="Garamond" w:cs="Times New Roman"/>
                <w:noProof w:val="0"/>
                <w:webHidden/>
              </w:rPr>
              <w:instrText xml:space="preserve"> PAGEREF _Toc132807395 \h </w:instrText>
            </w:r>
            <w:r w:rsidRPr="00724834">
              <w:rPr>
                <w:rFonts w:ascii="Garamond" w:hAnsi="Garamond" w:cs="Times New Roman"/>
                <w:noProof w:val="0"/>
                <w:webHidden/>
              </w:rPr>
            </w:r>
            <w:r w:rsidRPr="00724834">
              <w:rPr>
                <w:rFonts w:ascii="Garamond" w:hAnsi="Garamond" w:cs="Times New Roman"/>
                <w:noProof w:val="0"/>
                <w:webHidden/>
              </w:rPr>
              <w:fldChar w:fldCharType="separate"/>
            </w:r>
            <w:r w:rsidRPr="00724834">
              <w:rPr>
                <w:rFonts w:ascii="Garamond" w:hAnsi="Garamond" w:cs="Times New Roman"/>
                <w:noProof w:val="0"/>
                <w:webHidden/>
              </w:rPr>
              <w:t>20</w:t>
            </w:r>
            <w:r w:rsidRPr="00724834">
              <w:rPr>
                <w:rFonts w:ascii="Garamond" w:hAnsi="Garamond" w:cs="Times New Roman"/>
                <w:noProof w:val="0"/>
                <w:webHidden/>
              </w:rPr>
              <w:fldChar w:fldCharType="end"/>
            </w:r>
          </w:hyperlink>
        </w:p>
        <w:p w:rsidR="007F1075" w:rsidRPr="00724834" w:rsidRDefault="007F1075" w:rsidP="007F1075">
          <w:pPr>
            <w:pStyle w:val="TOC1"/>
            <w:rPr>
              <w:rFonts w:ascii="Garamond" w:hAnsi="Garamond" w:cs="Times New Roman"/>
              <w:noProof w:val="0"/>
            </w:rPr>
          </w:pPr>
          <w:r w:rsidRPr="00724834">
            <w:rPr>
              <w:rFonts w:ascii="Garamond" w:hAnsi="Garamond" w:cs="Times New Roman"/>
              <w:noProof w:val="0"/>
            </w:rPr>
            <w:fldChar w:fldCharType="end"/>
          </w:r>
        </w:p>
      </w:sdtContent>
    </w:sdt>
    <w:p w:rsidR="007F1075" w:rsidRPr="00724834" w:rsidRDefault="007F1075" w:rsidP="007F1075">
      <w:pPr>
        <w:pStyle w:val="Heading1"/>
        <w:rPr>
          <w:rFonts w:cs="Times New Roman"/>
        </w:rPr>
      </w:pPr>
      <w:r w:rsidRPr="00724834">
        <w:rPr>
          <w:rFonts w:cs="Times New Roman"/>
        </w:rPr>
        <w:t xml:space="preserve"> </w:t>
      </w:r>
      <w:bookmarkStart w:id="1" w:name="_Toc132807386"/>
      <w:r w:rsidRPr="00724834">
        <w:rPr>
          <w:rFonts w:cs="Times New Roman"/>
        </w:rPr>
        <w:t>Sampling strategy of the research project</w:t>
      </w:r>
      <w:bookmarkEnd w:id="1"/>
    </w:p>
    <w:p w:rsidR="007F1075" w:rsidRPr="00724834" w:rsidRDefault="007F1075" w:rsidP="007F1075">
      <w:pPr>
        <w:spacing w:before="240" w:line="480" w:lineRule="auto"/>
        <w:jc w:val="both"/>
        <w:rPr>
          <w:rFonts w:ascii="Garamond" w:hAnsi="Garamond" w:cs="Times New Roman"/>
          <w:lang w:val="en-US"/>
        </w:rPr>
      </w:pPr>
      <w:r w:rsidRPr="00724834">
        <w:rPr>
          <w:rFonts w:ascii="Garamond" w:hAnsi="Garamond" w:cs="Times New Roman"/>
          <w:lang w:val="en-US"/>
        </w:rPr>
        <w:t xml:space="preserve">The starting point for the project is a sample of 41 issues drawn from Eurobarometer polls for which the fieldwork concluded between January 1, 2012, and December 31, 2014. Eurobarometer, a policy tool of the European Commission, comprises a collection of surveys on various topics across the EU member states. The tool keeps track of important dynamics and preferences within the European demos. The standard Eurobarometer survey is repeated biannually, while the Special and Flash Eurobarometer studies are conducted ad hoc and revolve around specific topics or trends. </w:t>
      </w:r>
    </w:p>
    <w:p w:rsidR="007F1075" w:rsidRPr="00724834" w:rsidRDefault="007F1075" w:rsidP="007F1075">
      <w:pPr>
        <w:spacing w:line="480" w:lineRule="auto"/>
        <w:ind w:firstLine="720"/>
        <w:jc w:val="both"/>
        <w:rPr>
          <w:rFonts w:ascii="Garamond" w:hAnsi="Garamond" w:cs="Times New Roman"/>
          <w:lang w:val="en-US"/>
        </w:rPr>
      </w:pPr>
      <w:r w:rsidRPr="00724834">
        <w:rPr>
          <w:rFonts w:ascii="Garamond" w:hAnsi="Garamond" w:cs="Times New Roman"/>
          <w:lang w:val="en-US"/>
        </w:rPr>
        <w:t xml:space="preserve">In this study, an issue is operationalized as a </w:t>
      </w:r>
      <w:r w:rsidRPr="00724834">
        <w:rPr>
          <w:rFonts w:ascii="Garamond" w:hAnsi="Garamond" w:cs="Times New Roman"/>
          <w:i/>
          <w:lang w:val="en-US"/>
        </w:rPr>
        <w:t>specific</w:t>
      </w:r>
      <w:r w:rsidRPr="00724834">
        <w:rPr>
          <w:rFonts w:ascii="Garamond" w:hAnsi="Garamond" w:cs="Times New Roman"/>
          <w:lang w:val="en-US"/>
        </w:rPr>
        <w:t xml:space="preserve"> policy topic for which the EU is at least partially competent and for which citizens in all EU member states were surveyed. First, only questions that were surveyed in </w:t>
      </w:r>
      <w:r w:rsidRPr="00724834">
        <w:rPr>
          <w:rFonts w:ascii="Garamond" w:hAnsi="Garamond" w:cs="Times New Roman"/>
          <w:i/>
          <w:lang w:val="en-US"/>
        </w:rPr>
        <w:t>all</w:t>
      </w:r>
      <w:r w:rsidRPr="00724834">
        <w:rPr>
          <w:rFonts w:ascii="Garamond" w:hAnsi="Garamond" w:cs="Times New Roman"/>
          <w:lang w:val="en-US"/>
        </w:rPr>
        <w:t xml:space="preserve"> EU member states and that dealt with citizens (as opposed to companies) were selected. Second, only issues that could be connected to a specific policy were retained. Third, since EU policymakers cannot be responsive to issues for which they lack competence, issues for which the EU has no policy competence were </w:t>
      </w:r>
      <w:r w:rsidRPr="00724834">
        <w:rPr>
          <w:rFonts w:ascii="Garamond" w:hAnsi="Garamond" w:cs="Times New Roman"/>
          <w:lang w:val="en-US"/>
        </w:rPr>
        <w:lastRenderedPageBreak/>
        <w:t xml:space="preserve">therefore excluded from the sample. Finally, we considered only questions that pertained to the opinion of citizens in terms of agreement or disagreement about a specific policy </w:t>
      </w:r>
      <w:r w:rsidRPr="00724834">
        <w:rPr>
          <w:rFonts w:ascii="Garamond" w:hAnsi="Garamond" w:cs="Times New Roman"/>
          <w:lang w:val="en-US"/>
        </w:rPr>
        <w:fldChar w:fldCharType="begin"/>
      </w:r>
      <w:r w:rsidRPr="00724834">
        <w:rPr>
          <w:rFonts w:ascii="Garamond" w:hAnsi="Garamond" w:cs="Times New Roman"/>
          <w:lang w:val="en-US"/>
        </w:rPr>
        <w:instrText xml:space="preserve"> ADDIN EN.CITE &lt;EndNote&gt;&lt;Cite&gt;&lt;Author&gt;Rasmussen&lt;/Author&gt;&lt;Year&gt;2017&lt;/Year&gt;&lt;RecNum&gt;717&lt;/RecNum&gt;&lt;Prefix&gt;see &lt;/Prefix&gt;&lt;DisplayText&gt;(see Rasmussen et al., 2017)&lt;/DisplayText&gt;&lt;record&gt;&lt;rec-number&gt;717&lt;/rec-number&gt;&lt;foreign-keys&gt;&lt;key app="EN" db-id="tx520afr7pfex7edev4v5wecs0w29tprfste" timestamp="1491904019"&gt;717&lt;/key&gt;&lt;/foreign-keys&gt;&lt;ref-type name="Journal Article"&gt;17&lt;/ref-type&gt;&lt;contributors&gt;&lt;authors&gt;&lt;author&gt;Rasmussen, Anne&lt;/author&gt;&lt;author&gt;Mäder, Lars Kai&lt;/author&gt;&lt;author&gt;Reher, Stefanie&lt;/author&gt;&lt;/authors&gt;&lt;/contributors&gt;&lt;titles&gt;&lt;title&gt;With a Little Help From The People? The Role of Public Opinion in Advocacy Success&lt;/title&gt;&lt;secondary-title&gt;Comparative Political Studies&lt;/secondary-title&gt;&lt;/titles&gt;&lt;periodical&gt;&lt;full-title&gt;Comparative Political Studies&lt;/full-title&gt;&lt;abbr-1&gt;Comp Polit Stud&lt;/abbr-1&gt;&lt;/periodical&gt;&lt;pages&gt;0010414017695334&lt;/pages&gt;&lt;dates&gt;&lt;year&gt;2017&lt;/year&gt;&lt;/dates&gt;&lt;isbn&gt;0010-4140&lt;/isbn&gt;&lt;urls&gt;&lt;/urls&gt;&lt;/record&gt;&lt;/Cite&gt;&lt;/EndNote&gt;</w:instrText>
      </w:r>
      <w:r w:rsidRPr="00724834">
        <w:rPr>
          <w:rFonts w:ascii="Garamond" w:hAnsi="Garamond" w:cs="Times New Roman"/>
          <w:lang w:val="en-US"/>
        </w:rPr>
        <w:fldChar w:fldCharType="separate"/>
      </w:r>
      <w:r w:rsidRPr="00724834">
        <w:rPr>
          <w:rFonts w:ascii="Garamond" w:hAnsi="Garamond" w:cs="Times New Roman"/>
          <w:lang w:val="en-US"/>
        </w:rPr>
        <w:t>(see Rasmussen et al., 2018)</w:t>
      </w:r>
      <w:r w:rsidRPr="00724834">
        <w:rPr>
          <w:rFonts w:ascii="Garamond" w:hAnsi="Garamond" w:cs="Times New Roman"/>
          <w:lang w:val="en-US"/>
        </w:rPr>
        <w:fldChar w:fldCharType="end"/>
      </w:r>
      <w:r w:rsidRPr="00724834">
        <w:rPr>
          <w:rFonts w:ascii="Garamond" w:hAnsi="Garamond" w:cs="Times New Roman"/>
          <w:lang w:val="en-US"/>
        </w:rPr>
        <w:t xml:space="preserve"> or objective, such as the financial transaction tax, the banking union or a free trade agreement between the US and the EU. With this operationalization, less than 1% of the questions raised in Eurobarometer surveys qualified as issues.</w:t>
      </w:r>
    </w:p>
    <w:p w:rsidR="007F1075" w:rsidRPr="00724834" w:rsidRDefault="007F1075" w:rsidP="007F1075">
      <w:pPr>
        <w:spacing w:line="480" w:lineRule="auto"/>
        <w:ind w:firstLine="720"/>
        <w:jc w:val="both"/>
        <w:rPr>
          <w:rFonts w:ascii="Garamond" w:hAnsi="Garamond" w:cs="Times New Roman"/>
          <w:lang w:val="en-US"/>
        </w:rPr>
      </w:pPr>
      <w:r w:rsidRPr="00724834">
        <w:rPr>
          <w:rFonts w:ascii="Garamond" w:hAnsi="Garamond" w:cs="Times New Roman"/>
          <w:lang w:val="en-US"/>
        </w:rPr>
        <w:t>The operationalization of issues and the criteria resulting from this operationalization can be summarized by the acronym DISCO:</w:t>
      </w:r>
    </w:p>
    <w:p w:rsidR="007F1075" w:rsidRPr="00724834" w:rsidRDefault="007F1075" w:rsidP="007F1075">
      <w:pPr>
        <w:pStyle w:val="ListParagraph"/>
        <w:numPr>
          <w:ilvl w:val="0"/>
          <w:numId w:val="21"/>
        </w:numPr>
        <w:spacing w:after="200" w:line="480" w:lineRule="auto"/>
        <w:jc w:val="both"/>
        <w:rPr>
          <w:rFonts w:ascii="Garamond" w:hAnsi="Garamond" w:cs="Times New Roman"/>
          <w:lang w:val="en-US"/>
        </w:rPr>
      </w:pPr>
      <w:r w:rsidRPr="00724834">
        <w:rPr>
          <w:rFonts w:ascii="Garamond" w:hAnsi="Garamond" w:cs="Times New Roman"/>
          <w:b/>
          <w:bCs/>
          <w:u w:val="single"/>
          <w:lang w:val="en-US"/>
        </w:rPr>
        <w:t>D</w:t>
      </w:r>
      <w:r w:rsidRPr="00724834">
        <w:rPr>
          <w:rFonts w:ascii="Garamond" w:hAnsi="Garamond" w:cs="Times New Roman"/>
          <w:u w:val="single"/>
          <w:lang w:val="en-US"/>
        </w:rPr>
        <w:t>ata availability:</w:t>
      </w:r>
      <w:r w:rsidRPr="00724834">
        <w:rPr>
          <w:rFonts w:ascii="Garamond" w:hAnsi="Garamond" w:cs="Times New Roman"/>
          <w:lang w:val="en-US"/>
        </w:rPr>
        <w:t xml:space="preserve"> Public opinion data are available on the topic.</w:t>
      </w:r>
    </w:p>
    <w:p w:rsidR="007F1075" w:rsidRPr="00724834" w:rsidRDefault="007F1075" w:rsidP="007F1075">
      <w:pPr>
        <w:pStyle w:val="ListParagraph"/>
        <w:numPr>
          <w:ilvl w:val="0"/>
          <w:numId w:val="21"/>
        </w:numPr>
        <w:spacing w:after="200" w:line="480" w:lineRule="auto"/>
        <w:jc w:val="both"/>
        <w:rPr>
          <w:rFonts w:ascii="Garamond" w:hAnsi="Garamond" w:cs="Times New Roman"/>
          <w:lang w:val="en-US"/>
        </w:rPr>
      </w:pPr>
      <w:r w:rsidRPr="00724834">
        <w:rPr>
          <w:rFonts w:ascii="Garamond" w:hAnsi="Garamond" w:cs="Times New Roman"/>
          <w:b/>
          <w:bCs/>
          <w:u w:val="single"/>
          <w:lang w:val="en-US"/>
        </w:rPr>
        <w:t>I</w:t>
      </w:r>
      <w:r w:rsidRPr="00724834">
        <w:rPr>
          <w:rFonts w:ascii="Garamond" w:hAnsi="Garamond" w:cs="Times New Roman"/>
          <w:u w:val="single"/>
          <w:lang w:val="en-US"/>
        </w:rPr>
        <w:t>nclusive</w:t>
      </w:r>
      <w:r w:rsidRPr="00724834">
        <w:rPr>
          <w:rFonts w:ascii="Garamond" w:hAnsi="Garamond" w:cs="Times New Roman"/>
          <w:lang w:val="en-US"/>
        </w:rPr>
        <w:t>: Citizens in all EU member states were surveyed.</w:t>
      </w:r>
    </w:p>
    <w:p w:rsidR="007F1075" w:rsidRPr="00724834" w:rsidRDefault="007F1075" w:rsidP="007F1075">
      <w:pPr>
        <w:pStyle w:val="ListParagraph"/>
        <w:numPr>
          <w:ilvl w:val="0"/>
          <w:numId w:val="21"/>
        </w:numPr>
        <w:spacing w:after="200" w:line="480" w:lineRule="auto"/>
        <w:jc w:val="both"/>
        <w:rPr>
          <w:rFonts w:ascii="Garamond" w:hAnsi="Garamond" w:cs="Times New Roman"/>
          <w:lang w:val="en-US"/>
        </w:rPr>
      </w:pPr>
      <w:r w:rsidRPr="00724834">
        <w:rPr>
          <w:rFonts w:ascii="Garamond" w:hAnsi="Garamond" w:cs="Times New Roman"/>
          <w:b/>
          <w:bCs/>
          <w:u w:val="single"/>
          <w:lang w:val="en-US"/>
        </w:rPr>
        <w:t>S</w:t>
      </w:r>
      <w:r w:rsidRPr="00724834">
        <w:rPr>
          <w:rFonts w:ascii="Garamond" w:hAnsi="Garamond" w:cs="Times New Roman"/>
          <w:u w:val="single"/>
          <w:lang w:val="en-US"/>
        </w:rPr>
        <w:t>pecific</w:t>
      </w:r>
      <w:r w:rsidRPr="00724834">
        <w:rPr>
          <w:rFonts w:ascii="Garamond" w:hAnsi="Garamond" w:cs="Times New Roman"/>
          <w:lang w:val="en-US"/>
        </w:rPr>
        <w:t xml:space="preserve">: The survey question deals with specific policy. </w:t>
      </w:r>
    </w:p>
    <w:p w:rsidR="007F1075" w:rsidRPr="00724834" w:rsidRDefault="007F1075" w:rsidP="007F1075">
      <w:pPr>
        <w:pStyle w:val="ListParagraph"/>
        <w:numPr>
          <w:ilvl w:val="0"/>
          <w:numId w:val="21"/>
        </w:numPr>
        <w:spacing w:after="200" w:line="480" w:lineRule="auto"/>
        <w:jc w:val="both"/>
        <w:rPr>
          <w:rFonts w:ascii="Garamond" w:hAnsi="Garamond" w:cs="Times New Roman"/>
          <w:lang w:val="en-US"/>
        </w:rPr>
      </w:pPr>
      <w:r w:rsidRPr="00724834">
        <w:rPr>
          <w:rFonts w:ascii="Garamond" w:hAnsi="Garamond" w:cs="Times New Roman"/>
          <w:b/>
          <w:bCs/>
          <w:u w:val="single"/>
          <w:lang w:val="en-US"/>
        </w:rPr>
        <w:t>C</w:t>
      </w:r>
      <w:r w:rsidRPr="00724834">
        <w:rPr>
          <w:rFonts w:ascii="Garamond" w:hAnsi="Garamond" w:cs="Times New Roman"/>
          <w:u w:val="single"/>
          <w:lang w:val="en-US"/>
        </w:rPr>
        <w:t>ompetence</w:t>
      </w:r>
      <w:r w:rsidRPr="00724834">
        <w:rPr>
          <w:rFonts w:ascii="Garamond" w:hAnsi="Garamond" w:cs="Times New Roman"/>
          <w:lang w:val="en-US"/>
        </w:rPr>
        <w:t>: The topic of the question falls (partially) within the competences of the EU.</w:t>
      </w:r>
    </w:p>
    <w:p w:rsidR="007F1075" w:rsidRPr="00724834" w:rsidRDefault="007F1075" w:rsidP="007F1075">
      <w:pPr>
        <w:pStyle w:val="ListParagraph"/>
        <w:numPr>
          <w:ilvl w:val="0"/>
          <w:numId w:val="21"/>
        </w:numPr>
        <w:spacing w:after="200" w:line="480" w:lineRule="auto"/>
        <w:jc w:val="both"/>
        <w:rPr>
          <w:rFonts w:ascii="Garamond" w:hAnsi="Garamond" w:cs="Times New Roman"/>
          <w:lang w:val="en-US"/>
        </w:rPr>
      </w:pPr>
      <w:r w:rsidRPr="00724834">
        <w:rPr>
          <w:rFonts w:ascii="Garamond" w:hAnsi="Garamond" w:cs="Times New Roman"/>
          <w:b/>
          <w:bCs/>
          <w:u w:val="single"/>
          <w:lang w:val="en-US"/>
        </w:rPr>
        <w:t>O</w:t>
      </w:r>
      <w:r w:rsidRPr="00724834">
        <w:rPr>
          <w:rFonts w:ascii="Garamond" w:hAnsi="Garamond" w:cs="Times New Roman"/>
          <w:u w:val="single"/>
          <w:lang w:val="en-US"/>
        </w:rPr>
        <w:t>pinion</w:t>
      </w:r>
      <w:r w:rsidRPr="00724834">
        <w:rPr>
          <w:rFonts w:ascii="Garamond" w:hAnsi="Garamond" w:cs="Times New Roman"/>
          <w:lang w:val="en-US"/>
        </w:rPr>
        <w:t>: The question pertains to agreement or disagreement vis-à-vis EU policy.</w:t>
      </w:r>
    </w:p>
    <w:p w:rsidR="007F1075" w:rsidRPr="00724834" w:rsidRDefault="007F1075" w:rsidP="007F1075">
      <w:pPr>
        <w:spacing w:line="480" w:lineRule="auto"/>
        <w:ind w:firstLine="720"/>
        <w:jc w:val="both"/>
        <w:rPr>
          <w:rFonts w:ascii="Garamond" w:hAnsi="Garamond" w:cs="Times New Roman"/>
          <w:b/>
          <w:lang w:val="en-US"/>
        </w:rPr>
      </w:pPr>
      <w:r w:rsidRPr="00724834">
        <w:rPr>
          <w:rFonts w:ascii="Garamond" w:hAnsi="Garamond" w:cs="Times New Roman"/>
          <w:lang w:val="en-US"/>
        </w:rPr>
        <w:t xml:space="preserve">This case selection resulted in 41 different issues. The first key source of variation across policy issues concerns their public salience. We know from former research that public salience can increase the responsiveness of public policy to public opinion </w:t>
      </w:r>
      <w:r w:rsidRPr="00724834">
        <w:rPr>
          <w:rFonts w:ascii="Garamond" w:hAnsi="Garamond" w:cs="Times New Roman"/>
          <w:lang w:val="en-US"/>
        </w:rPr>
        <w:fldChar w:fldCharType="begin"/>
      </w:r>
      <w:r w:rsidRPr="00724834">
        <w:rPr>
          <w:rFonts w:ascii="Garamond" w:hAnsi="Garamond" w:cs="Times New Roman"/>
          <w:lang w:val="en-US"/>
        </w:rPr>
        <w:instrText xml:space="preserve"> ADDIN EN.CITE &lt;EndNote&gt;&lt;Cite&gt;&lt;Author&gt;Page&lt;/Author&gt;&lt;Year&gt;1983&lt;/Year&gt;&lt;RecNum&gt;679&lt;/RecNum&gt;&lt;DisplayText&gt;(Page and Shapiro, 1983; Wlezien, 2004)&lt;/DisplayText&gt;&lt;record&gt;&lt;rec-number&gt;679&lt;/rec-number&gt;&lt;foreign-keys&gt;&lt;key app="EN" db-id="tx520afr7pfex7edev4v5wecs0w29tprfste" timestamp="1485168456"&gt;679&lt;/key&gt;&lt;/foreign-keys&gt;&lt;ref-type name="Journal Article"&gt;17&lt;/ref-type&gt;&lt;contributors&gt;&lt;authors&gt;&lt;author&gt;Page, Benjamin I&lt;/author&gt;&lt;author&gt;Shapiro, Robert Y&lt;/author&gt;&lt;/authors&gt;&lt;/contributors&gt;&lt;titles&gt;&lt;title&gt;Effects of public opinion on policy&lt;/title&gt;&lt;secondary-title&gt;American political science review&lt;/secondary-title&gt;&lt;/titles&gt;&lt;periodical&gt;&lt;full-title&gt;American Political Science Review&lt;/full-title&gt;&lt;/periodical&gt;&lt;pages&gt;175-190&lt;/pages&gt;&lt;volume&gt;77&lt;/volume&gt;&lt;number&gt;01&lt;/number&gt;&lt;dates&gt;&lt;year&gt;1983&lt;/year&gt;&lt;/dates&gt;&lt;isbn&gt;1537-5943&lt;/isbn&gt;&lt;urls&gt;&lt;/urls&gt;&lt;/record&gt;&lt;/Cite&gt;&lt;Cite&gt;&lt;Author&gt;Wlezien&lt;/Author&gt;&lt;Year&gt;2004&lt;/Year&gt;&lt;RecNum&gt;681&lt;/RecNum&gt;&lt;record&gt;&lt;rec-number&gt;681&lt;/rec-number&gt;&lt;foreign-keys&gt;&lt;key app="EN" db-id="tx520afr7pfex7edev4v5wecs0w29tprfste" timestamp="1485168515"&gt;681&lt;/key&gt;&lt;/foreign-keys&gt;&lt;ref-type name="Journal Article"&gt;17&lt;/ref-type&gt;&lt;contributors&gt;&lt;authors&gt;&lt;author&gt;Wlezien, Christopher&lt;/author&gt;&lt;/authors&gt;&lt;/contributors&gt;&lt;titles&gt;&lt;title&gt;Patterns of representation: Dynamics of public preferences and policy&lt;/title&gt;&lt;secondary-title&gt;Journal of Politics&lt;/secondary-title&gt;&lt;/titles&gt;&lt;periodical&gt;&lt;full-title&gt;Journal of Politics&lt;/full-title&gt;&lt;/periodical&gt;&lt;pages&gt;1-24&lt;/pages&gt;&lt;volume&gt;66&lt;/volume&gt;&lt;number&gt;1&lt;/number&gt;&lt;dates&gt;&lt;year&gt;2004&lt;/year&gt;&lt;/dates&gt;&lt;isbn&gt;1468-2508&lt;/isbn&gt;&lt;urls&gt;&lt;/urls&gt;&lt;/record&gt;&lt;/Cite&gt;&lt;/EndNote&gt;</w:instrText>
      </w:r>
      <w:r w:rsidRPr="00724834">
        <w:rPr>
          <w:rFonts w:ascii="Garamond" w:hAnsi="Garamond" w:cs="Times New Roman"/>
          <w:lang w:val="en-US"/>
        </w:rPr>
        <w:fldChar w:fldCharType="separate"/>
      </w:r>
      <w:r w:rsidRPr="00724834">
        <w:rPr>
          <w:rFonts w:ascii="Garamond" w:hAnsi="Garamond" w:cs="Times New Roman"/>
          <w:lang w:val="en-US"/>
        </w:rPr>
        <w:t>(Page and Shapiro, 1983; Wlezien, 2004)</w:t>
      </w:r>
      <w:r w:rsidRPr="00724834">
        <w:rPr>
          <w:rFonts w:ascii="Garamond" w:hAnsi="Garamond" w:cs="Times New Roman"/>
          <w:lang w:val="en-US"/>
        </w:rPr>
        <w:fldChar w:fldCharType="end"/>
      </w:r>
      <w:r w:rsidRPr="00724834">
        <w:rPr>
          <w:rFonts w:ascii="Garamond" w:hAnsi="Garamond" w:cs="Times New Roman"/>
          <w:lang w:val="en-US"/>
        </w:rPr>
        <w:t xml:space="preserve">. One important concern for studies that rely exclusively on cases for which public opinion surveys were conducted is that they involve only issues that are already salient to the public and media, which therefore biases the sample of cases </w:t>
      </w:r>
      <w:r w:rsidRPr="00724834">
        <w:rPr>
          <w:rFonts w:ascii="Garamond" w:hAnsi="Garamond" w:cs="Times New Roman"/>
          <w:lang w:val="en-US"/>
        </w:rPr>
        <w:fldChar w:fldCharType="begin"/>
      </w:r>
      <w:r w:rsidRPr="00724834">
        <w:rPr>
          <w:rFonts w:ascii="Garamond" w:hAnsi="Garamond" w:cs="Times New Roman"/>
          <w:lang w:val="en-US"/>
        </w:rPr>
        <w:instrText xml:space="preserve"> ADDIN EN.CITE &lt;EndNote&gt;&lt;Cite&gt;&lt;Author&gt;Burstein&lt;/Author&gt;&lt;Year&gt;2014&lt;/Year&gt;&lt;RecNum&gt;673&lt;/RecNum&gt;&lt;DisplayText&gt;(Burstein, 2014)&lt;/DisplayText&gt;&lt;record&gt;&lt;rec-number&gt;673&lt;/rec-number&gt;&lt;foreign-keys&gt;&lt;key app="EN" db-id="tx520afr7pfex7edev4v5wecs0w29tprfste" timestamp="1482248644"&gt;673&lt;/key&gt;&lt;/foreign-keys&gt;&lt;ref-type name="Book"&gt;6&lt;/ref-type&gt;&lt;contributors&gt;&lt;authors&gt;&lt;author&gt;Burstein, Paul&lt;/author&gt;&lt;/authors&gt;&lt;/contributors&gt;&lt;titles&gt;&lt;title&gt;American public opinion, advocacy, and policy in congress: What the public wants and what it gets&lt;/title&gt;&lt;/titles&gt;&lt;dates&gt;&lt;year&gt;2014&lt;/year&gt;&lt;/dates&gt;&lt;publisher&gt;Cambridge University Press&lt;/publisher&gt;&lt;isbn&gt;1107040205&lt;/isbn&gt;&lt;urls&gt;&lt;/urls&gt;&lt;/record&gt;&lt;/Cite&gt;&lt;/EndNote&gt;</w:instrText>
      </w:r>
      <w:r w:rsidRPr="00724834">
        <w:rPr>
          <w:rFonts w:ascii="Garamond" w:hAnsi="Garamond" w:cs="Times New Roman"/>
          <w:lang w:val="en-US"/>
        </w:rPr>
        <w:fldChar w:fldCharType="separate"/>
      </w:r>
      <w:r w:rsidRPr="00724834">
        <w:rPr>
          <w:rFonts w:ascii="Garamond" w:hAnsi="Garamond" w:cs="Times New Roman"/>
          <w:lang w:val="en-US"/>
        </w:rPr>
        <w:t>(Burstein, 2014)</w:t>
      </w:r>
      <w:r w:rsidRPr="00724834">
        <w:rPr>
          <w:rFonts w:ascii="Garamond" w:hAnsi="Garamond" w:cs="Times New Roman"/>
          <w:lang w:val="en-US"/>
        </w:rPr>
        <w:fldChar w:fldCharType="end"/>
      </w:r>
      <w:r w:rsidRPr="00724834">
        <w:rPr>
          <w:rFonts w:ascii="Garamond" w:hAnsi="Garamond" w:cs="Times New Roman"/>
          <w:lang w:val="en-US"/>
        </w:rPr>
        <w:t>. To assess this concern, we tracked the media salience of the sampled set of cases in eight European media outlets: Euractiv, Le Monde, Financial Times, Corriere Della Sera, Aftonbladet, De Telegraaf, Fakt and Frankfurter Algemeine Zeitung (see section 3 for more information on the news media selection). The media salience of issues across the different media outlets is highly correlated, with an average correlation of 0.6. This result indicates that the aggregate measure of media salience (the sum of all articles across media outlets) is a reliable measure of media salience.</w:t>
      </w:r>
      <w:r w:rsidRPr="00724834">
        <w:rPr>
          <w:rFonts w:ascii="Garamond" w:hAnsi="Garamond" w:cs="Times New Roman"/>
          <w:b/>
          <w:lang w:val="en-US"/>
        </w:rPr>
        <w:t xml:space="preserve"> </w:t>
      </w:r>
    </w:p>
    <w:p w:rsidR="007F1075" w:rsidRPr="00724834" w:rsidRDefault="007F1075" w:rsidP="007F1075">
      <w:pPr>
        <w:spacing w:line="480" w:lineRule="auto"/>
        <w:ind w:firstLine="720"/>
        <w:jc w:val="both"/>
        <w:rPr>
          <w:rFonts w:ascii="Garamond" w:hAnsi="Garamond" w:cs="Times New Roman"/>
          <w:lang w:val="en-US"/>
        </w:rPr>
      </w:pPr>
      <w:r w:rsidRPr="00724834">
        <w:rPr>
          <w:rFonts w:ascii="Garamond" w:hAnsi="Garamond" w:cs="Times New Roman"/>
          <w:lang w:val="en-US"/>
        </w:rPr>
        <w:t xml:space="preserve">Figure A1 portrays the distribution of media articles that discussed the sampled set of issues across the selected media outlets. The distribution clearly shows that these policy cases varied with regard to media salience. Some issues, such as the financial transaction tax, received a lot of media attention, while other issues </w:t>
      </w:r>
      <w:r w:rsidRPr="00724834">
        <w:rPr>
          <w:rFonts w:ascii="Garamond" w:hAnsi="Garamond" w:cs="Times New Roman"/>
          <w:lang w:val="en-US"/>
        </w:rPr>
        <w:lastRenderedPageBreak/>
        <w:t xml:space="preserve">received no media attention at all. These distributions of media attention also resemble the distributions of media attention found in other projects, most notably the INTEREURO project, which relied on a random sample of policy proposals </w:t>
      </w:r>
      <w:r w:rsidRPr="00724834">
        <w:rPr>
          <w:rFonts w:ascii="Garamond" w:hAnsi="Garamond" w:cs="Times New Roman"/>
          <w:lang w:val="en-US"/>
        </w:rPr>
        <w:fldChar w:fldCharType="begin"/>
      </w:r>
      <w:r w:rsidRPr="00724834">
        <w:rPr>
          <w:rFonts w:ascii="Garamond" w:hAnsi="Garamond" w:cs="Times New Roman"/>
          <w:lang w:val="en-US"/>
        </w:rPr>
        <w:instrText xml:space="preserve"> ADDIN EN.CITE &lt;EndNote&gt;&lt;Cite&gt;&lt;Author&gt;De Bruycker&lt;/Author&gt;&lt;Year&gt;2015&lt;/Year&gt;&lt;RecNum&gt;710&lt;/RecNum&gt;&lt;DisplayText&gt;(De Bruycker and Beyers, 2015)&lt;/DisplayText&gt;&lt;record&gt;&lt;rec-number&gt;710&lt;/rec-number&gt;&lt;foreign-keys&gt;&lt;key app="EN" db-id="tx520afr7pfex7edev4v5wecs0w29tprfste" timestamp="1491395266"&gt;710&lt;/key&gt;&lt;/foreign-keys&gt;&lt;ref-type name="Journal Article"&gt;17&lt;/ref-type&gt;&lt;contributors&gt;&lt;authors&gt;&lt;author&gt;De Bruycker, Iskander&lt;/author&gt;&lt;author&gt;Beyers, Jan&lt;/author&gt;&lt;/authors&gt;&lt;/contributors&gt;&lt;titles&gt;&lt;title&gt;Balanced or biased? Interest groups and legislative lobbying in the European news media&lt;/title&gt;&lt;secondary-title&gt;Political Communication&lt;/secondary-title&gt;&lt;/titles&gt;&lt;periodical&gt;&lt;full-title&gt;Political Communication&lt;/full-title&gt;&lt;/periodical&gt;&lt;pages&gt;453-474&lt;/pages&gt;&lt;volume&gt;32&lt;/volume&gt;&lt;number&gt;3&lt;/number&gt;&lt;dates&gt;&lt;year&gt;2015&lt;/year&gt;&lt;/dates&gt;&lt;isbn&gt;1058-4609&lt;/isbn&gt;&lt;urls&gt;&lt;/urls&gt;&lt;/record&gt;&lt;/Cite&gt;&lt;/EndNote&gt;</w:instrText>
      </w:r>
      <w:r w:rsidRPr="00724834">
        <w:rPr>
          <w:rFonts w:ascii="Garamond" w:hAnsi="Garamond" w:cs="Times New Roman"/>
          <w:lang w:val="en-US"/>
        </w:rPr>
        <w:fldChar w:fldCharType="separate"/>
      </w:r>
      <w:r w:rsidRPr="00724834">
        <w:rPr>
          <w:rFonts w:ascii="Garamond" w:hAnsi="Garamond" w:cs="Times New Roman"/>
          <w:noProof/>
          <w:lang w:val="en-US"/>
        </w:rPr>
        <w:t>(De Bruycker and Beyers, 2015)</w:t>
      </w:r>
      <w:r w:rsidRPr="00724834">
        <w:rPr>
          <w:rFonts w:ascii="Garamond" w:hAnsi="Garamond" w:cs="Times New Roman"/>
          <w:lang w:val="en-US"/>
        </w:rPr>
        <w:fldChar w:fldCharType="end"/>
      </w:r>
      <w:r w:rsidRPr="00724834">
        <w:rPr>
          <w:rFonts w:ascii="Garamond" w:hAnsi="Garamond" w:cs="Times New Roman"/>
          <w:lang w:val="en-US"/>
        </w:rPr>
        <w:t xml:space="preserve">. </w:t>
      </w:r>
    </w:p>
    <w:p w:rsidR="007F1075" w:rsidRPr="00724834" w:rsidRDefault="007F1075" w:rsidP="007F1075">
      <w:pPr>
        <w:spacing w:after="0" w:line="480" w:lineRule="auto"/>
        <w:jc w:val="center"/>
        <w:rPr>
          <w:rFonts w:ascii="Garamond" w:hAnsi="Garamond" w:cs="Times New Roman"/>
          <w:b/>
          <w:lang w:val="en-US"/>
        </w:rPr>
      </w:pPr>
      <w:r w:rsidRPr="00724834">
        <w:rPr>
          <w:rFonts w:ascii="Garamond" w:hAnsi="Garamond" w:cs="Times New Roman"/>
          <w:b/>
          <w:lang w:val="en-US"/>
        </w:rPr>
        <w:t>Figure A1. Media salience of the sampled cases</w:t>
      </w:r>
    </w:p>
    <w:p w:rsidR="007F1075" w:rsidRPr="00724834" w:rsidRDefault="007F1075" w:rsidP="007F1075">
      <w:pPr>
        <w:spacing w:after="0" w:line="480" w:lineRule="auto"/>
        <w:jc w:val="center"/>
        <w:rPr>
          <w:rFonts w:ascii="Garamond" w:hAnsi="Garamond" w:cs="Times New Roman"/>
          <w:lang w:val="en-US"/>
        </w:rPr>
      </w:pPr>
      <w:r w:rsidRPr="00724834">
        <w:rPr>
          <w:rFonts w:ascii="Garamond" w:hAnsi="Garamond" w:cs="Times New Roman"/>
          <w:noProof/>
          <w:lang w:val="en-US"/>
        </w:rPr>
        <w:drawing>
          <wp:inline distT="0" distB="0" distL="0" distR="0" wp14:anchorId="3AF3187E" wp14:editId="1AFF6501">
            <wp:extent cx="3360420" cy="2407920"/>
            <wp:effectExtent l="0" t="0" r="11430" b="1143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F1075" w:rsidRPr="00724834" w:rsidRDefault="007F1075" w:rsidP="007F1075">
      <w:pPr>
        <w:spacing w:line="480" w:lineRule="auto"/>
        <w:ind w:firstLine="720"/>
        <w:jc w:val="both"/>
        <w:rPr>
          <w:rFonts w:ascii="Garamond" w:hAnsi="Garamond" w:cs="Times New Roman"/>
          <w:lang w:val="en-US"/>
        </w:rPr>
      </w:pPr>
      <w:r w:rsidRPr="00724834">
        <w:rPr>
          <w:rFonts w:ascii="Garamond" w:hAnsi="Garamond" w:cs="Times New Roman"/>
          <w:lang w:val="en-US"/>
        </w:rPr>
        <w:t xml:space="preserve">The sample of issues also strongly varies in terms of the policy areas addressed. Figure A2 illustrates the distribution of the cases across policy areas, operationalized by the directorate generals (DGs) responsible for the policy issue. The sampled issues are thus situated in different policy areas, and the results derived from the analysis are not specific to one policy area. </w:t>
      </w:r>
    </w:p>
    <w:p w:rsidR="007F1075" w:rsidRPr="00724834" w:rsidRDefault="007F1075" w:rsidP="007F1075">
      <w:pPr>
        <w:keepNext/>
        <w:spacing w:after="0" w:line="480" w:lineRule="auto"/>
        <w:ind w:firstLine="720"/>
        <w:jc w:val="both"/>
        <w:rPr>
          <w:rFonts w:ascii="Garamond" w:hAnsi="Garamond" w:cs="Times New Roman"/>
          <w:b/>
          <w:lang w:val="en-US"/>
        </w:rPr>
      </w:pPr>
      <w:r w:rsidRPr="00724834">
        <w:rPr>
          <w:rFonts w:ascii="Garamond" w:hAnsi="Garamond" w:cs="Times New Roman"/>
          <w:b/>
          <w:lang w:val="en-US"/>
        </w:rPr>
        <w:t>Figure A2. Distribution of sampled issues across policy areas</w:t>
      </w:r>
    </w:p>
    <w:p w:rsidR="007F1075" w:rsidRPr="00724834" w:rsidRDefault="007F1075" w:rsidP="007F1075">
      <w:pPr>
        <w:spacing w:after="0" w:line="480" w:lineRule="auto"/>
        <w:ind w:firstLine="720"/>
        <w:jc w:val="both"/>
        <w:rPr>
          <w:rFonts w:ascii="Garamond" w:hAnsi="Garamond" w:cs="Times New Roman"/>
          <w:lang w:val="en-US"/>
        </w:rPr>
      </w:pPr>
      <w:r w:rsidRPr="00724834">
        <w:rPr>
          <w:rFonts w:ascii="Garamond" w:hAnsi="Garamond"/>
          <w:noProof/>
          <w:lang w:val="en-US"/>
        </w:rPr>
        <w:drawing>
          <wp:inline distT="0" distB="0" distL="0" distR="0" wp14:anchorId="52D298ED" wp14:editId="74419376">
            <wp:extent cx="5192162" cy="1480242"/>
            <wp:effectExtent l="0" t="0" r="8890" b="5715"/>
            <wp:docPr id="10"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724834">
        <w:rPr>
          <w:rFonts w:ascii="Garamond" w:hAnsi="Garamond"/>
          <w:lang w:val="en-US"/>
        </w:rPr>
        <w:br w:type="page"/>
      </w:r>
    </w:p>
    <w:p w:rsidR="007F1075" w:rsidRPr="00724834" w:rsidRDefault="007F1075" w:rsidP="007F1075">
      <w:pPr>
        <w:spacing w:line="480" w:lineRule="auto"/>
        <w:ind w:firstLine="720"/>
        <w:jc w:val="both"/>
        <w:rPr>
          <w:rFonts w:ascii="Garamond" w:hAnsi="Garamond" w:cs="Times New Roman"/>
          <w:lang w:val="en-US"/>
        </w:rPr>
      </w:pPr>
      <w:r w:rsidRPr="00724834">
        <w:rPr>
          <w:rFonts w:ascii="Garamond" w:hAnsi="Garamond" w:cs="Times New Roman"/>
          <w:lang w:val="en-US"/>
        </w:rPr>
        <w:lastRenderedPageBreak/>
        <w:t xml:space="preserve">From the 41 issues sampled, the six issues that dealt directly with climate-relevant topics were selected for this paper. As with any research dealing with policy issues, these issues are interrelated and there may be some overlap, as many relate in some way to emissions of greenhouse gases; however, each issue has a different substantial focus and scope. Where it was impossible to separate lobbying strategies and influence on issues, these were combined (as for instance was the case with biodiversity, ID22). </w:t>
      </w:r>
    </w:p>
    <w:p w:rsidR="007F1075" w:rsidRPr="00724834" w:rsidRDefault="007F1075" w:rsidP="007F1075">
      <w:pPr>
        <w:rPr>
          <w:rFonts w:ascii="Garamond" w:hAnsi="Garamond"/>
          <w:b/>
          <w:bCs/>
          <w:lang w:val="en-US"/>
        </w:rPr>
      </w:pPr>
    </w:p>
    <w:p w:rsidR="007F1075" w:rsidRPr="00724834" w:rsidRDefault="007F1075" w:rsidP="007F1075">
      <w:pPr>
        <w:rPr>
          <w:rFonts w:ascii="Garamond" w:hAnsi="Garamond"/>
          <w:b/>
          <w:bCs/>
          <w:lang w:val="en-US"/>
        </w:rPr>
      </w:pPr>
      <w:r w:rsidRPr="00724834">
        <w:rPr>
          <w:rFonts w:ascii="Garamond" w:hAnsi="Garamond"/>
          <w:b/>
          <w:bCs/>
          <w:lang w:val="en-US"/>
        </w:rPr>
        <w:t>Table A1. Sampled issues and corresponding Eurobarometer questions (n = 6)</w:t>
      </w:r>
    </w:p>
    <w:tbl>
      <w:tblPr>
        <w:tblW w:w="10188" w:type="dxa"/>
        <w:tblBorders>
          <w:top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0"/>
        <w:gridCol w:w="1726"/>
        <w:gridCol w:w="7622"/>
      </w:tblGrid>
      <w:tr w:rsidR="00724834" w:rsidRPr="00724834" w:rsidTr="00F77C0F">
        <w:trPr>
          <w:trHeight w:val="290"/>
        </w:trPr>
        <w:tc>
          <w:tcPr>
            <w:tcW w:w="840" w:type="dxa"/>
            <w:tcBorders>
              <w:right w:val="nil"/>
            </w:tcBorders>
            <w:shd w:val="clear" w:color="auto" w:fill="auto"/>
            <w:noWrap/>
            <w:hideMark/>
          </w:tcPr>
          <w:p w:rsidR="007F1075" w:rsidRPr="00724834" w:rsidRDefault="007F1075" w:rsidP="00F77C0F">
            <w:pPr>
              <w:spacing w:after="0" w:line="240" w:lineRule="auto"/>
              <w:rPr>
                <w:rFonts w:ascii="Garamond" w:eastAsia="Times New Roman" w:hAnsi="Garamond" w:cs="Times New Roman"/>
                <w:b/>
                <w:bCs/>
                <w:sz w:val="16"/>
                <w:szCs w:val="16"/>
                <w:lang w:val="en-US" w:eastAsia="nl-BE"/>
              </w:rPr>
            </w:pPr>
            <w:r w:rsidRPr="00724834">
              <w:rPr>
                <w:rFonts w:ascii="Garamond" w:eastAsia="Times New Roman" w:hAnsi="Garamond" w:cs="Times New Roman"/>
                <w:b/>
                <w:bCs/>
                <w:sz w:val="16"/>
                <w:szCs w:val="16"/>
                <w:lang w:val="en-US" w:eastAsia="nl-BE"/>
              </w:rPr>
              <w:t>ID</w:t>
            </w:r>
          </w:p>
        </w:tc>
        <w:tc>
          <w:tcPr>
            <w:tcW w:w="1726" w:type="dxa"/>
            <w:tcBorders>
              <w:left w:val="nil"/>
              <w:bottom w:val="single" w:sz="4" w:space="0" w:color="auto"/>
              <w:right w:val="nil"/>
            </w:tcBorders>
            <w:shd w:val="clear" w:color="auto" w:fill="auto"/>
            <w:noWrap/>
            <w:hideMark/>
          </w:tcPr>
          <w:p w:rsidR="007F1075" w:rsidRPr="00724834" w:rsidRDefault="007F1075" w:rsidP="00F77C0F">
            <w:pPr>
              <w:spacing w:after="0" w:line="240" w:lineRule="auto"/>
              <w:rPr>
                <w:rFonts w:ascii="Garamond" w:eastAsia="Times New Roman" w:hAnsi="Garamond" w:cs="Times New Roman"/>
                <w:b/>
                <w:bCs/>
                <w:sz w:val="16"/>
                <w:szCs w:val="16"/>
                <w:lang w:val="en-US" w:eastAsia="nl-BE"/>
              </w:rPr>
            </w:pPr>
            <w:r w:rsidRPr="00724834">
              <w:rPr>
                <w:rFonts w:ascii="Garamond" w:eastAsia="Times New Roman" w:hAnsi="Garamond" w:cs="Times New Roman"/>
                <w:b/>
                <w:bCs/>
                <w:sz w:val="16"/>
                <w:szCs w:val="16"/>
                <w:lang w:val="en-US" w:eastAsia="nl-BE"/>
              </w:rPr>
              <w:t>Issue</w:t>
            </w:r>
          </w:p>
        </w:tc>
        <w:tc>
          <w:tcPr>
            <w:tcW w:w="7622" w:type="dxa"/>
            <w:tcBorders>
              <w:left w:val="nil"/>
            </w:tcBorders>
            <w:shd w:val="clear" w:color="auto" w:fill="auto"/>
            <w:noWrap/>
            <w:hideMark/>
          </w:tcPr>
          <w:p w:rsidR="007F1075" w:rsidRPr="00724834" w:rsidRDefault="007F1075" w:rsidP="00F77C0F">
            <w:pPr>
              <w:spacing w:after="0" w:line="240" w:lineRule="auto"/>
              <w:rPr>
                <w:rFonts w:ascii="Garamond" w:eastAsia="Times New Roman" w:hAnsi="Garamond" w:cs="Times New Roman"/>
                <w:b/>
                <w:bCs/>
                <w:sz w:val="16"/>
                <w:szCs w:val="16"/>
                <w:lang w:val="en-US" w:eastAsia="nl-BE"/>
              </w:rPr>
            </w:pPr>
            <w:r w:rsidRPr="00724834">
              <w:rPr>
                <w:rFonts w:ascii="Garamond" w:eastAsia="Times New Roman" w:hAnsi="Garamond" w:cs="Times New Roman"/>
                <w:b/>
                <w:bCs/>
                <w:sz w:val="16"/>
                <w:szCs w:val="16"/>
                <w:lang w:val="en-US" w:eastAsia="nl-BE"/>
              </w:rPr>
              <w:t>Eurobarometer Question</w:t>
            </w:r>
          </w:p>
        </w:tc>
      </w:tr>
      <w:tr w:rsidR="00724834" w:rsidRPr="00724834" w:rsidTr="00F77C0F">
        <w:trPr>
          <w:trHeight w:val="290"/>
        </w:trPr>
        <w:tc>
          <w:tcPr>
            <w:tcW w:w="840" w:type="dxa"/>
            <w:tcBorders>
              <w:right w:val="nil"/>
            </w:tcBorders>
            <w:shd w:val="clear" w:color="auto" w:fill="auto"/>
            <w:noWrap/>
            <w:hideMark/>
          </w:tcPr>
          <w:p w:rsidR="007F1075" w:rsidRPr="00724834" w:rsidRDefault="007F1075" w:rsidP="00F77C0F">
            <w:pPr>
              <w:spacing w:after="0" w:line="240" w:lineRule="auto"/>
              <w:rPr>
                <w:rFonts w:ascii="Garamond" w:eastAsia="Times New Roman" w:hAnsi="Garamond" w:cs="Times New Roman"/>
                <w:sz w:val="16"/>
                <w:szCs w:val="16"/>
                <w:lang w:val="en-US" w:eastAsia="nl-BE"/>
              </w:rPr>
            </w:pPr>
            <w:r w:rsidRPr="00724834">
              <w:rPr>
                <w:rFonts w:ascii="Garamond" w:eastAsia="Times New Roman" w:hAnsi="Garamond" w:cs="Times New Roman"/>
                <w:sz w:val="16"/>
                <w:szCs w:val="16"/>
                <w:lang w:val="en-US" w:eastAsia="nl-BE"/>
              </w:rPr>
              <w:t>5</w:t>
            </w:r>
          </w:p>
        </w:tc>
        <w:tc>
          <w:tcPr>
            <w:tcW w:w="1726" w:type="dxa"/>
            <w:tcBorders>
              <w:left w:val="nil"/>
              <w:bottom w:val="single" w:sz="4" w:space="0" w:color="auto"/>
              <w:right w:val="nil"/>
            </w:tcBorders>
            <w:shd w:val="clear" w:color="auto" w:fill="auto"/>
            <w:noWrap/>
            <w:hideMark/>
          </w:tcPr>
          <w:p w:rsidR="007F1075" w:rsidRPr="00724834" w:rsidRDefault="007F1075" w:rsidP="00F77C0F">
            <w:pPr>
              <w:spacing w:after="0" w:line="240" w:lineRule="auto"/>
              <w:rPr>
                <w:rFonts w:ascii="Garamond" w:eastAsia="Times New Roman" w:hAnsi="Garamond" w:cs="Times New Roman"/>
                <w:sz w:val="16"/>
                <w:szCs w:val="16"/>
                <w:lang w:val="en-US" w:eastAsia="nl-BE"/>
              </w:rPr>
            </w:pPr>
            <w:r w:rsidRPr="00724834">
              <w:rPr>
                <w:rFonts w:ascii="Garamond" w:eastAsia="Times New Roman" w:hAnsi="Garamond" w:cs="Times New Roman"/>
                <w:sz w:val="16"/>
                <w:szCs w:val="16"/>
                <w:lang w:val="en-US" w:eastAsia="nl-BE"/>
              </w:rPr>
              <w:t>National emission ceilings</w:t>
            </w:r>
          </w:p>
        </w:tc>
        <w:tc>
          <w:tcPr>
            <w:tcW w:w="7622" w:type="dxa"/>
            <w:tcBorders>
              <w:left w:val="nil"/>
            </w:tcBorders>
            <w:shd w:val="clear" w:color="auto" w:fill="auto"/>
            <w:noWrap/>
            <w:hideMark/>
          </w:tcPr>
          <w:p w:rsidR="007F1075" w:rsidRPr="00724834" w:rsidRDefault="007F1075" w:rsidP="00F77C0F">
            <w:pPr>
              <w:spacing w:after="0" w:line="240" w:lineRule="auto"/>
              <w:rPr>
                <w:rFonts w:ascii="Garamond" w:eastAsia="Times New Roman" w:hAnsi="Garamond" w:cs="Times New Roman"/>
                <w:sz w:val="16"/>
                <w:szCs w:val="16"/>
                <w:lang w:val="en-US" w:eastAsia="nl-BE"/>
              </w:rPr>
            </w:pPr>
            <w:r w:rsidRPr="00724834">
              <w:rPr>
                <w:rFonts w:ascii="Garamond" w:eastAsia="Times New Roman" w:hAnsi="Garamond" w:cs="Times New Roman"/>
                <w:sz w:val="16"/>
                <w:szCs w:val="16"/>
                <w:lang w:val="en-US" w:eastAsia="nl-BE"/>
              </w:rPr>
              <w:t xml:space="preserve">Do you believe that the existing national emission ceilings should be strengthened? </w:t>
            </w:r>
          </w:p>
        </w:tc>
      </w:tr>
      <w:tr w:rsidR="00724834" w:rsidRPr="00724834" w:rsidTr="00F77C0F">
        <w:trPr>
          <w:trHeight w:val="290"/>
        </w:trPr>
        <w:tc>
          <w:tcPr>
            <w:tcW w:w="840" w:type="dxa"/>
            <w:tcBorders>
              <w:right w:val="nil"/>
            </w:tcBorders>
            <w:shd w:val="clear" w:color="auto" w:fill="auto"/>
            <w:noWrap/>
            <w:hideMark/>
          </w:tcPr>
          <w:p w:rsidR="007F1075" w:rsidRPr="00724834" w:rsidRDefault="007F1075" w:rsidP="00F77C0F">
            <w:pPr>
              <w:spacing w:after="0" w:line="240" w:lineRule="auto"/>
              <w:rPr>
                <w:rFonts w:ascii="Garamond" w:eastAsia="Times New Roman" w:hAnsi="Garamond" w:cs="Times New Roman"/>
                <w:sz w:val="16"/>
                <w:szCs w:val="16"/>
                <w:lang w:val="en-US" w:eastAsia="nl-BE"/>
              </w:rPr>
            </w:pPr>
            <w:r w:rsidRPr="00724834">
              <w:rPr>
                <w:rFonts w:ascii="Garamond" w:eastAsia="Times New Roman" w:hAnsi="Garamond" w:cs="Times New Roman"/>
                <w:sz w:val="16"/>
                <w:szCs w:val="16"/>
                <w:lang w:val="en-US" w:eastAsia="nl-BE"/>
              </w:rPr>
              <w:t>12</w:t>
            </w:r>
          </w:p>
        </w:tc>
        <w:tc>
          <w:tcPr>
            <w:tcW w:w="1726" w:type="dxa"/>
            <w:tcBorders>
              <w:left w:val="nil"/>
              <w:bottom w:val="single" w:sz="4" w:space="0" w:color="auto"/>
              <w:right w:val="nil"/>
            </w:tcBorders>
            <w:shd w:val="clear" w:color="auto" w:fill="auto"/>
            <w:noWrap/>
            <w:hideMark/>
          </w:tcPr>
          <w:p w:rsidR="007F1075" w:rsidRPr="00724834" w:rsidRDefault="007F1075" w:rsidP="00F77C0F">
            <w:pPr>
              <w:spacing w:after="0" w:line="240" w:lineRule="auto"/>
              <w:rPr>
                <w:rFonts w:ascii="Garamond" w:eastAsia="Times New Roman" w:hAnsi="Garamond" w:cs="Times New Roman"/>
                <w:sz w:val="16"/>
                <w:szCs w:val="16"/>
                <w:lang w:val="en-US" w:eastAsia="nl-BE"/>
              </w:rPr>
            </w:pPr>
            <w:r w:rsidRPr="00724834">
              <w:rPr>
                <w:rFonts w:ascii="Garamond" w:eastAsia="Times New Roman" w:hAnsi="Garamond" w:cs="Times New Roman"/>
                <w:sz w:val="16"/>
                <w:szCs w:val="16"/>
                <w:lang w:val="en-US" w:eastAsia="nl-BE"/>
              </w:rPr>
              <w:t>Air quality</w:t>
            </w:r>
          </w:p>
        </w:tc>
        <w:tc>
          <w:tcPr>
            <w:tcW w:w="7622" w:type="dxa"/>
            <w:tcBorders>
              <w:left w:val="nil"/>
            </w:tcBorders>
            <w:shd w:val="clear" w:color="auto" w:fill="auto"/>
            <w:hideMark/>
          </w:tcPr>
          <w:p w:rsidR="007F1075" w:rsidRPr="00724834" w:rsidRDefault="007F1075" w:rsidP="00F77C0F">
            <w:pPr>
              <w:spacing w:after="0" w:line="240" w:lineRule="auto"/>
              <w:rPr>
                <w:rFonts w:ascii="Garamond" w:eastAsia="Times New Roman" w:hAnsi="Garamond" w:cs="Times New Roman"/>
                <w:sz w:val="16"/>
                <w:szCs w:val="16"/>
                <w:lang w:val="en-US" w:eastAsia="nl-BE"/>
              </w:rPr>
            </w:pPr>
            <w:r w:rsidRPr="00724834">
              <w:rPr>
                <w:rFonts w:ascii="Garamond" w:eastAsia="Times New Roman" w:hAnsi="Garamond" w:cs="Times New Roman"/>
                <w:sz w:val="16"/>
                <w:szCs w:val="16"/>
                <w:lang w:val="en-US" w:eastAsia="nl-BE"/>
              </w:rPr>
              <w:t>Do you believe that the existing EU air quality standards should be strengthened?</w:t>
            </w:r>
          </w:p>
        </w:tc>
      </w:tr>
      <w:tr w:rsidR="00724834" w:rsidRPr="00724834" w:rsidTr="00F77C0F">
        <w:trPr>
          <w:trHeight w:val="290"/>
        </w:trPr>
        <w:tc>
          <w:tcPr>
            <w:tcW w:w="840" w:type="dxa"/>
            <w:tcBorders>
              <w:right w:val="nil"/>
            </w:tcBorders>
            <w:shd w:val="clear" w:color="auto" w:fill="auto"/>
            <w:noWrap/>
            <w:hideMark/>
          </w:tcPr>
          <w:p w:rsidR="007F1075" w:rsidRPr="00724834" w:rsidRDefault="007F1075" w:rsidP="00F77C0F">
            <w:pPr>
              <w:spacing w:after="0" w:line="240" w:lineRule="auto"/>
              <w:rPr>
                <w:rFonts w:ascii="Garamond" w:eastAsia="Times New Roman" w:hAnsi="Garamond" w:cs="Times New Roman"/>
                <w:sz w:val="16"/>
                <w:szCs w:val="16"/>
                <w:lang w:val="en-US" w:eastAsia="nl-BE"/>
              </w:rPr>
            </w:pPr>
            <w:r w:rsidRPr="00724834">
              <w:rPr>
                <w:rFonts w:ascii="Garamond" w:eastAsia="Times New Roman" w:hAnsi="Garamond" w:cs="Times New Roman"/>
                <w:sz w:val="16"/>
                <w:szCs w:val="16"/>
                <w:lang w:val="en-US" w:eastAsia="nl-BE"/>
              </w:rPr>
              <w:t>24</w:t>
            </w:r>
          </w:p>
        </w:tc>
        <w:tc>
          <w:tcPr>
            <w:tcW w:w="1726" w:type="dxa"/>
            <w:tcBorders>
              <w:left w:val="nil"/>
              <w:bottom w:val="single" w:sz="4" w:space="0" w:color="auto"/>
              <w:right w:val="nil"/>
            </w:tcBorders>
            <w:shd w:val="clear" w:color="auto" w:fill="auto"/>
            <w:noWrap/>
            <w:hideMark/>
          </w:tcPr>
          <w:p w:rsidR="007F1075" w:rsidRPr="00724834" w:rsidRDefault="007F1075" w:rsidP="00F77C0F">
            <w:pPr>
              <w:spacing w:after="0" w:line="240" w:lineRule="auto"/>
              <w:rPr>
                <w:rFonts w:ascii="Garamond" w:eastAsia="Times New Roman" w:hAnsi="Garamond" w:cs="Times New Roman"/>
                <w:sz w:val="16"/>
                <w:szCs w:val="16"/>
                <w:lang w:val="en-US" w:eastAsia="nl-BE"/>
              </w:rPr>
            </w:pPr>
            <w:r w:rsidRPr="00724834">
              <w:rPr>
                <w:rFonts w:ascii="Garamond" w:eastAsia="Times New Roman" w:hAnsi="Garamond" w:cs="Times New Roman"/>
                <w:sz w:val="16"/>
                <w:szCs w:val="16"/>
                <w:lang w:val="en-US" w:eastAsia="nl-BE"/>
              </w:rPr>
              <w:t>Shale gas</w:t>
            </w:r>
          </w:p>
        </w:tc>
        <w:tc>
          <w:tcPr>
            <w:tcW w:w="7622" w:type="dxa"/>
            <w:tcBorders>
              <w:left w:val="nil"/>
            </w:tcBorders>
            <w:shd w:val="clear" w:color="auto" w:fill="auto"/>
            <w:noWrap/>
            <w:hideMark/>
          </w:tcPr>
          <w:p w:rsidR="007F1075" w:rsidRPr="00724834" w:rsidRDefault="007F1075" w:rsidP="00F77C0F">
            <w:pPr>
              <w:spacing w:after="0" w:line="240" w:lineRule="auto"/>
              <w:rPr>
                <w:rFonts w:ascii="Garamond" w:eastAsia="Times New Roman" w:hAnsi="Garamond" w:cs="Times New Roman"/>
                <w:sz w:val="16"/>
                <w:szCs w:val="16"/>
                <w:lang w:val="en-US" w:eastAsia="nl-BE"/>
              </w:rPr>
            </w:pPr>
            <w:r w:rsidRPr="00724834">
              <w:rPr>
                <w:rFonts w:ascii="Garamond" w:eastAsia="Times New Roman" w:hAnsi="Garamond" w:cs="Times New Roman"/>
                <w:sz w:val="16"/>
                <w:szCs w:val="16"/>
                <w:lang w:val="en-US" w:eastAsia="nl-BE"/>
              </w:rPr>
              <w:t>Do you totally agree, tend to agree, tend to disagree or totally disagree with the following statement: Harmonised and consistent approaches should be developed in the EU to manage unconventional fossil fuels extraction, such as shale gas</w:t>
            </w:r>
          </w:p>
        </w:tc>
      </w:tr>
      <w:tr w:rsidR="00724834" w:rsidRPr="00724834" w:rsidTr="00F77C0F">
        <w:trPr>
          <w:trHeight w:val="290"/>
        </w:trPr>
        <w:tc>
          <w:tcPr>
            <w:tcW w:w="840" w:type="dxa"/>
            <w:tcBorders>
              <w:right w:val="nil"/>
            </w:tcBorders>
            <w:shd w:val="clear" w:color="auto" w:fill="auto"/>
            <w:noWrap/>
            <w:hideMark/>
          </w:tcPr>
          <w:p w:rsidR="007F1075" w:rsidRPr="00724834" w:rsidRDefault="007F1075" w:rsidP="00F77C0F">
            <w:pPr>
              <w:spacing w:after="0" w:line="240" w:lineRule="auto"/>
              <w:rPr>
                <w:rFonts w:ascii="Garamond" w:eastAsia="Times New Roman" w:hAnsi="Garamond" w:cs="Times New Roman"/>
                <w:sz w:val="16"/>
                <w:szCs w:val="16"/>
                <w:lang w:val="en-US" w:eastAsia="nl-BE"/>
              </w:rPr>
            </w:pPr>
            <w:r w:rsidRPr="00724834">
              <w:rPr>
                <w:rFonts w:ascii="Garamond" w:eastAsia="Times New Roman" w:hAnsi="Garamond" w:cs="Times New Roman"/>
                <w:sz w:val="16"/>
                <w:szCs w:val="16"/>
                <w:lang w:val="en-US" w:eastAsia="nl-BE"/>
              </w:rPr>
              <w:t>39</w:t>
            </w:r>
          </w:p>
        </w:tc>
        <w:tc>
          <w:tcPr>
            <w:tcW w:w="1726" w:type="dxa"/>
            <w:tcBorders>
              <w:left w:val="nil"/>
              <w:bottom w:val="single" w:sz="4" w:space="0" w:color="auto"/>
              <w:right w:val="nil"/>
            </w:tcBorders>
            <w:shd w:val="clear" w:color="auto" w:fill="auto"/>
            <w:noWrap/>
            <w:hideMark/>
          </w:tcPr>
          <w:p w:rsidR="007F1075" w:rsidRPr="00724834" w:rsidRDefault="007F1075" w:rsidP="00F77C0F">
            <w:pPr>
              <w:spacing w:after="0" w:line="240" w:lineRule="auto"/>
              <w:rPr>
                <w:rFonts w:ascii="Garamond" w:eastAsia="Times New Roman" w:hAnsi="Garamond" w:cs="Times New Roman"/>
                <w:sz w:val="16"/>
                <w:szCs w:val="16"/>
                <w:lang w:val="en-US" w:eastAsia="nl-BE"/>
              </w:rPr>
            </w:pPr>
            <w:r w:rsidRPr="00724834">
              <w:rPr>
                <w:rFonts w:ascii="Garamond" w:eastAsia="Times New Roman" w:hAnsi="Garamond" w:cs="Times New Roman"/>
                <w:sz w:val="16"/>
                <w:szCs w:val="16"/>
                <w:lang w:val="en-US" w:eastAsia="nl-BE"/>
              </w:rPr>
              <w:t>Greenhouse gas</w:t>
            </w:r>
          </w:p>
        </w:tc>
        <w:tc>
          <w:tcPr>
            <w:tcW w:w="7622" w:type="dxa"/>
            <w:tcBorders>
              <w:left w:val="nil"/>
            </w:tcBorders>
            <w:shd w:val="clear" w:color="auto" w:fill="auto"/>
            <w:noWrap/>
            <w:hideMark/>
          </w:tcPr>
          <w:p w:rsidR="007F1075" w:rsidRPr="00724834" w:rsidRDefault="007F1075" w:rsidP="00F77C0F">
            <w:pPr>
              <w:spacing w:after="0" w:line="240" w:lineRule="auto"/>
              <w:rPr>
                <w:rFonts w:ascii="Garamond" w:eastAsia="Times New Roman" w:hAnsi="Garamond" w:cs="Times New Roman"/>
                <w:sz w:val="16"/>
                <w:szCs w:val="16"/>
                <w:lang w:val="en-US" w:eastAsia="nl-BE"/>
              </w:rPr>
            </w:pPr>
            <w:r w:rsidRPr="00724834">
              <w:rPr>
                <w:rFonts w:ascii="Garamond" w:eastAsia="Times New Roman" w:hAnsi="Garamond" w:cs="Times New Roman"/>
                <w:sz w:val="16"/>
                <w:szCs w:val="16"/>
                <w:lang w:val="en-US" w:eastAsia="nl-BE"/>
              </w:rPr>
              <w:t>Thinking about each of the following objectives to be reached by 2020 in the EU, would you say that it is too ambitious, about right or too modest? To reduce EU greenhouse gas emissions by at least 20% by 2020 compared to 1990</w:t>
            </w:r>
          </w:p>
        </w:tc>
      </w:tr>
      <w:tr w:rsidR="00724834" w:rsidRPr="00724834" w:rsidTr="00F77C0F">
        <w:trPr>
          <w:trHeight w:val="290"/>
        </w:trPr>
        <w:tc>
          <w:tcPr>
            <w:tcW w:w="840" w:type="dxa"/>
            <w:tcBorders>
              <w:right w:val="nil"/>
            </w:tcBorders>
            <w:shd w:val="clear" w:color="auto" w:fill="auto"/>
            <w:noWrap/>
            <w:hideMark/>
          </w:tcPr>
          <w:p w:rsidR="007F1075" w:rsidRPr="00724834" w:rsidRDefault="007F1075" w:rsidP="00F77C0F">
            <w:pPr>
              <w:spacing w:after="0" w:line="240" w:lineRule="auto"/>
              <w:rPr>
                <w:rFonts w:ascii="Garamond" w:eastAsia="Times New Roman" w:hAnsi="Garamond" w:cs="Times New Roman"/>
                <w:sz w:val="16"/>
                <w:szCs w:val="16"/>
                <w:lang w:val="en-US" w:eastAsia="nl-BE"/>
              </w:rPr>
            </w:pPr>
            <w:r w:rsidRPr="00724834">
              <w:rPr>
                <w:rFonts w:ascii="Garamond" w:eastAsia="Times New Roman" w:hAnsi="Garamond" w:cs="Times New Roman"/>
                <w:sz w:val="16"/>
                <w:szCs w:val="16"/>
                <w:lang w:val="en-US" w:eastAsia="nl-BE"/>
              </w:rPr>
              <w:t>40</w:t>
            </w:r>
          </w:p>
        </w:tc>
        <w:tc>
          <w:tcPr>
            <w:tcW w:w="1726" w:type="dxa"/>
            <w:tcBorders>
              <w:left w:val="nil"/>
              <w:bottom w:val="single" w:sz="4" w:space="0" w:color="auto"/>
              <w:right w:val="nil"/>
            </w:tcBorders>
            <w:shd w:val="clear" w:color="auto" w:fill="auto"/>
            <w:noWrap/>
            <w:hideMark/>
          </w:tcPr>
          <w:p w:rsidR="007F1075" w:rsidRPr="00724834" w:rsidRDefault="007F1075" w:rsidP="00F77C0F">
            <w:pPr>
              <w:spacing w:after="0" w:line="240" w:lineRule="auto"/>
              <w:rPr>
                <w:rFonts w:ascii="Garamond" w:eastAsia="Times New Roman" w:hAnsi="Garamond" w:cs="Times New Roman"/>
                <w:sz w:val="16"/>
                <w:szCs w:val="16"/>
                <w:lang w:val="en-US" w:eastAsia="nl-BE"/>
              </w:rPr>
            </w:pPr>
            <w:r w:rsidRPr="00724834">
              <w:rPr>
                <w:rFonts w:ascii="Garamond" w:eastAsia="Times New Roman" w:hAnsi="Garamond" w:cs="Times New Roman"/>
                <w:sz w:val="16"/>
                <w:szCs w:val="16"/>
                <w:lang w:val="en-US" w:eastAsia="nl-BE"/>
              </w:rPr>
              <w:t>Energy efficiency</w:t>
            </w:r>
          </w:p>
        </w:tc>
        <w:tc>
          <w:tcPr>
            <w:tcW w:w="7622" w:type="dxa"/>
            <w:tcBorders>
              <w:left w:val="nil"/>
            </w:tcBorders>
            <w:shd w:val="clear" w:color="auto" w:fill="auto"/>
            <w:noWrap/>
            <w:hideMark/>
          </w:tcPr>
          <w:p w:rsidR="007F1075" w:rsidRPr="00724834" w:rsidRDefault="007F1075" w:rsidP="00F77C0F">
            <w:pPr>
              <w:spacing w:after="0" w:line="240" w:lineRule="auto"/>
              <w:rPr>
                <w:rFonts w:ascii="Garamond" w:eastAsia="Times New Roman" w:hAnsi="Garamond" w:cs="Times New Roman"/>
                <w:sz w:val="16"/>
                <w:szCs w:val="16"/>
                <w:lang w:val="en-US" w:eastAsia="nl-BE"/>
              </w:rPr>
            </w:pPr>
            <w:r w:rsidRPr="00724834">
              <w:rPr>
                <w:rFonts w:ascii="Garamond" w:eastAsia="Times New Roman" w:hAnsi="Garamond" w:cs="Times New Roman"/>
                <w:sz w:val="16"/>
                <w:szCs w:val="16"/>
                <w:lang w:val="en-US" w:eastAsia="nl-BE"/>
              </w:rPr>
              <w:t>Thinking about each of the following objectives to be reached by 2020 in the EU, would you say that it is too ambitious, about right or too modest? To increase the energy efficiency in the EU by 20% by 2020</w:t>
            </w:r>
          </w:p>
        </w:tc>
      </w:tr>
      <w:tr w:rsidR="00724834" w:rsidRPr="00724834" w:rsidTr="00F77C0F">
        <w:trPr>
          <w:trHeight w:val="290"/>
        </w:trPr>
        <w:tc>
          <w:tcPr>
            <w:tcW w:w="10188" w:type="dxa"/>
            <w:gridSpan w:val="3"/>
            <w:shd w:val="clear" w:color="auto" w:fill="auto"/>
            <w:noWrap/>
          </w:tcPr>
          <w:p w:rsidR="007F1075" w:rsidRPr="00724834" w:rsidRDefault="007F1075" w:rsidP="00F77C0F">
            <w:pPr>
              <w:spacing w:after="0" w:line="240" w:lineRule="auto"/>
              <w:rPr>
                <w:rFonts w:ascii="Garamond" w:eastAsia="Times New Roman" w:hAnsi="Garamond" w:cs="Times New Roman"/>
                <w:i/>
                <w:sz w:val="16"/>
                <w:szCs w:val="16"/>
                <w:lang w:val="en-US" w:eastAsia="nl-BE"/>
              </w:rPr>
            </w:pPr>
            <w:r w:rsidRPr="00724834">
              <w:rPr>
                <w:rFonts w:ascii="Garamond" w:eastAsia="Times New Roman" w:hAnsi="Garamond" w:cs="Times New Roman"/>
                <w:i/>
                <w:sz w:val="16"/>
                <w:szCs w:val="16"/>
                <w:lang w:val="en-US" w:eastAsia="nl-BE"/>
              </w:rPr>
              <w:t xml:space="preserve">The following three issues on Biodiversity subsidies were collapsed in the survey project because lobbying strategies and influence could not be neatly separated. </w:t>
            </w:r>
          </w:p>
        </w:tc>
      </w:tr>
      <w:tr w:rsidR="00724834" w:rsidRPr="00724834" w:rsidTr="00F77C0F">
        <w:trPr>
          <w:trHeight w:val="290"/>
        </w:trPr>
        <w:tc>
          <w:tcPr>
            <w:tcW w:w="840" w:type="dxa"/>
            <w:tcBorders>
              <w:right w:val="nil"/>
            </w:tcBorders>
            <w:shd w:val="clear" w:color="auto" w:fill="auto"/>
            <w:noWrap/>
          </w:tcPr>
          <w:p w:rsidR="007F1075" w:rsidRPr="00724834" w:rsidRDefault="007F1075" w:rsidP="00F77C0F">
            <w:pPr>
              <w:tabs>
                <w:tab w:val="left" w:pos="3160"/>
              </w:tabs>
              <w:spacing w:after="0" w:line="240" w:lineRule="auto"/>
              <w:rPr>
                <w:rFonts w:ascii="Garamond" w:eastAsia="Times New Roman" w:hAnsi="Garamond" w:cs="Times New Roman"/>
                <w:i/>
                <w:sz w:val="16"/>
                <w:szCs w:val="16"/>
                <w:lang w:val="en-US" w:eastAsia="nl-BE"/>
              </w:rPr>
            </w:pPr>
            <w:r w:rsidRPr="00724834">
              <w:rPr>
                <w:rFonts w:ascii="Garamond" w:eastAsia="Times New Roman" w:hAnsi="Garamond" w:cs="Times New Roman"/>
                <w:sz w:val="16"/>
                <w:szCs w:val="16"/>
                <w:lang w:val="en-US" w:eastAsia="nl-BE"/>
              </w:rPr>
              <w:t>22</w:t>
            </w:r>
          </w:p>
        </w:tc>
        <w:tc>
          <w:tcPr>
            <w:tcW w:w="1726" w:type="dxa"/>
            <w:tcBorders>
              <w:left w:val="nil"/>
              <w:right w:val="nil"/>
            </w:tcBorders>
            <w:shd w:val="clear" w:color="auto" w:fill="auto"/>
          </w:tcPr>
          <w:p w:rsidR="007F1075" w:rsidRPr="00724834" w:rsidRDefault="007F1075" w:rsidP="00F77C0F">
            <w:pPr>
              <w:tabs>
                <w:tab w:val="left" w:pos="3160"/>
              </w:tabs>
              <w:spacing w:after="0" w:line="240" w:lineRule="auto"/>
              <w:rPr>
                <w:rFonts w:ascii="Garamond" w:eastAsia="Times New Roman" w:hAnsi="Garamond" w:cs="Times New Roman"/>
                <w:sz w:val="16"/>
                <w:szCs w:val="16"/>
                <w:lang w:val="en-US" w:eastAsia="nl-BE"/>
              </w:rPr>
            </w:pPr>
            <w:r w:rsidRPr="00724834">
              <w:rPr>
                <w:rFonts w:ascii="Garamond" w:eastAsia="Times New Roman" w:hAnsi="Garamond" w:cs="Times New Roman"/>
                <w:sz w:val="16"/>
                <w:szCs w:val="16"/>
                <w:lang w:val="en-US" w:eastAsia="nl-BE"/>
              </w:rPr>
              <w:t>Biodiversity</w:t>
            </w:r>
          </w:p>
        </w:tc>
        <w:tc>
          <w:tcPr>
            <w:tcW w:w="7622" w:type="dxa"/>
            <w:tcBorders>
              <w:top w:val="nil"/>
              <w:left w:val="nil"/>
            </w:tcBorders>
            <w:shd w:val="clear" w:color="auto" w:fill="auto"/>
          </w:tcPr>
          <w:p w:rsidR="007F1075" w:rsidRPr="00724834" w:rsidRDefault="007F1075" w:rsidP="00F77C0F">
            <w:pPr>
              <w:spacing w:after="0" w:line="240" w:lineRule="auto"/>
              <w:rPr>
                <w:rFonts w:ascii="Garamond" w:eastAsia="Times New Roman" w:hAnsi="Garamond" w:cs="Times New Roman"/>
                <w:sz w:val="16"/>
                <w:szCs w:val="16"/>
                <w:lang w:val="en-US" w:eastAsia="nl-BE"/>
              </w:rPr>
            </w:pPr>
            <w:r w:rsidRPr="00724834">
              <w:rPr>
                <w:rFonts w:ascii="Garamond" w:eastAsia="Times New Roman" w:hAnsi="Garamond" w:cs="Times New Roman"/>
                <w:sz w:val="16"/>
                <w:szCs w:val="16"/>
                <w:lang w:val="en-US" w:eastAsia="nl-BE"/>
              </w:rPr>
              <w:t>In order to protect biodiversity please tell me if you agree or disagree that the EU should take each of the following measures…</w:t>
            </w:r>
          </w:p>
          <w:p w:rsidR="007F1075" w:rsidRPr="00724834" w:rsidRDefault="007F1075" w:rsidP="00F77C0F">
            <w:pPr>
              <w:spacing w:after="0" w:line="240" w:lineRule="auto"/>
              <w:rPr>
                <w:rFonts w:ascii="Garamond" w:hAnsi="Garamond" w:cs="Times New Roman"/>
                <w:sz w:val="16"/>
                <w:szCs w:val="16"/>
                <w:lang w:val="en-US" w:eastAsia="nl-BE"/>
              </w:rPr>
            </w:pPr>
            <w:r w:rsidRPr="00724834">
              <w:rPr>
                <w:rFonts w:ascii="Garamond" w:hAnsi="Garamond" w:cs="Times New Roman"/>
                <w:sz w:val="16"/>
                <w:szCs w:val="16"/>
                <w:lang w:val="en-US" w:eastAsia="nl-BE"/>
              </w:rPr>
              <w:t>1.Make sure that subsidies to sectors like agriculture or fisheries also take account of biodiversity</w:t>
            </w:r>
          </w:p>
          <w:p w:rsidR="007F1075" w:rsidRPr="00724834" w:rsidRDefault="007F1075" w:rsidP="00F77C0F">
            <w:pPr>
              <w:spacing w:after="0" w:line="240" w:lineRule="auto"/>
              <w:rPr>
                <w:rFonts w:ascii="Garamond" w:hAnsi="Garamond" w:cs="Times New Roman"/>
                <w:sz w:val="16"/>
                <w:szCs w:val="16"/>
                <w:lang w:val="en-US" w:eastAsia="nl-BE"/>
              </w:rPr>
            </w:pPr>
            <w:r w:rsidRPr="00724834">
              <w:rPr>
                <w:rFonts w:ascii="Garamond" w:hAnsi="Garamond" w:cs="Times New Roman"/>
                <w:sz w:val="16"/>
                <w:szCs w:val="16"/>
                <w:lang w:val="en-US" w:eastAsia="nl-BE"/>
              </w:rPr>
              <w:t>2.Create financial rewards (e.g. for farmers or fishermen) for nature conservation</w:t>
            </w:r>
          </w:p>
          <w:p w:rsidR="007F1075" w:rsidRPr="00724834" w:rsidRDefault="007F1075" w:rsidP="00F77C0F">
            <w:pPr>
              <w:tabs>
                <w:tab w:val="left" w:pos="3160"/>
              </w:tabs>
              <w:spacing w:after="0" w:line="240" w:lineRule="auto"/>
              <w:rPr>
                <w:rFonts w:ascii="Garamond" w:eastAsia="Times New Roman" w:hAnsi="Garamond" w:cs="Times New Roman"/>
                <w:i/>
                <w:sz w:val="16"/>
                <w:szCs w:val="16"/>
                <w:lang w:val="en-US" w:eastAsia="nl-BE"/>
              </w:rPr>
            </w:pPr>
            <w:r w:rsidRPr="00724834">
              <w:rPr>
                <w:rFonts w:ascii="Garamond" w:hAnsi="Garamond" w:cs="Times New Roman"/>
                <w:sz w:val="16"/>
                <w:szCs w:val="16"/>
                <w:lang w:val="en-US" w:eastAsia="nl-BE"/>
              </w:rPr>
              <w:t>3.Expand the areas where nature is protected in Europe</w:t>
            </w:r>
          </w:p>
        </w:tc>
      </w:tr>
    </w:tbl>
    <w:p w:rsidR="007F1075" w:rsidRPr="00724834" w:rsidRDefault="007F1075" w:rsidP="007F1075">
      <w:pPr>
        <w:rPr>
          <w:rFonts w:ascii="Garamond" w:hAnsi="Garamond"/>
          <w:lang w:val="en-US"/>
        </w:rPr>
      </w:pPr>
    </w:p>
    <w:p w:rsidR="007F1075" w:rsidRPr="00724834" w:rsidRDefault="007F1075" w:rsidP="007F1075">
      <w:pPr>
        <w:pStyle w:val="Heading1"/>
        <w:rPr>
          <w:rFonts w:cs="Times New Roman"/>
        </w:rPr>
      </w:pPr>
      <w:bookmarkStart w:id="2" w:name="_Toc132807387"/>
      <w:r w:rsidRPr="00724834">
        <w:rPr>
          <w:rFonts w:cs="Times New Roman"/>
        </w:rPr>
        <w:t>Selection of media sources</w:t>
      </w:r>
      <w:bookmarkEnd w:id="2"/>
    </w:p>
    <w:p w:rsidR="007F1075" w:rsidRPr="00724834" w:rsidRDefault="007F1075" w:rsidP="007F1075">
      <w:pPr>
        <w:spacing w:before="240" w:line="480" w:lineRule="auto"/>
        <w:jc w:val="both"/>
        <w:rPr>
          <w:rFonts w:ascii="Garamond" w:hAnsi="Garamond" w:cs="Times New Roman"/>
          <w:szCs w:val="24"/>
          <w:lang w:val="en-US"/>
        </w:rPr>
      </w:pPr>
      <w:r w:rsidRPr="00724834">
        <w:rPr>
          <w:rFonts w:ascii="Garamond" w:hAnsi="Garamond" w:cs="Times New Roman"/>
          <w:szCs w:val="24"/>
          <w:lang w:val="en-US"/>
        </w:rPr>
        <w:t xml:space="preserve">For the selection of news media outlets, a ‘most different case selection design’ was applied </w:t>
      </w:r>
      <w:bookmarkStart w:id="3" w:name="_Hlk116655421"/>
      <w:r w:rsidRPr="00724834">
        <w:rPr>
          <w:rFonts w:ascii="Garamond" w:hAnsi="Garamond" w:cs="Times New Roman"/>
          <w:szCs w:val="24"/>
          <w:lang w:val="en-US"/>
        </w:rPr>
        <w:t xml:space="preserve">to maximize the possible sources of relevant extraneous variance. </w:t>
      </w:r>
      <w:bookmarkEnd w:id="3"/>
      <w:r w:rsidRPr="00724834">
        <w:rPr>
          <w:rFonts w:ascii="Garamond" w:hAnsi="Garamond" w:cs="Times New Roman"/>
          <w:szCs w:val="24"/>
          <w:lang w:val="en-US"/>
        </w:rPr>
        <w:t xml:space="preserve">We selected media outlets from different countries geographically located in different parts of Europe, with different journalistic styles that vary in format and adhere to diverse political orientations. Because of the central research objectives of the project to study the links between elites and the public, we prioritized news outlets with a wide circulation to ensure that their coverage had the potential to reach a wide range of European citizens. To ensure that we would have a substantive corpus of statements from political elites and stakeholders on the sampled set of issues, we selected four news outlets that were studied in former research projects on EU representation (most notably the DEU and INTEREURO projects) and that extensively covered EU-related topics. </w:t>
      </w:r>
    </w:p>
    <w:p w:rsidR="007F1075" w:rsidRPr="00724834" w:rsidRDefault="007F1075" w:rsidP="007F1075">
      <w:pPr>
        <w:rPr>
          <w:rFonts w:ascii="Garamond" w:hAnsi="Garamond" w:cs="Times New Roman"/>
          <w:szCs w:val="24"/>
          <w:lang w:val="en-US"/>
        </w:rPr>
        <w:sectPr w:rsidR="007F1075" w:rsidRPr="00724834" w:rsidSect="004E3D20">
          <w:footerReference w:type="default" r:id="rId9"/>
          <w:pgSz w:w="12240" w:h="15840"/>
          <w:pgMar w:top="1440" w:right="1440" w:bottom="1440" w:left="1440" w:header="709" w:footer="709" w:gutter="0"/>
          <w:cols w:space="708"/>
          <w:docGrid w:linePitch="360"/>
        </w:sectPr>
      </w:pPr>
    </w:p>
    <w:p w:rsidR="007F1075" w:rsidRPr="00724834" w:rsidRDefault="007F1075" w:rsidP="007F1075">
      <w:pPr>
        <w:rPr>
          <w:rFonts w:ascii="Garamond" w:hAnsi="Garamond" w:cs="Times New Roman"/>
          <w:szCs w:val="24"/>
          <w:lang w:val="en-US"/>
        </w:rPr>
      </w:pPr>
    </w:p>
    <w:p w:rsidR="007F1075" w:rsidRPr="00724834" w:rsidRDefault="007F1075" w:rsidP="007F1075">
      <w:pPr>
        <w:spacing w:line="360" w:lineRule="auto"/>
        <w:jc w:val="both"/>
        <w:rPr>
          <w:rFonts w:ascii="Garamond" w:hAnsi="Garamond" w:cs="Times New Roman"/>
          <w:b/>
          <w:lang w:val="en-US"/>
        </w:rPr>
      </w:pPr>
      <w:r w:rsidRPr="00724834">
        <w:rPr>
          <w:rFonts w:ascii="Garamond" w:hAnsi="Garamond" w:cs="Times New Roman"/>
          <w:b/>
          <w:lang w:val="en-US"/>
        </w:rPr>
        <w:t>Table A2. Overview of eighth selected media outlets</w:t>
      </w:r>
    </w:p>
    <w:tbl>
      <w:tblPr>
        <w:tblStyle w:val="Tabelraster1"/>
        <w:tblW w:w="11327" w:type="dxa"/>
        <w:tblLook w:val="04A0" w:firstRow="1" w:lastRow="0" w:firstColumn="1" w:lastColumn="0" w:noHBand="0" w:noVBand="1"/>
      </w:tblPr>
      <w:tblGrid>
        <w:gridCol w:w="1395"/>
        <w:gridCol w:w="1279"/>
        <w:gridCol w:w="1206"/>
        <w:gridCol w:w="1329"/>
        <w:gridCol w:w="1726"/>
        <w:gridCol w:w="1585"/>
        <w:gridCol w:w="1458"/>
        <w:gridCol w:w="1349"/>
      </w:tblGrid>
      <w:tr w:rsidR="00724834" w:rsidRPr="00724834" w:rsidTr="00F77C0F">
        <w:trPr>
          <w:trHeight w:val="626"/>
        </w:trPr>
        <w:tc>
          <w:tcPr>
            <w:tcW w:w="1395" w:type="dxa"/>
          </w:tcPr>
          <w:p w:rsidR="007F1075" w:rsidRPr="00724834" w:rsidRDefault="007F1075" w:rsidP="00F77C0F">
            <w:pPr>
              <w:rPr>
                <w:rFonts w:ascii="Garamond" w:hAnsi="Garamond" w:cs="Times New Roman"/>
                <w:b/>
                <w:lang w:val="en-US"/>
              </w:rPr>
            </w:pPr>
            <w:r w:rsidRPr="00724834">
              <w:rPr>
                <w:rFonts w:ascii="Garamond" w:hAnsi="Garamond" w:cs="Times New Roman"/>
                <w:b/>
                <w:lang w:val="en-US"/>
              </w:rPr>
              <w:t>News outlet</w:t>
            </w:r>
          </w:p>
        </w:tc>
        <w:tc>
          <w:tcPr>
            <w:tcW w:w="1279" w:type="dxa"/>
          </w:tcPr>
          <w:p w:rsidR="007F1075" w:rsidRPr="00724834" w:rsidRDefault="007F1075" w:rsidP="00F77C0F">
            <w:pPr>
              <w:jc w:val="both"/>
              <w:rPr>
                <w:rFonts w:ascii="Garamond" w:hAnsi="Garamond" w:cs="Times New Roman"/>
                <w:b/>
                <w:lang w:val="en-US"/>
              </w:rPr>
            </w:pPr>
            <w:r w:rsidRPr="00724834">
              <w:rPr>
                <w:rFonts w:ascii="Garamond" w:hAnsi="Garamond" w:cs="Times New Roman"/>
                <w:b/>
                <w:lang w:val="en-US"/>
              </w:rPr>
              <w:t>Country</w:t>
            </w:r>
          </w:p>
        </w:tc>
        <w:tc>
          <w:tcPr>
            <w:tcW w:w="1206" w:type="dxa"/>
          </w:tcPr>
          <w:p w:rsidR="007F1075" w:rsidRPr="00724834" w:rsidRDefault="007F1075" w:rsidP="00F77C0F">
            <w:pPr>
              <w:jc w:val="both"/>
              <w:rPr>
                <w:rFonts w:ascii="Garamond" w:hAnsi="Garamond" w:cs="Times New Roman"/>
                <w:b/>
                <w:lang w:val="en-US"/>
              </w:rPr>
            </w:pPr>
            <w:r w:rsidRPr="00724834">
              <w:rPr>
                <w:rFonts w:ascii="Garamond" w:hAnsi="Garamond" w:cs="Times New Roman"/>
                <w:b/>
                <w:lang w:val="en-US"/>
              </w:rPr>
              <w:t>Format</w:t>
            </w:r>
          </w:p>
        </w:tc>
        <w:tc>
          <w:tcPr>
            <w:tcW w:w="1329" w:type="dxa"/>
          </w:tcPr>
          <w:p w:rsidR="007F1075" w:rsidRPr="00724834" w:rsidRDefault="007F1075" w:rsidP="00F77C0F">
            <w:pPr>
              <w:jc w:val="both"/>
              <w:rPr>
                <w:rFonts w:ascii="Garamond" w:hAnsi="Garamond" w:cs="Times New Roman"/>
                <w:b/>
                <w:lang w:val="en-US"/>
              </w:rPr>
            </w:pPr>
            <w:r w:rsidRPr="00724834">
              <w:rPr>
                <w:rFonts w:ascii="Garamond" w:hAnsi="Garamond" w:cs="Times New Roman"/>
                <w:b/>
                <w:lang w:val="en-US"/>
              </w:rPr>
              <w:t>Journalistic Style</w:t>
            </w:r>
          </w:p>
        </w:tc>
        <w:tc>
          <w:tcPr>
            <w:tcW w:w="1726" w:type="dxa"/>
          </w:tcPr>
          <w:p w:rsidR="007F1075" w:rsidRPr="00724834" w:rsidRDefault="007F1075" w:rsidP="00F77C0F">
            <w:pPr>
              <w:jc w:val="both"/>
              <w:rPr>
                <w:rFonts w:ascii="Garamond" w:hAnsi="Garamond" w:cs="Times New Roman"/>
                <w:b/>
                <w:lang w:val="en-US"/>
              </w:rPr>
            </w:pPr>
            <w:r w:rsidRPr="00724834">
              <w:rPr>
                <w:rFonts w:ascii="Garamond" w:hAnsi="Garamond" w:cs="Times New Roman"/>
                <w:b/>
                <w:lang w:val="en-US"/>
              </w:rPr>
              <w:t>Political orientation</w:t>
            </w:r>
          </w:p>
        </w:tc>
        <w:tc>
          <w:tcPr>
            <w:tcW w:w="1585" w:type="dxa"/>
          </w:tcPr>
          <w:p w:rsidR="007F1075" w:rsidRPr="00724834" w:rsidRDefault="007F1075" w:rsidP="00F77C0F">
            <w:pPr>
              <w:rPr>
                <w:rFonts w:ascii="Garamond" w:hAnsi="Garamond" w:cs="Times New Roman"/>
                <w:b/>
                <w:lang w:val="en-US"/>
              </w:rPr>
            </w:pPr>
            <w:r w:rsidRPr="00724834">
              <w:rPr>
                <w:rFonts w:ascii="Garamond" w:hAnsi="Garamond" w:cs="Times New Roman"/>
                <w:b/>
                <w:lang w:val="en-US"/>
              </w:rPr>
              <w:t>Studied in former large projects on EU representation</w:t>
            </w:r>
          </w:p>
        </w:tc>
        <w:tc>
          <w:tcPr>
            <w:tcW w:w="1458" w:type="dxa"/>
          </w:tcPr>
          <w:p w:rsidR="007F1075" w:rsidRPr="00724834" w:rsidRDefault="007F1075" w:rsidP="00F77C0F">
            <w:pPr>
              <w:rPr>
                <w:rFonts w:ascii="Garamond" w:hAnsi="Garamond" w:cs="Times New Roman"/>
                <w:b/>
                <w:lang w:val="en-US"/>
              </w:rPr>
            </w:pPr>
            <w:r w:rsidRPr="00724834">
              <w:rPr>
                <w:rFonts w:ascii="Garamond" w:hAnsi="Garamond" w:cs="Times New Roman"/>
                <w:b/>
                <w:lang w:val="en-US"/>
              </w:rPr>
              <w:t>Daily paid circulation in 2016</w:t>
            </w:r>
          </w:p>
        </w:tc>
        <w:tc>
          <w:tcPr>
            <w:tcW w:w="1349" w:type="dxa"/>
          </w:tcPr>
          <w:p w:rsidR="007F1075" w:rsidRPr="00724834" w:rsidRDefault="007F1075" w:rsidP="00F77C0F">
            <w:pPr>
              <w:rPr>
                <w:rFonts w:ascii="Garamond" w:hAnsi="Garamond" w:cs="Times New Roman"/>
                <w:b/>
                <w:lang w:val="en-US"/>
              </w:rPr>
            </w:pPr>
            <w:r w:rsidRPr="00724834">
              <w:rPr>
                <w:rFonts w:ascii="Garamond" w:hAnsi="Garamond" w:cs="Times New Roman"/>
                <w:b/>
                <w:sz w:val="20"/>
                <w:szCs w:val="20"/>
                <w:lang w:val="en-US"/>
              </w:rPr>
              <w:t>Number of articles identified</w:t>
            </w:r>
          </w:p>
        </w:tc>
      </w:tr>
      <w:tr w:rsidR="00724834" w:rsidRPr="00724834" w:rsidTr="00F77C0F">
        <w:trPr>
          <w:trHeight w:val="289"/>
        </w:trPr>
        <w:tc>
          <w:tcPr>
            <w:tcW w:w="1395"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1. Aftonbladet</w:t>
            </w:r>
          </w:p>
        </w:tc>
        <w:tc>
          <w:tcPr>
            <w:tcW w:w="1279"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Sweden</w:t>
            </w:r>
          </w:p>
        </w:tc>
        <w:tc>
          <w:tcPr>
            <w:tcW w:w="1206"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Tabloid</w:t>
            </w:r>
          </w:p>
        </w:tc>
        <w:tc>
          <w:tcPr>
            <w:tcW w:w="1329"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Sensational</w:t>
            </w:r>
          </w:p>
        </w:tc>
        <w:tc>
          <w:tcPr>
            <w:tcW w:w="1726"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Left wing, populist</w:t>
            </w:r>
          </w:p>
        </w:tc>
        <w:tc>
          <w:tcPr>
            <w:tcW w:w="1585"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No</w:t>
            </w:r>
          </w:p>
        </w:tc>
        <w:tc>
          <w:tcPr>
            <w:tcW w:w="1458"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154,900 (2014)</w:t>
            </w:r>
          </w:p>
        </w:tc>
        <w:tc>
          <w:tcPr>
            <w:tcW w:w="1349" w:type="dxa"/>
          </w:tcPr>
          <w:p w:rsidR="007F1075" w:rsidRPr="00724834" w:rsidRDefault="007F1075" w:rsidP="00F77C0F">
            <w:pPr>
              <w:rPr>
                <w:rFonts w:ascii="Garamond" w:hAnsi="Garamond" w:cs="Times New Roman"/>
                <w:lang w:val="en-US"/>
              </w:rPr>
            </w:pPr>
            <w:r w:rsidRPr="00724834">
              <w:rPr>
                <w:rFonts w:ascii="Garamond" w:hAnsi="Garamond" w:cs="Times New Roman"/>
                <w:sz w:val="20"/>
                <w:szCs w:val="20"/>
                <w:lang w:val="en-US"/>
              </w:rPr>
              <w:t>99</w:t>
            </w:r>
          </w:p>
        </w:tc>
      </w:tr>
      <w:tr w:rsidR="00724834" w:rsidRPr="00724834" w:rsidTr="00F77C0F">
        <w:trPr>
          <w:trHeight w:val="305"/>
        </w:trPr>
        <w:tc>
          <w:tcPr>
            <w:tcW w:w="1395"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 xml:space="preserve">2. Corriere </w:t>
            </w:r>
          </w:p>
          <w:p w:rsidR="007F1075" w:rsidRPr="00724834" w:rsidRDefault="007F1075" w:rsidP="00F77C0F">
            <w:pPr>
              <w:rPr>
                <w:rFonts w:ascii="Garamond" w:hAnsi="Garamond" w:cs="Times New Roman"/>
                <w:lang w:val="en-US"/>
              </w:rPr>
            </w:pPr>
            <w:r w:rsidRPr="00724834">
              <w:rPr>
                <w:rFonts w:ascii="Garamond" w:hAnsi="Garamond" w:cs="Times New Roman"/>
                <w:lang w:val="en-US"/>
              </w:rPr>
              <w:t xml:space="preserve">    Della Sera</w:t>
            </w:r>
          </w:p>
        </w:tc>
        <w:tc>
          <w:tcPr>
            <w:tcW w:w="1279"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Italy</w:t>
            </w:r>
          </w:p>
        </w:tc>
        <w:tc>
          <w:tcPr>
            <w:tcW w:w="1206"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Broadsheet</w:t>
            </w:r>
          </w:p>
        </w:tc>
        <w:tc>
          <w:tcPr>
            <w:tcW w:w="1329"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Quality press</w:t>
            </w:r>
          </w:p>
        </w:tc>
        <w:tc>
          <w:tcPr>
            <w:tcW w:w="1726"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Centrist, liberal</w:t>
            </w:r>
          </w:p>
        </w:tc>
        <w:tc>
          <w:tcPr>
            <w:tcW w:w="1585"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No</w:t>
            </w:r>
          </w:p>
        </w:tc>
        <w:tc>
          <w:tcPr>
            <w:tcW w:w="1458"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310,437</w:t>
            </w:r>
          </w:p>
        </w:tc>
        <w:tc>
          <w:tcPr>
            <w:tcW w:w="1349" w:type="dxa"/>
          </w:tcPr>
          <w:p w:rsidR="007F1075" w:rsidRPr="00724834" w:rsidRDefault="007F1075" w:rsidP="00F77C0F">
            <w:pPr>
              <w:rPr>
                <w:rFonts w:ascii="Garamond" w:hAnsi="Garamond" w:cs="Times New Roman"/>
                <w:lang w:val="en-US"/>
              </w:rPr>
            </w:pPr>
            <w:r w:rsidRPr="00724834">
              <w:rPr>
                <w:rFonts w:ascii="Garamond" w:hAnsi="Garamond" w:cs="Times New Roman"/>
                <w:sz w:val="20"/>
                <w:szCs w:val="20"/>
                <w:lang w:val="en-US"/>
              </w:rPr>
              <w:t>262</w:t>
            </w:r>
          </w:p>
        </w:tc>
      </w:tr>
      <w:tr w:rsidR="00724834" w:rsidRPr="00724834" w:rsidTr="00F77C0F">
        <w:trPr>
          <w:trHeight w:val="310"/>
        </w:trPr>
        <w:tc>
          <w:tcPr>
            <w:tcW w:w="1395"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3. De Telegraaf</w:t>
            </w:r>
          </w:p>
        </w:tc>
        <w:tc>
          <w:tcPr>
            <w:tcW w:w="1279"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Netherlands</w:t>
            </w:r>
          </w:p>
        </w:tc>
        <w:tc>
          <w:tcPr>
            <w:tcW w:w="1206"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Tabloid</w:t>
            </w:r>
          </w:p>
        </w:tc>
        <w:tc>
          <w:tcPr>
            <w:tcW w:w="1329"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Sensational</w:t>
            </w:r>
          </w:p>
        </w:tc>
        <w:tc>
          <w:tcPr>
            <w:tcW w:w="1726"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 xml:space="preserve">Right wing, populist </w:t>
            </w:r>
          </w:p>
        </w:tc>
        <w:tc>
          <w:tcPr>
            <w:tcW w:w="1585"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No</w:t>
            </w:r>
          </w:p>
        </w:tc>
        <w:tc>
          <w:tcPr>
            <w:tcW w:w="1458"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 xml:space="preserve">382,000 </w:t>
            </w:r>
          </w:p>
        </w:tc>
        <w:tc>
          <w:tcPr>
            <w:tcW w:w="1349" w:type="dxa"/>
          </w:tcPr>
          <w:p w:rsidR="007F1075" w:rsidRPr="00724834" w:rsidRDefault="007F1075" w:rsidP="00F77C0F">
            <w:pPr>
              <w:rPr>
                <w:rFonts w:ascii="Garamond" w:hAnsi="Garamond" w:cs="Times New Roman"/>
                <w:lang w:val="en-US"/>
              </w:rPr>
            </w:pPr>
            <w:r w:rsidRPr="00724834">
              <w:rPr>
                <w:rFonts w:ascii="Garamond" w:hAnsi="Garamond" w:cs="Times New Roman"/>
                <w:sz w:val="20"/>
                <w:szCs w:val="20"/>
                <w:lang w:val="en-US"/>
              </w:rPr>
              <w:t>176</w:t>
            </w:r>
          </w:p>
        </w:tc>
      </w:tr>
      <w:tr w:rsidR="00724834" w:rsidRPr="00724834" w:rsidTr="00F77C0F">
        <w:trPr>
          <w:trHeight w:val="369"/>
        </w:trPr>
        <w:tc>
          <w:tcPr>
            <w:tcW w:w="1395"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4. EurActiv</w:t>
            </w:r>
          </w:p>
        </w:tc>
        <w:tc>
          <w:tcPr>
            <w:tcW w:w="1279"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Europe-wide</w:t>
            </w:r>
          </w:p>
        </w:tc>
        <w:tc>
          <w:tcPr>
            <w:tcW w:w="1206"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 xml:space="preserve">Online </w:t>
            </w:r>
          </w:p>
        </w:tc>
        <w:tc>
          <w:tcPr>
            <w:tcW w:w="1329"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Quality press</w:t>
            </w:r>
          </w:p>
        </w:tc>
        <w:tc>
          <w:tcPr>
            <w:tcW w:w="1726"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Centrist, Europhile</w:t>
            </w:r>
          </w:p>
        </w:tc>
        <w:tc>
          <w:tcPr>
            <w:tcW w:w="1585"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Yes</w:t>
            </w:r>
          </w:p>
        </w:tc>
        <w:tc>
          <w:tcPr>
            <w:tcW w:w="1458"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794,992 (free)</w:t>
            </w:r>
          </w:p>
        </w:tc>
        <w:tc>
          <w:tcPr>
            <w:tcW w:w="1349" w:type="dxa"/>
          </w:tcPr>
          <w:p w:rsidR="007F1075" w:rsidRPr="00724834" w:rsidRDefault="007F1075" w:rsidP="00F77C0F">
            <w:pPr>
              <w:rPr>
                <w:rFonts w:ascii="Garamond" w:hAnsi="Garamond" w:cs="Times New Roman"/>
                <w:lang w:val="en-US"/>
              </w:rPr>
            </w:pPr>
            <w:r w:rsidRPr="00724834">
              <w:rPr>
                <w:rFonts w:ascii="Garamond" w:hAnsi="Garamond" w:cs="Times New Roman"/>
                <w:sz w:val="20"/>
                <w:szCs w:val="20"/>
                <w:lang w:val="en-US"/>
              </w:rPr>
              <w:t>623</w:t>
            </w:r>
          </w:p>
        </w:tc>
      </w:tr>
      <w:tr w:rsidR="00724834" w:rsidRPr="00724834" w:rsidTr="00F77C0F">
        <w:trPr>
          <w:trHeight w:val="306"/>
        </w:trPr>
        <w:tc>
          <w:tcPr>
            <w:tcW w:w="1395"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5. Fakt</w:t>
            </w:r>
          </w:p>
        </w:tc>
        <w:tc>
          <w:tcPr>
            <w:tcW w:w="1279"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Poland</w:t>
            </w:r>
          </w:p>
        </w:tc>
        <w:tc>
          <w:tcPr>
            <w:tcW w:w="1206"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Tabloid</w:t>
            </w:r>
          </w:p>
        </w:tc>
        <w:tc>
          <w:tcPr>
            <w:tcW w:w="1329"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Sensational</w:t>
            </w:r>
          </w:p>
        </w:tc>
        <w:tc>
          <w:tcPr>
            <w:tcW w:w="1726"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Centrist, populist</w:t>
            </w:r>
          </w:p>
        </w:tc>
        <w:tc>
          <w:tcPr>
            <w:tcW w:w="1585"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No</w:t>
            </w:r>
          </w:p>
        </w:tc>
        <w:tc>
          <w:tcPr>
            <w:tcW w:w="1458"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 xml:space="preserve">270,331 </w:t>
            </w:r>
          </w:p>
        </w:tc>
        <w:tc>
          <w:tcPr>
            <w:tcW w:w="1349" w:type="dxa"/>
          </w:tcPr>
          <w:p w:rsidR="007F1075" w:rsidRPr="00724834" w:rsidRDefault="007F1075" w:rsidP="00F77C0F">
            <w:pPr>
              <w:rPr>
                <w:rFonts w:ascii="Garamond" w:hAnsi="Garamond" w:cs="Times New Roman"/>
                <w:lang w:val="en-US"/>
              </w:rPr>
            </w:pPr>
            <w:r w:rsidRPr="00724834">
              <w:rPr>
                <w:rFonts w:ascii="Garamond" w:hAnsi="Garamond" w:cs="Times New Roman"/>
                <w:sz w:val="20"/>
                <w:szCs w:val="20"/>
                <w:lang w:val="en-US"/>
              </w:rPr>
              <w:t>40</w:t>
            </w:r>
          </w:p>
        </w:tc>
      </w:tr>
      <w:tr w:rsidR="00724834" w:rsidRPr="00724834" w:rsidTr="00F77C0F">
        <w:trPr>
          <w:trHeight w:val="415"/>
        </w:trPr>
        <w:tc>
          <w:tcPr>
            <w:tcW w:w="1395"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 xml:space="preserve">6. Financial </w:t>
            </w:r>
          </w:p>
          <w:p w:rsidR="007F1075" w:rsidRPr="00724834" w:rsidRDefault="007F1075" w:rsidP="00F77C0F">
            <w:pPr>
              <w:rPr>
                <w:rFonts w:ascii="Garamond" w:hAnsi="Garamond" w:cs="Times New Roman"/>
                <w:lang w:val="en-US"/>
              </w:rPr>
            </w:pPr>
            <w:r w:rsidRPr="00724834">
              <w:rPr>
                <w:rFonts w:ascii="Garamond" w:hAnsi="Garamond" w:cs="Times New Roman"/>
                <w:lang w:val="en-US"/>
              </w:rPr>
              <w:t xml:space="preserve">    Times</w:t>
            </w:r>
          </w:p>
        </w:tc>
        <w:tc>
          <w:tcPr>
            <w:tcW w:w="1279"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United Kingdom</w:t>
            </w:r>
          </w:p>
        </w:tc>
        <w:tc>
          <w:tcPr>
            <w:tcW w:w="1206"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Broadsheet</w:t>
            </w:r>
          </w:p>
        </w:tc>
        <w:tc>
          <w:tcPr>
            <w:tcW w:w="1329"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Quality press</w:t>
            </w:r>
          </w:p>
        </w:tc>
        <w:tc>
          <w:tcPr>
            <w:tcW w:w="1726"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Liberal-conservative</w:t>
            </w:r>
          </w:p>
        </w:tc>
        <w:tc>
          <w:tcPr>
            <w:tcW w:w="1585"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Yes</w:t>
            </w:r>
          </w:p>
        </w:tc>
        <w:tc>
          <w:tcPr>
            <w:tcW w:w="1458"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 xml:space="preserve">193,211 </w:t>
            </w:r>
          </w:p>
        </w:tc>
        <w:tc>
          <w:tcPr>
            <w:tcW w:w="1349" w:type="dxa"/>
          </w:tcPr>
          <w:p w:rsidR="007F1075" w:rsidRPr="00724834" w:rsidRDefault="007F1075" w:rsidP="00F77C0F">
            <w:pPr>
              <w:rPr>
                <w:rFonts w:ascii="Garamond" w:hAnsi="Garamond" w:cs="Times New Roman"/>
                <w:lang w:val="en-US"/>
              </w:rPr>
            </w:pPr>
            <w:r w:rsidRPr="00724834">
              <w:rPr>
                <w:rFonts w:ascii="Garamond" w:hAnsi="Garamond" w:cs="Times New Roman"/>
                <w:sz w:val="20"/>
                <w:szCs w:val="20"/>
                <w:lang w:val="en-US"/>
              </w:rPr>
              <w:t>411</w:t>
            </w:r>
          </w:p>
        </w:tc>
      </w:tr>
      <w:tr w:rsidR="00724834" w:rsidRPr="00724834" w:rsidTr="00F77C0F">
        <w:trPr>
          <w:trHeight w:val="626"/>
        </w:trPr>
        <w:tc>
          <w:tcPr>
            <w:tcW w:w="1395"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 xml:space="preserve">7. Frankfurter </w:t>
            </w:r>
          </w:p>
          <w:p w:rsidR="007F1075" w:rsidRPr="00724834" w:rsidRDefault="007F1075" w:rsidP="00F77C0F">
            <w:pPr>
              <w:rPr>
                <w:rFonts w:ascii="Garamond" w:hAnsi="Garamond" w:cs="Times New Roman"/>
                <w:lang w:val="en-US"/>
              </w:rPr>
            </w:pPr>
            <w:r w:rsidRPr="00724834">
              <w:rPr>
                <w:rFonts w:ascii="Garamond" w:hAnsi="Garamond" w:cs="Times New Roman"/>
                <w:lang w:val="en-US"/>
              </w:rPr>
              <w:t xml:space="preserve">    Allgemeine     </w:t>
            </w:r>
          </w:p>
          <w:p w:rsidR="007F1075" w:rsidRPr="00724834" w:rsidRDefault="007F1075" w:rsidP="00F77C0F">
            <w:pPr>
              <w:rPr>
                <w:rFonts w:ascii="Garamond" w:hAnsi="Garamond" w:cs="Times New Roman"/>
                <w:lang w:val="en-US"/>
              </w:rPr>
            </w:pPr>
            <w:r w:rsidRPr="00724834">
              <w:rPr>
                <w:rFonts w:ascii="Garamond" w:hAnsi="Garamond" w:cs="Times New Roman"/>
                <w:lang w:val="en-US"/>
              </w:rPr>
              <w:t xml:space="preserve">    Zeitung</w:t>
            </w:r>
          </w:p>
        </w:tc>
        <w:tc>
          <w:tcPr>
            <w:tcW w:w="1279"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Germany</w:t>
            </w:r>
          </w:p>
        </w:tc>
        <w:tc>
          <w:tcPr>
            <w:tcW w:w="1206"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Nordisch</w:t>
            </w:r>
          </w:p>
        </w:tc>
        <w:tc>
          <w:tcPr>
            <w:tcW w:w="1329"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Quality press</w:t>
            </w:r>
          </w:p>
        </w:tc>
        <w:tc>
          <w:tcPr>
            <w:tcW w:w="1726"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Centre-right, liberal-conservative</w:t>
            </w:r>
          </w:p>
        </w:tc>
        <w:tc>
          <w:tcPr>
            <w:tcW w:w="1585"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Yes</w:t>
            </w:r>
          </w:p>
        </w:tc>
        <w:tc>
          <w:tcPr>
            <w:tcW w:w="1458"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256,188</w:t>
            </w:r>
          </w:p>
        </w:tc>
        <w:tc>
          <w:tcPr>
            <w:tcW w:w="1349" w:type="dxa"/>
          </w:tcPr>
          <w:p w:rsidR="007F1075" w:rsidRPr="00724834" w:rsidRDefault="007F1075" w:rsidP="00F77C0F">
            <w:pPr>
              <w:rPr>
                <w:rFonts w:ascii="Garamond" w:hAnsi="Garamond" w:cs="Times New Roman"/>
                <w:lang w:val="en-US"/>
              </w:rPr>
            </w:pPr>
            <w:r w:rsidRPr="00724834">
              <w:rPr>
                <w:rFonts w:ascii="Garamond" w:hAnsi="Garamond" w:cs="Times New Roman"/>
                <w:sz w:val="20"/>
                <w:szCs w:val="20"/>
                <w:lang w:val="en-US"/>
              </w:rPr>
              <w:t>279</w:t>
            </w:r>
          </w:p>
        </w:tc>
      </w:tr>
      <w:tr w:rsidR="00724834" w:rsidRPr="00724834" w:rsidTr="00F77C0F">
        <w:trPr>
          <w:trHeight w:val="206"/>
        </w:trPr>
        <w:tc>
          <w:tcPr>
            <w:tcW w:w="1395"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8. Le Monde</w:t>
            </w:r>
          </w:p>
        </w:tc>
        <w:tc>
          <w:tcPr>
            <w:tcW w:w="1279"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France</w:t>
            </w:r>
          </w:p>
        </w:tc>
        <w:tc>
          <w:tcPr>
            <w:tcW w:w="1206"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Berliner</w:t>
            </w:r>
          </w:p>
        </w:tc>
        <w:tc>
          <w:tcPr>
            <w:tcW w:w="1329"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Quality press</w:t>
            </w:r>
          </w:p>
        </w:tc>
        <w:tc>
          <w:tcPr>
            <w:tcW w:w="1726"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Centre-left</w:t>
            </w:r>
          </w:p>
        </w:tc>
        <w:tc>
          <w:tcPr>
            <w:tcW w:w="1585"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Yes</w:t>
            </w:r>
          </w:p>
        </w:tc>
        <w:tc>
          <w:tcPr>
            <w:tcW w:w="1458" w:type="dxa"/>
          </w:tcPr>
          <w:p w:rsidR="007F1075" w:rsidRPr="00724834" w:rsidRDefault="007F1075" w:rsidP="00F77C0F">
            <w:pPr>
              <w:rPr>
                <w:rFonts w:ascii="Garamond" w:hAnsi="Garamond" w:cs="Times New Roman"/>
                <w:lang w:val="en-US"/>
              </w:rPr>
            </w:pPr>
            <w:r w:rsidRPr="00724834">
              <w:rPr>
                <w:rFonts w:ascii="Garamond" w:hAnsi="Garamond" w:cs="Times New Roman"/>
                <w:lang w:val="en-US"/>
              </w:rPr>
              <w:t>267,897</w:t>
            </w:r>
          </w:p>
        </w:tc>
        <w:tc>
          <w:tcPr>
            <w:tcW w:w="1349" w:type="dxa"/>
          </w:tcPr>
          <w:p w:rsidR="007F1075" w:rsidRPr="00724834" w:rsidRDefault="007F1075" w:rsidP="00F77C0F">
            <w:pPr>
              <w:rPr>
                <w:rFonts w:ascii="Garamond" w:hAnsi="Garamond" w:cs="Times New Roman"/>
                <w:lang w:val="en-US"/>
              </w:rPr>
            </w:pPr>
            <w:r w:rsidRPr="00724834">
              <w:rPr>
                <w:rFonts w:ascii="Garamond" w:hAnsi="Garamond" w:cs="Times New Roman"/>
                <w:sz w:val="20"/>
                <w:szCs w:val="20"/>
                <w:lang w:val="en-US"/>
              </w:rPr>
              <w:t>195</w:t>
            </w:r>
          </w:p>
        </w:tc>
      </w:tr>
    </w:tbl>
    <w:p w:rsidR="007F1075" w:rsidRPr="00724834" w:rsidRDefault="007F1075" w:rsidP="007F1075">
      <w:pPr>
        <w:rPr>
          <w:rFonts w:ascii="Garamond" w:hAnsi="Garamond" w:cs="Times New Roman"/>
          <w:b/>
          <w:lang w:val="en-US"/>
        </w:rPr>
        <w:sectPr w:rsidR="007F1075" w:rsidRPr="00724834" w:rsidSect="004E3D20">
          <w:pgSz w:w="15840" w:h="12240" w:orient="landscape"/>
          <w:pgMar w:top="1440" w:right="1440" w:bottom="1440" w:left="1440" w:header="709" w:footer="709" w:gutter="0"/>
          <w:cols w:space="708"/>
          <w:docGrid w:linePitch="360"/>
        </w:sectPr>
      </w:pPr>
      <w:r w:rsidRPr="00724834">
        <w:rPr>
          <w:rFonts w:ascii="Garamond" w:hAnsi="Garamond" w:cs="Times New Roman"/>
          <w:b/>
          <w:lang w:val="en-US"/>
        </w:rPr>
        <w:br w:type="page"/>
      </w:r>
    </w:p>
    <w:p w:rsidR="007F1075" w:rsidRPr="00724834" w:rsidRDefault="007F1075" w:rsidP="007F1075">
      <w:pPr>
        <w:pStyle w:val="Heading1"/>
        <w:rPr>
          <w:rFonts w:cs="Times New Roman"/>
        </w:rPr>
      </w:pPr>
      <w:bookmarkStart w:id="4" w:name="_Toc75341127"/>
      <w:bookmarkStart w:id="5" w:name="_Toc132807388"/>
      <w:r w:rsidRPr="00724834">
        <w:rPr>
          <w:rFonts w:cs="Times New Roman"/>
        </w:rPr>
        <w:lastRenderedPageBreak/>
        <w:t>Content analysis of media statements and quality controls</w:t>
      </w:r>
      <w:bookmarkEnd w:id="4"/>
      <w:bookmarkEnd w:id="5"/>
    </w:p>
    <w:p w:rsidR="007F1075" w:rsidRPr="00724834" w:rsidRDefault="007F1075" w:rsidP="007F1075">
      <w:pPr>
        <w:spacing w:before="240" w:line="480" w:lineRule="auto"/>
        <w:jc w:val="both"/>
        <w:rPr>
          <w:rFonts w:ascii="Garamond" w:hAnsi="Garamond" w:cs="Times New Roman"/>
          <w:lang w:val="en-US"/>
        </w:rPr>
      </w:pPr>
      <w:r w:rsidRPr="00724834">
        <w:rPr>
          <w:rFonts w:ascii="Garamond" w:hAnsi="Garamond" w:cs="Times New Roman"/>
          <w:lang w:val="en-US"/>
        </w:rPr>
        <w:t xml:space="preserve">The relevant media coverage related to the sampled set of cases was assembled manually by the principal investigator and two student-assistants involved in the project. To increase the quality of the media searches, researchers focused on media outlets from their own country. The search in media archives was based on keywords that were carefully selected based on the name of the issue, the corresponding Eurobarometer question and extensive desk research. For newspapers in a language non-native to the research team, external experts were consulted. All the keywords used are documented and will be published on the project’s website. Importantly, not all articles that resulted from keyword searches were retained. Each article was screened by the researcher in question for its relevance. Only articles that were directly related to the sampled cases were used. Articles that only vaguely or indirectly related to the legislative proposal were omitted. Keyword searches were finalized only when an information saturation point was met, namely, when the addition of new keyword searches did not result in additional articles. The results were centralized and stored by the principal investigator, who conducted an additional consistency check. </w:t>
      </w:r>
    </w:p>
    <w:p w:rsidR="007F1075" w:rsidRPr="00724834" w:rsidRDefault="007F1075" w:rsidP="007F1075">
      <w:pPr>
        <w:spacing w:line="480" w:lineRule="auto"/>
        <w:ind w:firstLine="720"/>
        <w:jc w:val="both"/>
        <w:rPr>
          <w:rFonts w:ascii="Garamond" w:hAnsi="Garamond" w:cs="Times New Roman"/>
          <w:lang w:val="en-US"/>
        </w:rPr>
      </w:pPr>
      <w:r w:rsidRPr="00724834">
        <w:rPr>
          <w:rFonts w:ascii="Garamond" w:hAnsi="Garamond" w:cs="Times New Roman"/>
          <w:lang w:val="en-US"/>
        </w:rPr>
        <w:t>Based on extensive keyword searches, 2,085 articles were identified. Additional recall tests were performed when the media salience for certain issues strongly varied across media sources. For these issues, recall tests varied from 77% to 89% overlap (with an average overlap of 83%). For the other issues, recall tests were performed randomly and gave satisfactory results (more than 90% overlap). Furthermore, an extensive precision test was conducted by hand coding all the collected articles and their constituting statements. Namely, each article was coded for its relevance to the sampled case. This approach resulted in a precision of 97% for articles and 93% for statements. Non-relevant articles were excluded from further analyses. From all the assembled statements, 7% were not directly connected to the legislative proposals and were therefore also excluded from further analyses.</w:t>
      </w:r>
    </w:p>
    <w:p w:rsidR="007F1075" w:rsidRPr="00724834" w:rsidRDefault="007F1075" w:rsidP="007F1075">
      <w:pPr>
        <w:spacing w:after="0" w:line="240" w:lineRule="auto"/>
        <w:rPr>
          <w:rFonts w:ascii="Garamond" w:hAnsi="Garamond" w:cs="Times New Roman"/>
          <w:lang w:val="en-US"/>
        </w:rPr>
      </w:pPr>
      <w:r w:rsidRPr="00724834">
        <w:rPr>
          <w:rFonts w:ascii="Garamond" w:hAnsi="Garamond" w:cs="Times New Roman"/>
          <w:lang w:val="en-US"/>
        </w:rPr>
        <w:br w:type="page"/>
      </w:r>
    </w:p>
    <w:p w:rsidR="007F1075" w:rsidRPr="00724834" w:rsidRDefault="007F1075" w:rsidP="007F1075">
      <w:pPr>
        <w:spacing w:line="480" w:lineRule="auto"/>
        <w:ind w:firstLine="720"/>
        <w:jc w:val="both"/>
        <w:rPr>
          <w:rFonts w:ascii="Garamond" w:hAnsi="Garamond" w:cs="Times New Roman"/>
          <w:lang w:val="en-US"/>
        </w:rPr>
      </w:pPr>
    </w:p>
    <w:p w:rsidR="007F1075" w:rsidRPr="00724834" w:rsidRDefault="007F1075" w:rsidP="007F1075">
      <w:pPr>
        <w:spacing w:before="240" w:line="480" w:lineRule="auto"/>
        <w:jc w:val="center"/>
        <w:rPr>
          <w:rFonts w:ascii="Garamond" w:hAnsi="Garamond" w:cs="Times New Roman"/>
          <w:b/>
          <w:lang w:val="en-US"/>
        </w:rPr>
      </w:pPr>
      <w:r w:rsidRPr="00724834">
        <w:rPr>
          <w:rFonts w:ascii="Garamond" w:hAnsi="Garamond" w:cs="Times New Roman"/>
          <w:b/>
          <w:lang w:val="en-US"/>
        </w:rPr>
        <w:t>Table A3. Distribution of statements for different actor types</w:t>
      </w:r>
    </w:p>
    <w:tbl>
      <w:tblPr>
        <w:tblW w:w="6150" w:type="dxa"/>
        <w:jc w:val="center"/>
        <w:tblLook w:val="04A0" w:firstRow="1" w:lastRow="0" w:firstColumn="1" w:lastColumn="0" w:noHBand="0" w:noVBand="1"/>
      </w:tblPr>
      <w:tblGrid>
        <w:gridCol w:w="4500"/>
        <w:gridCol w:w="698"/>
        <w:gridCol w:w="952"/>
      </w:tblGrid>
      <w:tr w:rsidR="00724834" w:rsidRPr="00724834" w:rsidTr="00F77C0F">
        <w:trPr>
          <w:trHeight w:val="477"/>
          <w:jc w:val="center"/>
        </w:trPr>
        <w:tc>
          <w:tcPr>
            <w:tcW w:w="4500" w:type="dxa"/>
            <w:tcBorders>
              <w:top w:val="double" w:sz="6" w:space="0" w:color="auto"/>
              <w:left w:val="nil"/>
              <w:bottom w:val="single" w:sz="4" w:space="0" w:color="auto"/>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Times New Roman"/>
                <w:lang w:val="en-US"/>
              </w:rPr>
            </w:pPr>
            <w:r w:rsidRPr="00724834">
              <w:rPr>
                <w:rFonts w:ascii="Garamond" w:eastAsia="Times New Roman" w:hAnsi="Garamond" w:cs="Times New Roman"/>
                <w:lang w:val="en-US"/>
              </w:rPr>
              <w:t>Actor type</w:t>
            </w:r>
          </w:p>
        </w:tc>
        <w:tc>
          <w:tcPr>
            <w:tcW w:w="698" w:type="dxa"/>
            <w:tcBorders>
              <w:top w:val="double" w:sz="6" w:space="0" w:color="auto"/>
              <w:left w:val="nil"/>
              <w:bottom w:val="single" w:sz="4" w:space="0" w:color="auto"/>
              <w:right w:val="nil"/>
            </w:tcBorders>
            <w:shd w:val="clear" w:color="000000" w:fill="FFFFFF"/>
            <w:noWrap/>
            <w:vAlign w:val="bottom"/>
            <w:hideMark/>
          </w:tcPr>
          <w:p w:rsidR="007F1075" w:rsidRPr="00724834" w:rsidRDefault="007F1075" w:rsidP="00F77C0F">
            <w:pPr>
              <w:spacing w:after="0" w:line="240" w:lineRule="auto"/>
              <w:jc w:val="right"/>
              <w:rPr>
                <w:rFonts w:ascii="Garamond" w:eastAsia="Times New Roman" w:hAnsi="Garamond" w:cs="Times New Roman"/>
                <w:lang w:val="en-US"/>
              </w:rPr>
            </w:pPr>
            <w:r w:rsidRPr="00724834">
              <w:rPr>
                <w:rFonts w:ascii="Garamond" w:eastAsia="Times New Roman" w:hAnsi="Garamond" w:cs="Times New Roman"/>
                <w:lang w:val="en-US"/>
              </w:rPr>
              <w:t>Freq.</w:t>
            </w:r>
          </w:p>
        </w:tc>
        <w:tc>
          <w:tcPr>
            <w:tcW w:w="952" w:type="dxa"/>
            <w:tcBorders>
              <w:top w:val="double" w:sz="6" w:space="0" w:color="auto"/>
              <w:left w:val="nil"/>
              <w:bottom w:val="single" w:sz="4" w:space="0" w:color="auto"/>
              <w:right w:val="nil"/>
            </w:tcBorders>
            <w:shd w:val="clear" w:color="000000" w:fill="FFFFFF"/>
            <w:noWrap/>
            <w:vAlign w:val="bottom"/>
            <w:hideMark/>
          </w:tcPr>
          <w:p w:rsidR="007F1075" w:rsidRPr="00724834" w:rsidRDefault="007F1075" w:rsidP="00F77C0F">
            <w:pPr>
              <w:spacing w:after="0" w:line="240" w:lineRule="auto"/>
              <w:jc w:val="right"/>
              <w:rPr>
                <w:rFonts w:ascii="Garamond" w:eastAsia="Times New Roman" w:hAnsi="Garamond" w:cs="Times New Roman"/>
                <w:lang w:val="en-US"/>
              </w:rPr>
            </w:pPr>
            <w:r w:rsidRPr="00724834">
              <w:rPr>
                <w:rFonts w:ascii="Garamond" w:eastAsia="Times New Roman" w:hAnsi="Garamond" w:cs="Times New Roman"/>
                <w:lang w:val="en-US"/>
              </w:rPr>
              <w:t>Percent</w:t>
            </w:r>
          </w:p>
        </w:tc>
      </w:tr>
      <w:tr w:rsidR="00724834" w:rsidRPr="00724834" w:rsidTr="00F77C0F">
        <w:trPr>
          <w:trHeight w:val="429"/>
          <w:jc w:val="center"/>
        </w:trPr>
        <w:tc>
          <w:tcPr>
            <w:tcW w:w="4500" w:type="dxa"/>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Times New Roman"/>
                <w:lang w:val="en-US"/>
              </w:rPr>
            </w:pPr>
            <w:r w:rsidRPr="00724834">
              <w:rPr>
                <w:rFonts w:ascii="Garamond" w:eastAsia="Times New Roman" w:hAnsi="Garamond" w:cs="Times New Roman"/>
                <w:lang w:val="en-US"/>
              </w:rPr>
              <w:t>Council and member states</w:t>
            </w:r>
          </w:p>
        </w:tc>
        <w:tc>
          <w:tcPr>
            <w:tcW w:w="698" w:type="dxa"/>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jc w:val="right"/>
              <w:rPr>
                <w:rFonts w:ascii="Garamond" w:eastAsia="Times New Roman" w:hAnsi="Garamond" w:cs="Times New Roman"/>
                <w:lang w:val="en-US"/>
              </w:rPr>
            </w:pPr>
            <w:r w:rsidRPr="00724834">
              <w:rPr>
                <w:rFonts w:ascii="Garamond" w:eastAsia="Times New Roman" w:hAnsi="Garamond" w:cs="Times New Roman"/>
                <w:lang w:val="en-US"/>
              </w:rPr>
              <w:t>1,913</w:t>
            </w:r>
          </w:p>
        </w:tc>
        <w:tc>
          <w:tcPr>
            <w:tcW w:w="952" w:type="dxa"/>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jc w:val="right"/>
              <w:rPr>
                <w:rFonts w:ascii="Garamond" w:eastAsia="Times New Roman" w:hAnsi="Garamond" w:cs="Times New Roman"/>
                <w:lang w:val="en-US"/>
              </w:rPr>
            </w:pPr>
            <w:r w:rsidRPr="00724834">
              <w:rPr>
                <w:rFonts w:ascii="Garamond" w:eastAsia="Times New Roman" w:hAnsi="Garamond" w:cs="Times New Roman"/>
                <w:lang w:val="en-US"/>
              </w:rPr>
              <w:t>34%</w:t>
            </w:r>
          </w:p>
        </w:tc>
      </w:tr>
      <w:tr w:rsidR="00724834" w:rsidRPr="00724834" w:rsidTr="00F77C0F">
        <w:trPr>
          <w:trHeight w:val="381"/>
          <w:jc w:val="center"/>
        </w:trPr>
        <w:tc>
          <w:tcPr>
            <w:tcW w:w="4500" w:type="dxa"/>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Times New Roman"/>
                <w:lang w:val="en-US"/>
              </w:rPr>
            </w:pPr>
            <w:r w:rsidRPr="00724834">
              <w:rPr>
                <w:rFonts w:ascii="Garamond" w:eastAsia="Times New Roman" w:hAnsi="Garamond" w:cs="Times New Roman"/>
                <w:lang w:val="en-US"/>
              </w:rPr>
              <w:t>European Commission</w:t>
            </w:r>
          </w:p>
        </w:tc>
        <w:tc>
          <w:tcPr>
            <w:tcW w:w="698" w:type="dxa"/>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jc w:val="right"/>
              <w:rPr>
                <w:rFonts w:ascii="Garamond" w:eastAsia="Times New Roman" w:hAnsi="Garamond" w:cs="Times New Roman"/>
                <w:lang w:val="en-US"/>
              </w:rPr>
            </w:pPr>
            <w:r w:rsidRPr="00724834">
              <w:rPr>
                <w:rFonts w:ascii="Garamond" w:eastAsia="Times New Roman" w:hAnsi="Garamond" w:cs="Times New Roman"/>
                <w:lang w:val="en-US"/>
              </w:rPr>
              <w:t>857</w:t>
            </w:r>
          </w:p>
        </w:tc>
        <w:tc>
          <w:tcPr>
            <w:tcW w:w="952" w:type="dxa"/>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jc w:val="right"/>
              <w:rPr>
                <w:rFonts w:ascii="Garamond" w:eastAsia="Times New Roman" w:hAnsi="Garamond" w:cs="Times New Roman"/>
                <w:lang w:val="en-US"/>
              </w:rPr>
            </w:pPr>
            <w:r w:rsidRPr="00724834">
              <w:rPr>
                <w:rFonts w:ascii="Garamond" w:eastAsia="Times New Roman" w:hAnsi="Garamond" w:cs="Times New Roman"/>
                <w:lang w:val="en-US"/>
              </w:rPr>
              <w:t>12%</w:t>
            </w:r>
          </w:p>
        </w:tc>
      </w:tr>
      <w:tr w:rsidR="00724834" w:rsidRPr="00724834" w:rsidTr="00F77C0F">
        <w:trPr>
          <w:trHeight w:val="381"/>
          <w:jc w:val="center"/>
        </w:trPr>
        <w:tc>
          <w:tcPr>
            <w:tcW w:w="4500" w:type="dxa"/>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Times New Roman"/>
                <w:lang w:val="en-US"/>
              </w:rPr>
            </w:pPr>
            <w:r w:rsidRPr="00724834">
              <w:rPr>
                <w:rFonts w:ascii="Garamond" w:eastAsia="Times New Roman" w:hAnsi="Garamond" w:cs="Times New Roman"/>
                <w:lang w:val="en-US"/>
              </w:rPr>
              <w:t>European Members of Parliament</w:t>
            </w:r>
          </w:p>
        </w:tc>
        <w:tc>
          <w:tcPr>
            <w:tcW w:w="698" w:type="dxa"/>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jc w:val="right"/>
              <w:rPr>
                <w:rFonts w:ascii="Garamond" w:eastAsia="Times New Roman" w:hAnsi="Garamond" w:cs="Times New Roman"/>
                <w:lang w:val="en-US"/>
              </w:rPr>
            </w:pPr>
            <w:r w:rsidRPr="00724834">
              <w:rPr>
                <w:rFonts w:ascii="Garamond" w:eastAsia="Times New Roman" w:hAnsi="Garamond" w:cs="Times New Roman"/>
                <w:lang w:val="en-US"/>
              </w:rPr>
              <w:t>608</w:t>
            </w:r>
          </w:p>
        </w:tc>
        <w:tc>
          <w:tcPr>
            <w:tcW w:w="952" w:type="dxa"/>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jc w:val="right"/>
              <w:rPr>
                <w:rFonts w:ascii="Garamond" w:eastAsia="Times New Roman" w:hAnsi="Garamond" w:cs="Times New Roman"/>
                <w:lang w:val="en-US"/>
              </w:rPr>
            </w:pPr>
            <w:r w:rsidRPr="00724834">
              <w:rPr>
                <w:rFonts w:ascii="Garamond" w:eastAsia="Times New Roman" w:hAnsi="Garamond" w:cs="Times New Roman"/>
                <w:lang w:val="en-US"/>
              </w:rPr>
              <w:t>11%</w:t>
            </w:r>
          </w:p>
        </w:tc>
      </w:tr>
      <w:tr w:rsidR="00724834" w:rsidRPr="00724834" w:rsidTr="00F77C0F">
        <w:trPr>
          <w:trHeight w:val="381"/>
          <w:jc w:val="center"/>
        </w:trPr>
        <w:tc>
          <w:tcPr>
            <w:tcW w:w="4500" w:type="dxa"/>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Times New Roman"/>
                <w:lang w:val="en-US"/>
              </w:rPr>
            </w:pPr>
            <w:r w:rsidRPr="00724834">
              <w:rPr>
                <w:rFonts w:ascii="Garamond" w:eastAsia="Times New Roman" w:hAnsi="Garamond" w:cs="Times New Roman"/>
                <w:lang w:val="en-US"/>
              </w:rPr>
              <w:t>National Member of Parliament</w:t>
            </w:r>
          </w:p>
        </w:tc>
        <w:tc>
          <w:tcPr>
            <w:tcW w:w="698" w:type="dxa"/>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jc w:val="right"/>
              <w:rPr>
                <w:rFonts w:ascii="Garamond" w:eastAsia="Times New Roman" w:hAnsi="Garamond" w:cs="Times New Roman"/>
                <w:lang w:val="en-US"/>
              </w:rPr>
            </w:pPr>
            <w:r w:rsidRPr="00724834">
              <w:rPr>
                <w:rFonts w:ascii="Garamond" w:eastAsia="Times New Roman" w:hAnsi="Garamond" w:cs="Times New Roman"/>
                <w:lang w:val="en-US"/>
              </w:rPr>
              <w:t>368</w:t>
            </w:r>
          </w:p>
        </w:tc>
        <w:tc>
          <w:tcPr>
            <w:tcW w:w="952" w:type="dxa"/>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jc w:val="right"/>
              <w:rPr>
                <w:rFonts w:ascii="Garamond" w:eastAsia="Times New Roman" w:hAnsi="Garamond" w:cs="Times New Roman"/>
                <w:lang w:val="en-US"/>
              </w:rPr>
            </w:pPr>
            <w:r w:rsidRPr="00724834">
              <w:rPr>
                <w:rFonts w:ascii="Garamond" w:eastAsia="Times New Roman" w:hAnsi="Garamond" w:cs="Times New Roman"/>
                <w:lang w:val="en-US"/>
              </w:rPr>
              <w:t>6%</w:t>
            </w:r>
          </w:p>
        </w:tc>
      </w:tr>
      <w:tr w:rsidR="00724834" w:rsidRPr="00724834" w:rsidTr="00F77C0F">
        <w:trPr>
          <w:trHeight w:val="381"/>
          <w:jc w:val="center"/>
        </w:trPr>
        <w:tc>
          <w:tcPr>
            <w:tcW w:w="4500" w:type="dxa"/>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Times New Roman"/>
                <w:lang w:val="en-US"/>
              </w:rPr>
            </w:pPr>
            <w:r w:rsidRPr="00724834">
              <w:rPr>
                <w:rFonts w:ascii="Garamond" w:eastAsia="Times New Roman" w:hAnsi="Garamond" w:cs="Times New Roman"/>
                <w:lang w:val="en-US"/>
              </w:rPr>
              <w:t>Interest organizations</w:t>
            </w:r>
          </w:p>
        </w:tc>
        <w:tc>
          <w:tcPr>
            <w:tcW w:w="698" w:type="dxa"/>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jc w:val="right"/>
              <w:rPr>
                <w:rFonts w:ascii="Garamond" w:eastAsia="Times New Roman" w:hAnsi="Garamond" w:cs="Times New Roman"/>
                <w:lang w:val="en-US"/>
              </w:rPr>
            </w:pPr>
            <w:r w:rsidRPr="00724834">
              <w:rPr>
                <w:rFonts w:ascii="Garamond" w:eastAsia="Times New Roman" w:hAnsi="Garamond" w:cs="Times New Roman"/>
                <w:lang w:val="en-US"/>
              </w:rPr>
              <w:t>1,715</w:t>
            </w:r>
          </w:p>
        </w:tc>
        <w:tc>
          <w:tcPr>
            <w:tcW w:w="952" w:type="dxa"/>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jc w:val="right"/>
              <w:rPr>
                <w:rFonts w:ascii="Garamond" w:eastAsia="Times New Roman" w:hAnsi="Garamond" w:cs="Times New Roman"/>
                <w:lang w:val="en-US"/>
              </w:rPr>
            </w:pPr>
            <w:r w:rsidRPr="00724834">
              <w:rPr>
                <w:rFonts w:ascii="Garamond" w:eastAsia="Times New Roman" w:hAnsi="Garamond" w:cs="Times New Roman"/>
                <w:lang w:val="en-US"/>
              </w:rPr>
              <w:t>30%</w:t>
            </w:r>
          </w:p>
        </w:tc>
      </w:tr>
      <w:tr w:rsidR="00724834" w:rsidRPr="00724834" w:rsidTr="00F77C0F">
        <w:trPr>
          <w:trHeight w:val="381"/>
          <w:jc w:val="center"/>
        </w:trPr>
        <w:tc>
          <w:tcPr>
            <w:tcW w:w="4500" w:type="dxa"/>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Times New Roman"/>
                <w:lang w:val="en-US"/>
              </w:rPr>
            </w:pPr>
            <w:r w:rsidRPr="00724834">
              <w:rPr>
                <w:rFonts w:ascii="Garamond" w:eastAsia="Times New Roman" w:hAnsi="Garamond" w:cs="Times New Roman"/>
                <w:lang w:val="en-US"/>
              </w:rPr>
              <w:t>Regulatory agencies &amp; central banks</w:t>
            </w:r>
          </w:p>
        </w:tc>
        <w:tc>
          <w:tcPr>
            <w:tcW w:w="698" w:type="dxa"/>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jc w:val="right"/>
              <w:rPr>
                <w:rFonts w:ascii="Garamond" w:eastAsia="Times New Roman" w:hAnsi="Garamond" w:cs="Times New Roman"/>
                <w:lang w:val="en-US"/>
              </w:rPr>
            </w:pPr>
            <w:r w:rsidRPr="00724834">
              <w:rPr>
                <w:rFonts w:ascii="Garamond" w:eastAsia="Times New Roman" w:hAnsi="Garamond" w:cs="Times New Roman"/>
                <w:lang w:val="en-US"/>
              </w:rPr>
              <w:t>264</w:t>
            </w:r>
          </w:p>
        </w:tc>
        <w:tc>
          <w:tcPr>
            <w:tcW w:w="952" w:type="dxa"/>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jc w:val="right"/>
              <w:rPr>
                <w:rFonts w:ascii="Garamond" w:eastAsia="Times New Roman" w:hAnsi="Garamond" w:cs="Times New Roman"/>
                <w:lang w:val="en-US"/>
              </w:rPr>
            </w:pPr>
            <w:r w:rsidRPr="00724834">
              <w:rPr>
                <w:rFonts w:ascii="Garamond" w:eastAsia="Times New Roman" w:hAnsi="Garamond" w:cs="Times New Roman"/>
                <w:lang w:val="en-US"/>
              </w:rPr>
              <w:t>5%</w:t>
            </w:r>
          </w:p>
        </w:tc>
      </w:tr>
      <w:tr w:rsidR="00724834" w:rsidRPr="00724834" w:rsidTr="00F77C0F">
        <w:trPr>
          <w:trHeight w:val="381"/>
          <w:jc w:val="center"/>
        </w:trPr>
        <w:tc>
          <w:tcPr>
            <w:tcW w:w="4500" w:type="dxa"/>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Times New Roman"/>
                <w:lang w:val="en-US"/>
              </w:rPr>
            </w:pPr>
            <w:r w:rsidRPr="00724834">
              <w:rPr>
                <w:rFonts w:ascii="Garamond" w:eastAsia="Times New Roman" w:hAnsi="Garamond" w:cs="Times New Roman"/>
                <w:lang w:val="en-US"/>
              </w:rPr>
              <w:t>International organizations</w:t>
            </w:r>
          </w:p>
        </w:tc>
        <w:tc>
          <w:tcPr>
            <w:tcW w:w="698" w:type="dxa"/>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jc w:val="right"/>
              <w:rPr>
                <w:rFonts w:ascii="Garamond" w:eastAsia="Times New Roman" w:hAnsi="Garamond" w:cs="Times New Roman"/>
                <w:lang w:val="en-US"/>
              </w:rPr>
            </w:pPr>
            <w:r w:rsidRPr="00724834">
              <w:rPr>
                <w:rFonts w:ascii="Garamond" w:eastAsia="Times New Roman" w:hAnsi="Garamond" w:cs="Times New Roman"/>
                <w:lang w:val="en-US"/>
              </w:rPr>
              <w:t>65</w:t>
            </w:r>
          </w:p>
        </w:tc>
        <w:tc>
          <w:tcPr>
            <w:tcW w:w="952" w:type="dxa"/>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jc w:val="right"/>
              <w:rPr>
                <w:rFonts w:ascii="Garamond" w:eastAsia="Times New Roman" w:hAnsi="Garamond" w:cs="Times New Roman"/>
                <w:lang w:val="en-US"/>
              </w:rPr>
            </w:pPr>
            <w:r w:rsidRPr="00724834">
              <w:rPr>
                <w:rFonts w:ascii="Garamond" w:eastAsia="Times New Roman" w:hAnsi="Garamond" w:cs="Times New Roman"/>
                <w:lang w:val="en-US"/>
              </w:rPr>
              <w:t>1%</w:t>
            </w:r>
          </w:p>
        </w:tc>
      </w:tr>
      <w:tr w:rsidR="00724834" w:rsidRPr="00724834" w:rsidTr="00F77C0F">
        <w:trPr>
          <w:trHeight w:val="397"/>
          <w:jc w:val="center"/>
        </w:trPr>
        <w:tc>
          <w:tcPr>
            <w:tcW w:w="4500" w:type="dxa"/>
            <w:tcBorders>
              <w:top w:val="nil"/>
              <w:left w:val="nil"/>
              <w:bottom w:val="double" w:sz="6" w:space="0" w:color="auto"/>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Times New Roman"/>
                <w:lang w:val="en-US"/>
              </w:rPr>
            </w:pPr>
            <w:r w:rsidRPr="00724834">
              <w:rPr>
                <w:rFonts w:ascii="Garamond" w:eastAsia="Times New Roman" w:hAnsi="Garamond" w:cs="Times New Roman"/>
                <w:lang w:val="en-US"/>
              </w:rPr>
              <w:t>Other (individual citizens, journalists, etc.)</w:t>
            </w:r>
          </w:p>
        </w:tc>
        <w:tc>
          <w:tcPr>
            <w:tcW w:w="698" w:type="dxa"/>
            <w:tcBorders>
              <w:top w:val="nil"/>
              <w:left w:val="nil"/>
              <w:bottom w:val="double" w:sz="6" w:space="0" w:color="auto"/>
              <w:right w:val="nil"/>
            </w:tcBorders>
            <w:shd w:val="clear" w:color="000000" w:fill="FFFFFF"/>
            <w:noWrap/>
            <w:vAlign w:val="bottom"/>
            <w:hideMark/>
          </w:tcPr>
          <w:p w:rsidR="007F1075" w:rsidRPr="00724834" w:rsidRDefault="007F1075" w:rsidP="00F77C0F">
            <w:pPr>
              <w:spacing w:after="0" w:line="240" w:lineRule="auto"/>
              <w:jc w:val="right"/>
              <w:rPr>
                <w:rFonts w:ascii="Garamond" w:eastAsia="Times New Roman" w:hAnsi="Garamond" w:cs="Times New Roman"/>
                <w:lang w:val="en-US"/>
              </w:rPr>
            </w:pPr>
            <w:r w:rsidRPr="00724834">
              <w:rPr>
                <w:rFonts w:ascii="Garamond" w:eastAsia="Times New Roman" w:hAnsi="Garamond" w:cs="Times New Roman"/>
                <w:lang w:val="en-US"/>
              </w:rPr>
              <w:t>101</w:t>
            </w:r>
          </w:p>
        </w:tc>
        <w:tc>
          <w:tcPr>
            <w:tcW w:w="952" w:type="dxa"/>
            <w:tcBorders>
              <w:top w:val="nil"/>
              <w:left w:val="nil"/>
              <w:bottom w:val="double" w:sz="6" w:space="0" w:color="auto"/>
              <w:right w:val="nil"/>
            </w:tcBorders>
            <w:shd w:val="clear" w:color="000000" w:fill="FFFFFF"/>
            <w:noWrap/>
            <w:vAlign w:val="bottom"/>
            <w:hideMark/>
          </w:tcPr>
          <w:p w:rsidR="007F1075" w:rsidRPr="00724834" w:rsidRDefault="007F1075" w:rsidP="00F77C0F">
            <w:pPr>
              <w:spacing w:after="0" w:line="240" w:lineRule="auto"/>
              <w:jc w:val="right"/>
              <w:rPr>
                <w:rFonts w:ascii="Garamond" w:eastAsia="Times New Roman" w:hAnsi="Garamond" w:cs="Times New Roman"/>
                <w:lang w:val="en-US"/>
              </w:rPr>
            </w:pPr>
            <w:r w:rsidRPr="00724834">
              <w:rPr>
                <w:rFonts w:ascii="Garamond" w:eastAsia="Times New Roman" w:hAnsi="Garamond" w:cs="Times New Roman"/>
                <w:lang w:val="en-US"/>
              </w:rPr>
              <w:t>2%</w:t>
            </w:r>
          </w:p>
        </w:tc>
      </w:tr>
    </w:tbl>
    <w:p w:rsidR="007F1075" w:rsidRPr="00724834" w:rsidRDefault="007F1075" w:rsidP="007F1075">
      <w:pPr>
        <w:spacing w:after="0" w:line="480" w:lineRule="auto"/>
        <w:jc w:val="both"/>
        <w:rPr>
          <w:rFonts w:ascii="Garamond" w:hAnsi="Garamond" w:cs="Times New Roman"/>
          <w:lang w:val="en-US"/>
        </w:rPr>
      </w:pPr>
    </w:p>
    <w:p w:rsidR="007F1075" w:rsidRPr="00724834" w:rsidRDefault="007F1075" w:rsidP="007F1075">
      <w:pPr>
        <w:spacing w:line="480" w:lineRule="auto"/>
        <w:ind w:firstLine="720"/>
        <w:jc w:val="both"/>
        <w:rPr>
          <w:rFonts w:ascii="Garamond" w:hAnsi="Garamond" w:cs="Times New Roman"/>
          <w:lang w:val="en-US"/>
        </w:rPr>
      </w:pPr>
      <w:r w:rsidRPr="00724834">
        <w:rPr>
          <w:rFonts w:ascii="Garamond" w:hAnsi="Garamond" w:cs="Times New Roman"/>
          <w:lang w:val="en-US"/>
        </w:rPr>
        <w:t>Once articles were mapped, the statements made by political actors in these articles were archived and coded. A statement is a quote or paraphrase in the news that can be connected to a specific actor. In total, 5,891 statements were identified from various political actors. Four student-assistants as well as the principal investigator were involved in the collection of articles and archiving of statements. An overview of the different actor types that made statements and their prominence is provided in Table A3. The statements of these actors were coded for the positions adopted for or against policy change and the various arguments articulated. Two student-assistants did the coding of statements. Intercoder reliability checks of the statement coding (based on 180 double coded statements) proved satisfactory with Krippendorff's alpha ranging from 0.7 to 0.9. The descriptive overview of media statements by political actor is presented below.</w:t>
      </w:r>
    </w:p>
    <w:p w:rsidR="007F1075" w:rsidRPr="00724834" w:rsidRDefault="007F1075" w:rsidP="007F1075">
      <w:pPr>
        <w:keepNext/>
        <w:spacing w:before="240" w:line="480" w:lineRule="auto"/>
        <w:jc w:val="center"/>
        <w:rPr>
          <w:rFonts w:ascii="Garamond" w:hAnsi="Garamond" w:cs="Times New Roman"/>
          <w:b/>
          <w:lang w:val="en-US"/>
        </w:rPr>
      </w:pPr>
      <w:r w:rsidRPr="00724834">
        <w:rPr>
          <w:noProof/>
          <w:lang w:val="en-US"/>
        </w:rPr>
        <w:lastRenderedPageBreak/>
        <w:drawing>
          <wp:anchor distT="0" distB="0" distL="114300" distR="114300" simplePos="0" relativeHeight="251659264" behindDoc="0" locked="0" layoutInCell="1" allowOverlap="1" wp14:anchorId="12C30E21" wp14:editId="6001CFFE">
            <wp:simplePos x="0" y="0"/>
            <wp:positionH relativeFrom="column">
              <wp:posOffset>56292</wp:posOffset>
            </wp:positionH>
            <wp:positionV relativeFrom="paragraph">
              <wp:posOffset>415290</wp:posOffset>
            </wp:positionV>
            <wp:extent cx="5717160" cy="2260600"/>
            <wp:effectExtent l="0" t="0" r="10795" b="1270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724834">
        <w:rPr>
          <w:rFonts w:ascii="Garamond" w:hAnsi="Garamond" w:cs="Times New Roman"/>
          <w:b/>
          <w:bCs/>
          <w:lang w:val="en-US"/>
        </w:rPr>
        <w:t>Figure</w:t>
      </w:r>
      <w:r w:rsidRPr="00724834">
        <w:rPr>
          <w:rFonts w:ascii="Garamond" w:hAnsi="Garamond" w:cs="Times New Roman"/>
          <w:b/>
          <w:lang w:val="en-US"/>
        </w:rPr>
        <w:t xml:space="preserve"> A3. Overview of actors’ positions from media statements</w:t>
      </w:r>
    </w:p>
    <w:p w:rsidR="007F1075" w:rsidRPr="00724834" w:rsidRDefault="007F1075" w:rsidP="007F1075">
      <w:pPr>
        <w:spacing w:line="480" w:lineRule="auto"/>
        <w:ind w:firstLine="720"/>
        <w:rPr>
          <w:rFonts w:ascii="Garamond" w:hAnsi="Garamond" w:cs="Times New Roman"/>
          <w:lang w:val="en-US"/>
        </w:rPr>
      </w:pPr>
    </w:p>
    <w:p w:rsidR="007F1075" w:rsidRPr="00724834" w:rsidRDefault="007F1075" w:rsidP="007F1075">
      <w:pPr>
        <w:pStyle w:val="Heading1"/>
      </w:pPr>
      <w:bookmarkStart w:id="6" w:name="_Toc132807389"/>
      <w:r w:rsidRPr="00724834">
        <w:t>The survey project</w:t>
      </w:r>
      <w:bookmarkEnd w:id="6"/>
    </w:p>
    <w:p w:rsidR="007F1075" w:rsidRPr="00724834" w:rsidRDefault="007F1075" w:rsidP="007F1075">
      <w:pPr>
        <w:spacing w:before="240" w:line="480" w:lineRule="auto"/>
        <w:jc w:val="both"/>
        <w:rPr>
          <w:rFonts w:ascii="Garamond" w:hAnsi="Garamond" w:cs="Times New Roman"/>
          <w:lang w:val="en-US"/>
        </w:rPr>
      </w:pPr>
      <w:r w:rsidRPr="00724834">
        <w:rPr>
          <w:rFonts w:ascii="Garamond" w:hAnsi="Garamond" w:cs="Times New Roman"/>
          <w:lang w:val="en-US"/>
        </w:rPr>
        <w:t>To identify all interest groups</w:t>
      </w:r>
      <w:r w:rsidRPr="00724834">
        <w:rPr>
          <w:rStyle w:val="FootnoteReference"/>
          <w:lang w:val="en-US"/>
        </w:rPr>
        <w:footnoteReference w:id="1"/>
      </w:r>
      <w:r w:rsidRPr="00724834">
        <w:rPr>
          <w:rFonts w:ascii="Garamond" w:hAnsi="Garamond" w:cs="Times New Roman"/>
          <w:lang w:val="en-US"/>
        </w:rPr>
        <w:t xml:space="preserve"> that sought to influence policy decisions on the 41 sampled issues, we conducted an analysis of news media articles and an expert survey with spokespersons from interest groups. Via an extensive media search in the previously mentioned news outlets we identified 452 interest groups active on our cases. We approached these interest group representatives with an online survey in the period between June 2017 and August 2018. We asked them which other groups were active on our cases and identified an additional 169 relevant interest organizations that did not appear in the news media. These additional groups were contacted in a second wave of the survey. In total, we approached 613 organizations of which 183 completed the survey. Our response rate of 30% is comparable to previous survey projects on EU lobbying (Chalmers, 2013; Crepaz and Hanegraaff, 2019). Al contacted experts were sent three reminders via email and were given the chance to participate in a telephone interview to increase the response rate.</w:t>
      </w:r>
    </w:p>
    <w:p w:rsidR="007F1075" w:rsidRPr="00724834" w:rsidRDefault="007F1075" w:rsidP="007F1075">
      <w:pPr>
        <w:spacing w:before="240" w:line="480" w:lineRule="auto"/>
        <w:ind w:firstLine="720"/>
        <w:jc w:val="both"/>
        <w:rPr>
          <w:rFonts w:ascii="Garamond" w:hAnsi="Garamond" w:cs="Times New Roman"/>
          <w:lang w:val="en-US"/>
        </w:rPr>
      </w:pPr>
      <w:r w:rsidRPr="00724834">
        <w:rPr>
          <w:rFonts w:ascii="Garamond" w:hAnsi="Garamond" w:cs="Times New Roman"/>
          <w:lang w:val="en-US"/>
        </w:rPr>
        <w:t xml:space="preserve">The survey questionnaire was informed by key questions that drive the research project and are based on best practices in other survey or interview projects, most notably the Comparative Interest Group Survey </w:t>
      </w:r>
      <w:r w:rsidRPr="00724834">
        <w:rPr>
          <w:rFonts w:ascii="Garamond" w:hAnsi="Garamond" w:cs="Times New Roman"/>
          <w:lang w:val="en-US"/>
        </w:rPr>
        <w:lastRenderedPageBreak/>
        <w:t>Project (</w:t>
      </w:r>
      <w:hyperlink r:id="rId11" w:history="1">
        <w:r w:rsidRPr="00724834">
          <w:rPr>
            <w:rStyle w:val="Hyperlink"/>
            <w:rFonts w:cs="Times New Roman"/>
            <w:color w:val="auto"/>
            <w:lang w:val="en-US"/>
          </w:rPr>
          <w:t>www.cigsurvey.eu</w:t>
        </w:r>
      </w:hyperlink>
      <w:r w:rsidRPr="00724834">
        <w:rPr>
          <w:rFonts w:ascii="Garamond" w:hAnsi="Garamond" w:cs="Times New Roman"/>
          <w:lang w:val="en-US"/>
        </w:rPr>
        <w:t>) and the INTEREURO project (</w:t>
      </w:r>
      <w:hyperlink r:id="rId12" w:history="1">
        <w:r w:rsidRPr="00724834">
          <w:rPr>
            <w:rStyle w:val="Hyperlink"/>
            <w:rFonts w:cs="Times New Roman"/>
            <w:color w:val="auto"/>
            <w:lang w:val="en-US"/>
          </w:rPr>
          <w:t>www.intereuro.eu</w:t>
        </w:r>
      </w:hyperlink>
      <w:r w:rsidRPr="00724834">
        <w:rPr>
          <w:rFonts w:ascii="Garamond" w:hAnsi="Garamond" w:cs="Times New Roman"/>
          <w:lang w:val="en-US"/>
        </w:rPr>
        <w:t xml:space="preserve">). The survey was sent out for each issue separately. For instance, for the issue ‘tax on financial transactions’ we targeted all interest groups identified as active on this particular topic. Afterwards the survey was sent to interest groups active on the next issue, and so forth. </w:t>
      </w:r>
    </w:p>
    <w:p w:rsidR="007F1075" w:rsidRPr="00724834" w:rsidRDefault="007F1075" w:rsidP="007F1075">
      <w:pPr>
        <w:spacing w:before="240" w:line="480" w:lineRule="auto"/>
        <w:ind w:firstLine="720"/>
        <w:jc w:val="both"/>
        <w:rPr>
          <w:rFonts w:ascii="Garamond" w:hAnsi="Garamond" w:cs="Times New Roman"/>
          <w:lang w:val="en-US"/>
        </w:rPr>
      </w:pPr>
      <w:r w:rsidRPr="00724834">
        <w:rPr>
          <w:rFonts w:ascii="Garamond" w:hAnsi="Garamond" w:cs="Times New Roman"/>
          <w:lang w:val="en-US"/>
        </w:rPr>
        <w:t>As the subsequent Figure A4 shows, a little more than half of the respondents come from civil society groups (NGOs and trade unions), 40% represent business interests (business associations, associations of professionals and firms) and the remaining 3% are research organizations or associations of regional/local authorities. This distribution strongly resembles the distribution of the population of groups that we identified as active on the issues in our sample. Civil society is slightly overrepresented, with a share of 57% of the survey respondents versus 48% in the population.</w:t>
      </w:r>
    </w:p>
    <w:p w:rsidR="007F1075" w:rsidRPr="00724834" w:rsidRDefault="007F1075" w:rsidP="007F1075">
      <w:pPr>
        <w:pStyle w:val="Caption"/>
        <w:keepNext/>
        <w:spacing w:line="360" w:lineRule="auto"/>
        <w:rPr>
          <w:rFonts w:cs="Times New Roman"/>
          <w:bCs/>
          <w:i w:val="0"/>
          <w:color w:val="auto"/>
          <w:sz w:val="22"/>
          <w:szCs w:val="20"/>
        </w:rPr>
      </w:pPr>
      <w:r w:rsidRPr="00724834">
        <w:rPr>
          <w:noProof/>
          <w:color w:val="auto"/>
        </w:rPr>
        <w:drawing>
          <wp:anchor distT="0" distB="0" distL="114300" distR="114300" simplePos="0" relativeHeight="251660288" behindDoc="0" locked="0" layoutInCell="1" allowOverlap="1" wp14:anchorId="40953278" wp14:editId="36BDEE5A">
            <wp:simplePos x="0" y="0"/>
            <wp:positionH relativeFrom="column">
              <wp:posOffset>3148330</wp:posOffset>
            </wp:positionH>
            <wp:positionV relativeFrom="paragraph">
              <wp:posOffset>375435</wp:posOffset>
            </wp:positionV>
            <wp:extent cx="2862580" cy="1857375"/>
            <wp:effectExtent l="0" t="0" r="7620" b="9525"/>
            <wp:wrapSquare wrapText="bothSides"/>
            <wp:docPr id="20" name="Grafiek 20">
              <a:extLst xmlns:a="http://schemas.openxmlformats.org/drawingml/2006/main">
                <a:ext uri="{FF2B5EF4-FFF2-40B4-BE49-F238E27FC236}">
                  <a16:creationId xmlns:a16="http://schemas.microsoft.com/office/drawing/2014/main" id="{A94687F7-66F0-4029-8302-3AD5FB8118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724834">
        <w:rPr>
          <w:rFonts w:cs="Times New Roman"/>
          <w:b/>
          <w:i w:val="0"/>
          <w:color w:val="auto"/>
          <w:sz w:val="22"/>
          <w:szCs w:val="20"/>
        </w:rPr>
        <w:t xml:space="preserve">Figure A4. </w:t>
      </w:r>
      <w:r w:rsidRPr="00724834">
        <w:rPr>
          <w:rFonts w:cs="Times New Roman"/>
          <w:bCs/>
          <w:i w:val="0"/>
          <w:color w:val="auto"/>
          <w:sz w:val="22"/>
          <w:szCs w:val="20"/>
        </w:rPr>
        <w:t>Survey respondents (n=183)</w:t>
      </w:r>
      <w:r w:rsidRPr="00724834">
        <w:rPr>
          <w:rFonts w:cs="Times New Roman"/>
          <w:bCs/>
          <w:i w:val="0"/>
          <w:color w:val="auto"/>
          <w:sz w:val="22"/>
          <w:szCs w:val="20"/>
        </w:rPr>
        <w:tab/>
      </w:r>
      <w:r w:rsidRPr="00724834">
        <w:rPr>
          <w:rFonts w:cs="Times New Roman"/>
          <w:b/>
          <w:i w:val="0"/>
          <w:color w:val="auto"/>
          <w:sz w:val="22"/>
          <w:szCs w:val="20"/>
        </w:rPr>
        <w:tab/>
      </w:r>
      <w:r w:rsidRPr="00724834">
        <w:rPr>
          <w:rFonts w:cs="Times New Roman"/>
          <w:b/>
          <w:i w:val="0"/>
          <w:color w:val="auto"/>
          <w:sz w:val="22"/>
          <w:szCs w:val="20"/>
        </w:rPr>
        <w:tab/>
      </w:r>
      <w:r w:rsidRPr="00724834">
        <w:rPr>
          <w:rFonts w:cs="Times New Roman"/>
          <w:bCs/>
          <w:i w:val="0"/>
          <w:color w:val="auto"/>
          <w:sz w:val="22"/>
          <w:szCs w:val="20"/>
        </w:rPr>
        <w:t>Population of active interest groups (N=713)</w:t>
      </w:r>
    </w:p>
    <w:p w:rsidR="007F1075" w:rsidRPr="00724834" w:rsidRDefault="007F1075" w:rsidP="007F1075">
      <w:pPr>
        <w:keepNext/>
        <w:rPr>
          <w:rFonts w:ascii="Garamond" w:eastAsiaTheme="majorEastAsia" w:hAnsi="Garamond" w:cstheme="majorBidi"/>
          <w:b/>
          <w:sz w:val="24"/>
          <w:szCs w:val="32"/>
          <w:lang w:val="en-US"/>
        </w:rPr>
      </w:pPr>
      <w:r w:rsidRPr="00724834">
        <w:rPr>
          <w:rFonts w:ascii="Garamond" w:hAnsi="Garamond" w:cstheme="minorHAnsi"/>
          <w:noProof/>
          <w:szCs w:val="20"/>
          <w:lang w:val="en-US"/>
        </w:rPr>
        <w:drawing>
          <wp:anchor distT="0" distB="0" distL="114300" distR="114300" simplePos="0" relativeHeight="251661312" behindDoc="0" locked="0" layoutInCell="1" allowOverlap="1" wp14:anchorId="2F6DB47C" wp14:editId="1EB1BEF5">
            <wp:simplePos x="0" y="0"/>
            <wp:positionH relativeFrom="column">
              <wp:posOffset>0</wp:posOffset>
            </wp:positionH>
            <wp:positionV relativeFrom="paragraph">
              <wp:posOffset>4445</wp:posOffset>
            </wp:positionV>
            <wp:extent cx="2863362" cy="1866900"/>
            <wp:effectExtent l="0" t="0" r="6985" b="12700"/>
            <wp:wrapSquare wrapText="bothSides"/>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724834">
        <w:rPr>
          <w:rFonts w:ascii="Garamond" w:hAnsi="Garamond"/>
          <w:lang w:val="en-US"/>
        </w:rPr>
        <w:t xml:space="preserve"> </w:t>
      </w:r>
      <w:r w:rsidRPr="00724834">
        <w:rPr>
          <w:rFonts w:ascii="Garamond" w:hAnsi="Garamond"/>
          <w:lang w:val="en-US"/>
        </w:rPr>
        <w:br w:type="page"/>
      </w:r>
    </w:p>
    <w:p w:rsidR="007F1075" w:rsidRPr="00724834" w:rsidRDefault="007F1075" w:rsidP="007F1075">
      <w:pPr>
        <w:pStyle w:val="Heading1"/>
      </w:pPr>
      <w:bookmarkStart w:id="7" w:name="_Toc132807390"/>
      <w:r w:rsidRPr="00724834">
        <w:lastRenderedPageBreak/>
        <w:t>Robustness check with attributed influence</w:t>
      </w:r>
      <w:bookmarkEnd w:id="7"/>
    </w:p>
    <w:p w:rsidR="007F1075" w:rsidRPr="00724834" w:rsidRDefault="007F1075" w:rsidP="007F1075">
      <w:pPr>
        <w:spacing w:before="240" w:after="0" w:line="480" w:lineRule="auto"/>
        <w:jc w:val="both"/>
        <w:rPr>
          <w:rFonts w:ascii="Garamond" w:hAnsi="Garamond"/>
          <w:lang w:val="en-US"/>
        </w:rPr>
      </w:pPr>
      <w:r w:rsidRPr="00724834">
        <w:rPr>
          <w:rFonts w:ascii="Garamond" w:hAnsi="Garamond"/>
          <w:lang w:val="en-US"/>
        </w:rPr>
        <w:t xml:space="preserve">As a robustness check we used an alternative measure for lobbying success based on attributed influence. Respondents in the expert survey were asked to identify which interest organizations were able to significantly impact the EU decision making process on the issue in question. Groups could also mention their own organization. 31 (20%) out of the 157 interest groups in our dataset were indicated to be influential by at least one of our respondents. Because of the dichotomous nature of this variable, we computed a binary logit model. In the regression analysis below, the group type variable needed to be recoded to a dichotomous variable and the level of mobilization variable had to be omitted to avoid separation problems. Our first hypothesis regarding resources is corroborated, but not our second hypothesis regarding congruence. The finding shows that congruence leads to increased levels of preference attainment, but not perceived influence. The interaction terms included in Model A2 are not significant. Yet, the marginal effects presented in Figure A5 demonstrate that groups with relatively more economic resources are only considered significantly more influential by experts for congruence levels between 40% and 80% This corroborates our findings presented in the paper. </w:t>
      </w:r>
    </w:p>
    <w:p w:rsidR="007F1075" w:rsidRPr="00724834" w:rsidRDefault="007F1075" w:rsidP="007F1075">
      <w:pPr>
        <w:spacing w:after="0" w:line="360" w:lineRule="auto"/>
        <w:jc w:val="center"/>
        <w:rPr>
          <w:rFonts w:ascii="Garamond" w:hAnsi="Garamond"/>
          <w:b/>
          <w:lang w:val="en-US"/>
        </w:rPr>
      </w:pPr>
      <w:r w:rsidRPr="00724834">
        <w:rPr>
          <w:rFonts w:ascii="Garamond" w:hAnsi="Garamond"/>
          <w:b/>
          <w:lang w:val="en-US"/>
        </w:rPr>
        <w:t>Table A4. Binary logistic regression of perceived influence</w:t>
      </w:r>
    </w:p>
    <w:tbl>
      <w:tblPr>
        <w:tblW w:w="0" w:type="auto"/>
        <w:tblCellMar>
          <w:left w:w="70" w:type="dxa"/>
          <w:right w:w="70" w:type="dxa"/>
        </w:tblCellMar>
        <w:tblLook w:val="04A0" w:firstRow="1" w:lastRow="0" w:firstColumn="1" w:lastColumn="0" w:noHBand="0" w:noVBand="1"/>
      </w:tblPr>
      <w:tblGrid>
        <w:gridCol w:w="3404"/>
        <w:gridCol w:w="1345"/>
        <w:gridCol w:w="373"/>
        <w:gridCol w:w="897"/>
        <w:gridCol w:w="1475"/>
        <w:gridCol w:w="296"/>
        <w:gridCol w:w="813"/>
      </w:tblGrid>
      <w:tr w:rsidR="00724834" w:rsidRPr="00724834" w:rsidTr="00F77C0F">
        <w:trPr>
          <w:trHeight w:val="175"/>
        </w:trPr>
        <w:tc>
          <w:tcPr>
            <w:tcW w:w="0" w:type="auto"/>
            <w:tcBorders>
              <w:top w:val="single" w:sz="4" w:space="0" w:color="FFFFFF" w:themeColor="background1"/>
              <w:left w:val="nil"/>
              <w:bottom w:val="single" w:sz="4" w:space="0" w:color="auto"/>
              <w:right w:val="nil"/>
            </w:tcBorders>
            <w:shd w:val="clear" w:color="000000" w:fill="FFFFFF"/>
            <w:noWrap/>
          </w:tcPr>
          <w:p w:rsidR="007F1075" w:rsidRPr="00724834" w:rsidDel="0089728F" w:rsidRDefault="007F1075" w:rsidP="00F77C0F">
            <w:pPr>
              <w:spacing w:after="0" w:line="240" w:lineRule="auto"/>
              <w:rPr>
                <w:rFonts w:ascii="Garamond" w:eastAsia="Times New Roman" w:hAnsi="Garamond" w:cs="Calibri"/>
                <w:i/>
                <w:iCs/>
                <w:lang w:val="en-US"/>
              </w:rPr>
            </w:pPr>
          </w:p>
        </w:tc>
        <w:tc>
          <w:tcPr>
            <w:tcW w:w="2615" w:type="dxa"/>
            <w:gridSpan w:val="3"/>
            <w:tcBorders>
              <w:top w:val="single" w:sz="4" w:space="0" w:color="FFFFFF" w:themeColor="background1"/>
              <w:left w:val="nil"/>
              <w:bottom w:val="single" w:sz="4" w:space="0" w:color="auto"/>
              <w:right w:val="nil"/>
            </w:tcBorders>
            <w:shd w:val="clear" w:color="000000" w:fill="FFFFFF"/>
            <w:noWrap/>
            <w:vAlign w:val="bottom"/>
          </w:tcPr>
          <w:p w:rsidR="007F1075" w:rsidRPr="00724834" w:rsidRDefault="007F1075" w:rsidP="00F77C0F">
            <w:pPr>
              <w:spacing w:after="0" w:line="240" w:lineRule="auto"/>
              <w:jc w:val="center"/>
              <w:rPr>
                <w:rFonts w:ascii="Garamond" w:eastAsia="Times New Roman" w:hAnsi="Garamond" w:cs="Calibri"/>
                <w:i/>
                <w:iCs/>
                <w:lang w:val="en-US" w:eastAsia="nl-BE"/>
              </w:rPr>
            </w:pPr>
            <w:r w:rsidRPr="00724834">
              <w:rPr>
                <w:rFonts w:ascii="Garamond" w:eastAsia="Times New Roman" w:hAnsi="Garamond" w:cs="Calibri"/>
                <w:i/>
                <w:iCs/>
                <w:lang w:val="en-US" w:eastAsia="nl-BE"/>
              </w:rPr>
              <w:t xml:space="preserve">              Model A1</w:t>
            </w:r>
          </w:p>
        </w:tc>
        <w:tc>
          <w:tcPr>
            <w:tcW w:w="2584" w:type="dxa"/>
            <w:gridSpan w:val="3"/>
            <w:tcBorders>
              <w:top w:val="single" w:sz="4" w:space="0" w:color="FFFFFF" w:themeColor="background1"/>
              <w:left w:val="nil"/>
              <w:bottom w:val="single" w:sz="4" w:space="0" w:color="auto"/>
              <w:right w:val="nil"/>
            </w:tcBorders>
            <w:shd w:val="clear" w:color="000000" w:fill="FFFFFF"/>
            <w:vAlign w:val="bottom"/>
          </w:tcPr>
          <w:p w:rsidR="007F1075" w:rsidRPr="00724834" w:rsidRDefault="007F1075" w:rsidP="00F77C0F">
            <w:pPr>
              <w:spacing w:after="0" w:line="240" w:lineRule="auto"/>
              <w:jc w:val="center"/>
              <w:rPr>
                <w:rFonts w:ascii="Garamond" w:eastAsia="Times New Roman" w:hAnsi="Garamond" w:cs="Calibri"/>
                <w:i/>
                <w:iCs/>
                <w:lang w:val="en-US" w:eastAsia="nl-BE"/>
              </w:rPr>
            </w:pPr>
            <w:r w:rsidRPr="00724834">
              <w:rPr>
                <w:rFonts w:ascii="Garamond" w:eastAsia="Times New Roman" w:hAnsi="Garamond" w:cs="Calibri"/>
                <w:i/>
                <w:iCs/>
                <w:lang w:val="en-US" w:eastAsia="nl-BE"/>
              </w:rPr>
              <w:t xml:space="preserve">                   Model A2</w:t>
            </w:r>
          </w:p>
        </w:tc>
      </w:tr>
      <w:tr w:rsidR="00724834" w:rsidRPr="00724834" w:rsidTr="00F77C0F">
        <w:trPr>
          <w:trHeight w:val="175"/>
        </w:trPr>
        <w:tc>
          <w:tcPr>
            <w:tcW w:w="0" w:type="auto"/>
            <w:tcBorders>
              <w:top w:val="double" w:sz="6" w:space="0" w:color="auto"/>
              <w:left w:val="nil"/>
              <w:bottom w:val="single" w:sz="4" w:space="0" w:color="auto"/>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i/>
                <w:iCs/>
                <w:lang w:val="en-US" w:eastAsia="nl-BE"/>
              </w:rPr>
            </w:pPr>
            <w:r w:rsidRPr="00724834" w:rsidDel="0089728F">
              <w:rPr>
                <w:rFonts w:ascii="Garamond" w:eastAsia="Times New Roman" w:hAnsi="Garamond" w:cs="Calibri"/>
                <w:i/>
                <w:iCs/>
                <w:lang w:val="en-US"/>
              </w:rPr>
              <w:t xml:space="preserve"> </w:t>
            </w:r>
            <w:r w:rsidRPr="00724834">
              <w:rPr>
                <w:rFonts w:ascii="Garamond" w:eastAsia="Times New Roman" w:hAnsi="Garamond" w:cs="Calibri"/>
                <w:i/>
                <w:iCs/>
                <w:lang w:val="en-US" w:eastAsia="nl-BE"/>
              </w:rPr>
              <w:t xml:space="preserve">Main effects </w:t>
            </w:r>
          </w:p>
        </w:tc>
        <w:tc>
          <w:tcPr>
            <w:tcW w:w="1345" w:type="dxa"/>
            <w:tcBorders>
              <w:top w:val="double" w:sz="6" w:space="0" w:color="auto"/>
              <w:left w:val="nil"/>
              <w:bottom w:val="single" w:sz="4" w:space="0" w:color="auto"/>
              <w:right w:val="nil"/>
            </w:tcBorders>
            <w:shd w:val="clear" w:color="000000" w:fill="FFFFFF"/>
            <w:noWrap/>
            <w:vAlign w:val="bottom"/>
            <w:hideMark/>
          </w:tcPr>
          <w:p w:rsidR="007F1075" w:rsidRPr="00724834" w:rsidRDefault="007F1075" w:rsidP="00F77C0F">
            <w:pPr>
              <w:spacing w:after="0" w:line="240" w:lineRule="auto"/>
              <w:jc w:val="right"/>
              <w:rPr>
                <w:rFonts w:ascii="Calibri" w:eastAsia="Times New Roman" w:hAnsi="Calibri" w:cs="Calibri"/>
                <w:i/>
                <w:iCs/>
                <w:lang w:val="en-US" w:eastAsia="nl-BE"/>
              </w:rPr>
            </w:pPr>
            <w:r w:rsidRPr="00724834">
              <w:rPr>
                <w:rFonts w:ascii="Calibri" w:eastAsia="Times New Roman" w:hAnsi="Calibri" w:cs="Calibri"/>
                <w:i/>
                <w:iCs/>
                <w:lang w:val="en-US" w:eastAsia="nl-BE"/>
              </w:rPr>
              <w:t xml:space="preserve"> β </w:t>
            </w:r>
          </w:p>
        </w:tc>
        <w:tc>
          <w:tcPr>
            <w:tcW w:w="373" w:type="dxa"/>
            <w:tcBorders>
              <w:top w:val="double" w:sz="6" w:space="0" w:color="auto"/>
              <w:left w:val="nil"/>
              <w:bottom w:val="single" w:sz="4" w:space="0" w:color="auto"/>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i/>
                <w:iCs/>
                <w:lang w:val="en-US" w:eastAsia="nl-BE"/>
              </w:rPr>
            </w:pPr>
            <w:r w:rsidRPr="00724834">
              <w:rPr>
                <w:rFonts w:ascii="Garamond" w:eastAsia="Times New Roman" w:hAnsi="Garamond" w:cs="Calibri"/>
                <w:i/>
                <w:iCs/>
                <w:lang w:val="en-US" w:eastAsia="nl-BE"/>
              </w:rPr>
              <w:t> </w:t>
            </w:r>
          </w:p>
        </w:tc>
        <w:tc>
          <w:tcPr>
            <w:tcW w:w="897" w:type="dxa"/>
            <w:tcBorders>
              <w:top w:val="double" w:sz="6" w:space="0" w:color="auto"/>
              <w:left w:val="nil"/>
              <w:bottom w:val="single" w:sz="4" w:space="0" w:color="auto"/>
              <w:right w:val="nil"/>
            </w:tcBorders>
            <w:shd w:val="clear" w:color="000000" w:fill="FFFFFF"/>
            <w:noWrap/>
            <w:vAlign w:val="bottom"/>
            <w:hideMark/>
          </w:tcPr>
          <w:p w:rsidR="007F1075" w:rsidRPr="00724834" w:rsidRDefault="007F1075" w:rsidP="00F77C0F">
            <w:pPr>
              <w:spacing w:after="0" w:line="240" w:lineRule="auto"/>
              <w:jc w:val="right"/>
              <w:rPr>
                <w:rFonts w:ascii="Garamond" w:eastAsia="Times New Roman" w:hAnsi="Garamond" w:cs="Calibri"/>
                <w:i/>
                <w:iCs/>
                <w:lang w:val="en-US" w:eastAsia="nl-BE"/>
              </w:rPr>
            </w:pPr>
            <w:r w:rsidRPr="00724834">
              <w:rPr>
                <w:rFonts w:ascii="Garamond" w:eastAsia="Times New Roman" w:hAnsi="Garamond" w:cs="Calibri"/>
                <w:i/>
                <w:iCs/>
                <w:lang w:val="en-US" w:eastAsia="nl-BE"/>
              </w:rPr>
              <w:t>S.E.</w:t>
            </w:r>
          </w:p>
        </w:tc>
        <w:tc>
          <w:tcPr>
            <w:tcW w:w="1475" w:type="dxa"/>
            <w:tcBorders>
              <w:top w:val="double" w:sz="6" w:space="0" w:color="auto"/>
              <w:left w:val="nil"/>
              <w:bottom w:val="single" w:sz="4" w:space="0" w:color="auto"/>
              <w:right w:val="nil"/>
            </w:tcBorders>
            <w:shd w:val="clear" w:color="000000" w:fill="FFFFFF"/>
            <w:vAlign w:val="bottom"/>
          </w:tcPr>
          <w:p w:rsidR="007F1075" w:rsidRPr="00724834" w:rsidRDefault="007F1075" w:rsidP="00F77C0F">
            <w:pPr>
              <w:spacing w:after="0" w:line="240" w:lineRule="auto"/>
              <w:jc w:val="right"/>
              <w:rPr>
                <w:rFonts w:ascii="Garamond" w:eastAsia="Times New Roman" w:hAnsi="Garamond" w:cs="Calibri"/>
                <w:i/>
                <w:iCs/>
                <w:lang w:val="en-US" w:eastAsia="nl-BE"/>
              </w:rPr>
            </w:pPr>
            <w:r w:rsidRPr="00724834">
              <w:rPr>
                <w:rFonts w:ascii="Calibri" w:eastAsia="Times New Roman" w:hAnsi="Calibri" w:cs="Calibri"/>
                <w:i/>
                <w:iCs/>
                <w:lang w:val="en-US" w:eastAsia="nl-BE"/>
              </w:rPr>
              <w:t xml:space="preserve"> β </w:t>
            </w:r>
          </w:p>
        </w:tc>
        <w:tc>
          <w:tcPr>
            <w:tcW w:w="296" w:type="dxa"/>
            <w:tcBorders>
              <w:top w:val="double" w:sz="6" w:space="0" w:color="auto"/>
              <w:left w:val="nil"/>
              <w:bottom w:val="single" w:sz="4" w:space="0" w:color="auto"/>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i/>
                <w:iCs/>
                <w:lang w:val="en-US" w:eastAsia="nl-BE"/>
              </w:rPr>
            </w:pPr>
            <w:r w:rsidRPr="00724834">
              <w:rPr>
                <w:rFonts w:ascii="Garamond" w:eastAsia="Times New Roman" w:hAnsi="Garamond" w:cs="Calibri"/>
                <w:i/>
                <w:iCs/>
                <w:lang w:val="en-US" w:eastAsia="nl-BE"/>
              </w:rPr>
              <w:t> </w:t>
            </w:r>
          </w:p>
        </w:tc>
        <w:tc>
          <w:tcPr>
            <w:tcW w:w="0" w:type="auto"/>
            <w:tcBorders>
              <w:top w:val="double" w:sz="6" w:space="0" w:color="auto"/>
              <w:left w:val="nil"/>
              <w:bottom w:val="single" w:sz="4" w:space="0" w:color="auto"/>
              <w:right w:val="nil"/>
            </w:tcBorders>
            <w:shd w:val="clear" w:color="000000" w:fill="FFFFFF"/>
            <w:vAlign w:val="bottom"/>
          </w:tcPr>
          <w:p w:rsidR="007F1075" w:rsidRPr="00724834" w:rsidRDefault="007F1075" w:rsidP="00F77C0F">
            <w:pPr>
              <w:spacing w:after="0" w:line="240" w:lineRule="auto"/>
              <w:jc w:val="right"/>
              <w:rPr>
                <w:rFonts w:ascii="Garamond" w:eastAsia="Times New Roman" w:hAnsi="Garamond" w:cs="Calibri"/>
                <w:i/>
                <w:iCs/>
                <w:lang w:val="en-US" w:eastAsia="nl-BE"/>
              </w:rPr>
            </w:pPr>
            <w:r w:rsidRPr="00724834">
              <w:rPr>
                <w:rFonts w:ascii="Garamond" w:eastAsia="Times New Roman" w:hAnsi="Garamond" w:cs="Calibri"/>
                <w:i/>
                <w:iCs/>
                <w:lang w:val="en-US" w:eastAsia="nl-BE"/>
              </w:rPr>
              <w:t>S.E.</w:t>
            </w:r>
          </w:p>
        </w:tc>
      </w:tr>
      <w:tr w:rsidR="00724834" w:rsidRPr="00724834" w:rsidTr="00F77C0F">
        <w:trPr>
          <w:trHeight w:val="168"/>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Intercept </w:t>
            </w:r>
          </w:p>
        </w:tc>
        <w:tc>
          <w:tcPr>
            <w:tcW w:w="1345"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0.31</w:t>
            </w:r>
          </w:p>
        </w:tc>
        <w:tc>
          <w:tcPr>
            <w:tcW w:w="373"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897"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(1.15)</w:t>
            </w:r>
          </w:p>
        </w:tc>
        <w:tc>
          <w:tcPr>
            <w:tcW w:w="1475" w:type="dxa"/>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-0.08</w:t>
            </w:r>
          </w:p>
        </w:tc>
        <w:tc>
          <w:tcPr>
            <w:tcW w:w="296" w:type="dxa"/>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(1.95)</w:t>
            </w:r>
          </w:p>
        </w:tc>
      </w:tr>
      <w:tr w:rsidR="00724834" w:rsidRPr="00724834" w:rsidTr="00F77C0F">
        <w:trPr>
          <w:trHeight w:val="168"/>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Financial resources </w:t>
            </w:r>
          </w:p>
        </w:tc>
        <w:tc>
          <w:tcPr>
            <w:tcW w:w="1345"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373"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897"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1475" w:type="dxa"/>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296" w:type="dxa"/>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r>
      <w:tr w:rsidR="00724834" w:rsidRPr="00724834" w:rsidTr="00F77C0F">
        <w:trPr>
          <w:trHeight w:val="168"/>
        </w:trPr>
        <w:tc>
          <w:tcPr>
            <w:tcW w:w="0" w:type="auto"/>
            <w:tcBorders>
              <w:top w:val="nil"/>
              <w:left w:val="nil"/>
              <w:bottom w:val="nil"/>
              <w:right w:val="nil"/>
            </w:tcBorders>
            <w:shd w:val="clear" w:color="000000" w:fill="FFFFFF"/>
            <w:noWrap/>
          </w:tcPr>
          <w:p w:rsidR="007F1075" w:rsidRPr="00724834" w:rsidRDefault="007F1075" w:rsidP="00F77C0F">
            <w:pPr>
              <w:pStyle w:val="ListParagraph"/>
              <w:numPr>
                <w:ilvl w:val="0"/>
                <w:numId w:val="23"/>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High (more than 1 million)</w:t>
            </w:r>
          </w:p>
        </w:tc>
        <w:tc>
          <w:tcPr>
            <w:tcW w:w="1345"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1.72</w:t>
            </w:r>
          </w:p>
        </w:tc>
        <w:tc>
          <w:tcPr>
            <w:tcW w:w="373"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897"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(0.86)</w:t>
            </w:r>
          </w:p>
        </w:tc>
        <w:tc>
          <w:tcPr>
            <w:tcW w:w="1475" w:type="dxa"/>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2.36</w:t>
            </w:r>
          </w:p>
        </w:tc>
        <w:tc>
          <w:tcPr>
            <w:tcW w:w="296" w:type="dxa"/>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(2.00)</w:t>
            </w:r>
          </w:p>
        </w:tc>
      </w:tr>
      <w:tr w:rsidR="00724834" w:rsidRPr="00724834" w:rsidTr="00F77C0F">
        <w:trPr>
          <w:trHeight w:val="168"/>
        </w:trPr>
        <w:tc>
          <w:tcPr>
            <w:tcW w:w="0" w:type="auto"/>
            <w:tcBorders>
              <w:top w:val="nil"/>
              <w:left w:val="nil"/>
              <w:bottom w:val="nil"/>
              <w:right w:val="nil"/>
            </w:tcBorders>
            <w:shd w:val="clear" w:color="000000" w:fill="FFFFFF"/>
            <w:noWrap/>
          </w:tcPr>
          <w:p w:rsidR="007F1075" w:rsidRPr="00724834" w:rsidRDefault="007F1075" w:rsidP="00F77C0F">
            <w:pPr>
              <w:pStyle w:val="ListParagraph"/>
              <w:numPr>
                <w:ilvl w:val="0"/>
                <w:numId w:val="23"/>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Middle (100,000 – 1 million)</w:t>
            </w:r>
          </w:p>
        </w:tc>
        <w:tc>
          <w:tcPr>
            <w:tcW w:w="1345"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1.24</w:t>
            </w:r>
          </w:p>
        </w:tc>
        <w:tc>
          <w:tcPr>
            <w:tcW w:w="373"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897"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(0.88)</w:t>
            </w:r>
          </w:p>
        </w:tc>
        <w:tc>
          <w:tcPr>
            <w:tcW w:w="1475" w:type="dxa"/>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1.46</w:t>
            </w:r>
          </w:p>
        </w:tc>
        <w:tc>
          <w:tcPr>
            <w:tcW w:w="296" w:type="dxa"/>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(2.05)</w:t>
            </w:r>
          </w:p>
        </w:tc>
      </w:tr>
      <w:tr w:rsidR="00724834" w:rsidRPr="00724834" w:rsidTr="00F77C0F">
        <w:trPr>
          <w:trHeight w:val="168"/>
        </w:trPr>
        <w:tc>
          <w:tcPr>
            <w:tcW w:w="0" w:type="auto"/>
            <w:tcBorders>
              <w:top w:val="nil"/>
              <w:left w:val="nil"/>
              <w:bottom w:val="nil"/>
              <w:right w:val="nil"/>
            </w:tcBorders>
            <w:shd w:val="clear" w:color="000000" w:fill="FFFFFF"/>
            <w:noWrap/>
          </w:tcPr>
          <w:p w:rsidR="007F1075" w:rsidRPr="00724834" w:rsidRDefault="007F1075" w:rsidP="00F77C0F">
            <w:pPr>
              <w:pStyle w:val="ListParagraph"/>
              <w:numPr>
                <w:ilvl w:val="0"/>
                <w:numId w:val="23"/>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Low  (up to 100,000) (ref.)</w:t>
            </w:r>
          </w:p>
        </w:tc>
        <w:tc>
          <w:tcPr>
            <w:tcW w:w="1345"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373"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897"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1475" w:type="dxa"/>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296" w:type="dxa"/>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r>
      <w:tr w:rsidR="00724834" w:rsidRPr="00724834" w:rsidTr="00F77C0F">
        <w:trPr>
          <w:trHeight w:val="168"/>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Public congruence </w:t>
            </w:r>
          </w:p>
        </w:tc>
        <w:tc>
          <w:tcPr>
            <w:tcW w:w="1345"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0.01</w:t>
            </w:r>
          </w:p>
        </w:tc>
        <w:tc>
          <w:tcPr>
            <w:tcW w:w="373"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897"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(0.03)</w:t>
            </w:r>
          </w:p>
        </w:tc>
        <w:tc>
          <w:tcPr>
            <w:tcW w:w="1475" w:type="dxa"/>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0.01</w:t>
            </w:r>
          </w:p>
        </w:tc>
        <w:tc>
          <w:tcPr>
            <w:tcW w:w="296" w:type="dxa"/>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(0.04)</w:t>
            </w:r>
          </w:p>
        </w:tc>
      </w:tr>
      <w:tr w:rsidR="00724834" w:rsidRPr="00724834" w:rsidTr="00F77C0F">
        <w:trPr>
          <w:trHeight w:val="168"/>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Position </w:t>
            </w:r>
          </w:p>
        </w:tc>
        <w:tc>
          <w:tcPr>
            <w:tcW w:w="1345"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373"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897"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1475" w:type="dxa"/>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296" w:type="dxa"/>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168"/>
        </w:trPr>
        <w:tc>
          <w:tcPr>
            <w:tcW w:w="0" w:type="auto"/>
            <w:tcBorders>
              <w:top w:val="nil"/>
              <w:left w:val="nil"/>
              <w:bottom w:val="nil"/>
              <w:right w:val="nil"/>
            </w:tcBorders>
            <w:shd w:val="clear" w:color="000000" w:fill="FFFFFF"/>
            <w:noWrap/>
            <w:hideMark/>
          </w:tcPr>
          <w:p w:rsidR="007F1075" w:rsidRPr="00724834" w:rsidRDefault="007F1075" w:rsidP="00F77C0F">
            <w:pPr>
              <w:pStyle w:val="ListParagraph"/>
              <w:numPr>
                <w:ilvl w:val="0"/>
                <w:numId w:val="18"/>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Support policy change </w:t>
            </w:r>
          </w:p>
        </w:tc>
        <w:tc>
          <w:tcPr>
            <w:tcW w:w="1345"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-1.26</w:t>
            </w:r>
          </w:p>
        </w:tc>
        <w:tc>
          <w:tcPr>
            <w:tcW w:w="373"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897"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(1.49)</w:t>
            </w:r>
          </w:p>
        </w:tc>
        <w:tc>
          <w:tcPr>
            <w:tcW w:w="1475" w:type="dxa"/>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-1.21</w:t>
            </w:r>
          </w:p>
        </w:tc>
        <w:tc>
          <w:tcPr>
            <w:tcW w:w="296" w:type="dxa"/>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(1.52)</w:t>
            </w:r>
          </w:p>
        </w:tc>
      </w:tr>
      <w:tr w:rsidR="00724834" w:rsidRPr="00724834" w:rsidTr="00F77C0F">
        <w:trPr>
          <w:trHeight w:val="168"/>
        </w:trPr>
        <w:tc>
          <w:tcPr>
            <w:tcW w:w="0" w:type="auto"/>
            <w:tcBorders>
              <w:top w:val="nil"/>
              <w:left w:val="nil"/>
              <w:bottom w:val="nil"/>
              <w:right w:val="nil"/>
            </w:tcBorders>
            <w:shd w:val="clear" w:color="000000" w:fill="FFFFFF"/>
            <w:noWrap/>
            <w:hideMark/>
          </w:tcPr>
          <w:p w:rsidR="007F1075" w:rsidRPr="00724834" w:rsidRDefault="007F1075" w:rsidP="00F77C0F">
            <w:pPr>
              <w:pStyle w:val="ListParagraph"/>
              <w:numPr>
                <w:ilvl w:val="0"/>
                <w:numId w:val="18"/>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Oppose policy change (ref.) </w:t>
            </w:r>
          </w:p>
        </w:tc>
        <w:tc>
          <w:tcPr>
            <w:tcW w:w="1345"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373"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897"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1475" w:type="dxa"/>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296" w:type="dxa"/>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r>
      <w:tr w:rsidR="00724834" w:rsidRPr="00724834" w:rsidTr="00F77C0F">
        <w:trPr>
          <w:trHeight w:val="168"/>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Media access </w:t>
            </w:r>
          </w:p>
        </w:tc>
        <w:tc>
          <w:tcPr>
            <w:tcW w:w="1345"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-0.24</w:t>
            </w:r>
          </w:p>
        </w:tc>
        <w:tc>
          <w:tcPr>
            <w:tcW w:w="373"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897"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(0.79)</w:t>
            </w:r>
          </w:p>
        </w:tc>
        <w:tc>
          <w:tcPr>
            <w:tcW w:w="1475" w:type="dxa"/>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-0.28</w:t>
            </w:r>
          </w:p>
        </w:tc>
        <w:tc>
          <w:tcPr>
            <w:tcW w:w="296" w:type="dxa"/>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(0.82)</w:t>
            </w:r>
          </w:p>
        </w:tc>
      </w:tr>
      <w:tr w:rsidR="00724834" w:rsidRPr="00724834" w:rsidTr="00F77C0F">
        <w:trPr>
          <w:trHeight w:val="168"/>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Media salience (logged) </w:t>
            </w:r>
          </w:p>
        </w:tc>
        <w:tc>
          <w:tcPr>
            <w:tcW w:w="1345"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-0.81</w:t>
            </w:r>
          </w:p>
        </w:tc>
        <w:tc>
          <w:tcPr>
            <w:tcW w:w="373"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897"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(0.93)</w:t>
            </w:r>
          </w:p>
        </w:tc>
        <w:tc>
          <w:tcPr>
            <w:tcW w:w="1475" w:type="dxa"/>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-0.80</w:t>
            </w:r>
          </w:p>
        </w:tc>
        <w:tc>
          <w:tcPr>
            <w:tcW w:w="296" w:type="dxa"/>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(1.00)</w:t>
            </w:r>
          </w:p>
        </w:tc>
      </w:tr>
      <w:tr w:rsidR="00724834" w:rsidRPr="00724834" w:rsidTr="00F77C0F">
        <w:trPr>
          <w:trHeight w:val="168"/>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Group type </w:t>
            </w:r>
          </w:p>
        </w:tc>
        <w:tc>
          <w:tcPr>
            <w:tcW w:w="1345"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373"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897"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1475" w:type="dxa"/>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296" w:type="dxa"/>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168"/>
        </w:trPr>
        <w:tc>
          <w:tcPr>
            <w:tcW w:w="0" w:type="auto"/>
            <w:tcBorders>
              <w:top w:val="nil"/>
              <w:left w:val="nil"/>
              <w:bottom w:val="nil"/>
              <w:right w:val="nil"/>
            </w:tcBorders>
            <w:shd w:val="clear" w:color="000000" w:fill="FFFFFF"/>
            <w:noWrap/>
            <w:hideMark/>
          </w:tcPr>
          <w:p w:rsidR="007F1075" w:rsidRPr="00724834" w:rsidRDefault="007F1075" w:rsidP="00F77C0F">
            <w:pPr>
              <w:pStyle w:val="ListParagraph"/>
              <w:numPr>
                <w:ilvl w:val="0"/>
                <w:numId w:val="16"/>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Business </w:t>
            </w:r>
          </w:p>
        </w:tc>
        <w:tc>
          <w:tcPr>
            <w:tcW w:w="1345"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-0.25</w:t>
            </w:r>
          </w:p>
        </w:tc>
        <w:tc>
          <w:tcPr>
            <w:tcW w:w="373"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897" w:type="dxa"/>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(0.68)</w:t>
            </w:r>
          </w:p>
        </w:tc>
        <w:tc>
          <w:tcPr>
            <w:tcW w:w="1475" w:type="dxa"/>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-0.28</w:t>
            </w:r>
          </w:p>
        </w:tc>
        <w:tc>
          <w:tcPr>
            <w:tcW w:w="296" w:type="dxa"/>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(0.67)</w:t>
            </w:r>
          </w:p>
        </w:tc>
      </w:tr>
      <w:tr w:rsidR="00724834" w:rsidRPr="00724834" w:rsidTr="00F77C0F">
        <w:trPr>
          <w:trHeight w:val="168"/>
        </w:trPr>
        <w:tc>
          <w:tcPr>
            <w:tcW w:w="0" w:type="auto"/>
            <w:tcBorders>
              <w:top w:val="nil"/>
              <w:left w:val="nil"/>
              <w:right w:val="nil"/>
            </w:tcBorders>
            <w:shd w:val="clear" w:color="000000" w:fill="FFFFFF"/>
            <w:noWrap/>
            <w:hideMark/>
          </w:tcPr>
          <w:p w:rsidR="007F1075" w:rsidRPr="00724834" w:rsidRDefault="007F1075" w:rsidP="00F77C0F">
            <w:pPr>
              <w:pStyle w:val="ListParagraph"/>
              <w:numPr>
                <w:ilvl w:val="0"/>
                <w:numId w:val="16"/>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Civil society (ref.) </w:t>
            </w:r>
          </w:p>
        </w:tc>
        <w:tc>
          <w:tcPr>
            <w:tcW w:w="1345" w:type="dxa"/>
            <w:tcBorders>
              <w:top w:val="nil"/>
              <w:left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373" w:type="dxa"/>
            <w:tcBorders>
              <w:top w:val="nil"/>
              <w:left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897" w:type="dxa"/>
            <w:tcBorders>
              <w:top w:val="nil"/>
              <w:left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1475" w:type="dxa"/>
            <w:tcBorders>
              <w:top w:val="nil"/>
              <w:left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296" w:type="dxa"/>
            <w:tcBorders>
              <w:top w:val="nil"/>
              <w:left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r>
      <w:tr w:rsidR="00724834" w:rsidRPr="00724834" w:rsidTr="00F77C0F">
        <w:trPr>
          <w:trHeight w:val="168"/>
        </w:trPr>
        <w:tc>
          <w:tcPr>
            <w:tcW w:w="0" w:type="auto"/>
            <w:tcBorders>
              <w:top w:val="nil"/>
              <w:left w:val="nil"/>
              <w:bottom w:val="single" w:sz="4" w:space="0" w:color="auto"/>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Coalition </w:t>
            </w:r>
          </w:p>
        </w:tc>
        <w:tc>
          <w:tcPr>
            <w:tcW w:w="1345" w:type="dxa"/>
            <w:tcBorders>
              <w:top w:val="nil"/>
              <w:left w:val="nil"/>
              <w:bottom w:val="single" w:sz="4" w:space="0" w:color="auto"/>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0.40</w:t>
            </w:r>
          </w:p>
        </w:tc>
        <w:tc>
          <w:tcPr>
            <w:tcW w:w="373" w:type="dxa"/>
            <w:tcBorders>
              <w:top w:val="nil"/>
              <w:left w:val="nil"/>
              <w:bottom w:val="single" w:sz="4" w:space="0" w:color="auto"/>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897" w:type="dxa"/>
            <w:tcBorders>
              <w:top w:val="nil"/>
              <w:left w:val="nil"/>
              <w:bottom w:val="single" w:sz="4" w:space="0" w:color="auto"/>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(0.59)</w:t>
            </w:r>
          </w:p>
        </w:tc>
        <w:tc>
          <w:tcPr>
            <w:tcW w:w="1475" w:type="dxa"/>
            <w:tcBorders>
              <w:top w:val="nil"/>
              <w:left w:val="nil"/>
              <w:bottom w:val="single" w:sz="4" w:space="0" w:color="auto"/>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0.43</w:t>
            </w:r>
          </w:p>
        </w:tc>
        <w:tc>
          <w:tcPr>
            <w:tcW w:w="296" w:type="dxa"/>
            <w:tcBorders>
              <w:top w:val="nil"/>
              <w:left w:val="nil"/>
              <w:bottom w:val="single" w:sz="4" w:space="0" w:color="auto"/>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single" w:sz="4" w:space="0" w:color="auto"/>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(0.60)</w:t>
            </w:r>
          </w:p>
        </w:tc>
      </w:tr>
      <w:tr w:rsidR="00724834" w:rsidRPr="00724834" w:rsidTr="00F77C0F">
        <w:trPr>
          <w:trHeight w:val="168"/>
        </w:trPr>
        <w:tc>
          <w:tcPr>
            <w:tcW w:w="0" w:type="auto"/>
            <w:tcBorders>
              <w:top w:val="single" w:sz="4" w:space="0" w:color="auto"/>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i/>
                <w:iCs/>
                <w:lang w:val="en-US" w:eastAsia="nl-BE"/>
              </w:rPr>
            </w:pPr>
            <w:r w:rsidRPr="00724834">
              <w:rPr>
                <w:rFonts w:ascii="Garamond" w:eastAsia="Times New Roman" w:hAnsi="Garamond" w:cs="Calibri"/>
                <w:i/>
                <w:iCs/>
                <w:lang w:val="en-US" w:eastAsia="nl-BE"/>
              </w:rPr>
              <w:t>Interaction effects</w:t>
            </w:r>
          </w:p>
        </w:tc>
        <w:tc>
          <w:tcPr>
            <w:tcW w:w="1345" w:type="dxa"/>
            <w:tcBorders>
              <w:top w:val="single" w:sz="4" w:space="0" w:color="auto"/>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373" w:type="dxa"/>
            <w:tcBorders>
              <w:top w:val="single" w:sz="4" w:space="0" w:color="auto"/>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897" w:type="dxa"/>
            <w:tcBorders>
              <w:top w:val="single" w:sz="4" w:space="0" w:color="auto"/>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1475" w:type="dxa"/>
            <w:tcBorders>
              <w:top w:val="single" w:sz="4" w:space="0" w:color="auto"/>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296" w:type="dxa"/>
            <w:tcBorders>
              <w:top w:val="single" w:sz="4" w:space="0" w:color="auto"/>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single" w:sz="4" w:space="0" w:color="auto"/>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168"/>
        </w:trPr>
        <w:tc>
          <w:tcPr>
            <w:tcW w:w="0" w:type="auto"/>
            <w:tcBorders>
              <w:top w:val="nil"/>
              <w:left w:val="nil"/>
              <w:right w:val="nil"/>
            </w:tcBorders>
            <w:shd w:val="clear" w:color="000000" w:fill="FFFFFF"/>
            <w:noWrap/>
          </w:tcPr>
          <w:p w:rsidR="007F1075" w:rsidRPr="00724834" w:rsidRDefault="007F1075" w:rsidP="00F77C0F">
            <w:pPr>
              <w:pStyle w:val="ListParagraph"/>
              <w:numPr>
                <w:ilvl w:val="0"/>
                <w:numId w:val="16"/>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High resources x congruence</w:t>
            </w:r>
          </w:p>
        </w:tc>
        <w:tc>
          <w:tcPr>
            <w:tcW w:w="1345" w:type="dxa"/>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373" w:type="dxa"/>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897" w:type="dxa"/>
            <w:tcBorders>
              <w:top w:val="nil"/>
              <w:left w:val="nil"/>
              <w:right w:val="nil"/>
            </w:tcBorders>
            <w:shd w:val="clear" w:color="000000" w:fill="FFFFFF"/>
            <w:noWrap/>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1475" w:type="dxa"/>
            <w:tcBorders>
              <w:top w:val="nil"/>
              <w:left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-0.01</w:t>
            </w:r>
          </w:p>
        </w:tc>
        <w:tc>
          <w:tcPr>
            <w:tcW w:w="296" w:type="dxa"/>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(0.03)</w:t>
            </w:r>
          </w:p>
        </w:tc>
      </w:tr>
      <w:tr w:rsidR="00724834" w:rsidRPr="00724834" w:rsidTr="00F77C0F">
        <w:trPr>
          <w:trHeight w:val="168"/>
        </w:trPr>
        <w:tc>
          <w:tcPr>
            <w:tcW w:w="0" w:type="auto"/>
            <w:tcBorders>
              <w:top w:val="nil"/>
              <w:left w:val="nil"/>
              <w:right w:val="nil"/>
            </w:tcBorders>
            <w:shd w:val="clear" w:color="000000" w:fill="FFFFFF"/>
            <w:noWrap/>
          </w:tcPr>
          <w:p w:rsidR="007F1075" w:rsidRPr="00724834" w:rsidRDefault="007F1075" w:rsidP="00F77C0F">
            <w:pPr>
              <w:pStyle w:val="ListParagraph"/>
              <w:numPr>
                <w:ilvl w:val="0"/>
                <w:numId w:val="16"/>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Medium resources x congruence</w:t>
            </w:r>
          </w:p>
        </w:tc>
        <w:tc>
          <w:tcPr>
            <w:tcW w:w="1345" w:type="dxa"/>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373" w:type="dxa"/>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897" w:type="dxa"/>
            <w:tcBorders>
              <w:top w:val="nil"/>
              <w:left w:val="nil"/>
              <w:right w:val="nil"/>
            </w:tcBorders>
            <w:shd w:val="clear" w:color="000000" w:fill="FFFFFF"/>
            <w:noWrap/>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1475" w:type="dxa"/>
            <w:tcBorders>
              <w:top w:val="nil"/>
              <w:left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-0.00</w:t>
            </w:r>
          </w:p>
        </w:tc>
        <w:tc>
          <w:tcPr>
            <w:tcW w:w="296" w:type="dxa"/>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(0.03)</w:t>
            </w:r>
          </w:p>
        </w:tc>
      </w:tr>
      <w:tr w:rsidR="00724834" w:rsidRPr="00724834" w:rsidTr="00F77C0F">
        <w:trPr>
          <w:trHeight w:val="168"/>
        </w:trPr>
        <w:tc>
          <w:tcPr>
            <w:tcW w:w="0" w:type="auto"/>
            <w:tcBorders>
              <w:top w:val="nil"/>
              <w:left w:val="nil"/>
              <w:bottom w:val="single" w:sz="4" w:space="0" w:color="auto"/>
              <w:right w:val="nil"/>
            </w:tcBorders>
            <w:shd w:val="clear" w:color="000000" w:fill="FFFFFF"/>
            <w:noWrap/>
          </w:tcPr>
          <w:p w:rsidR="007F1075" w:rsidRPr="00724834" w:rsidRDefault="007F1075" w:rsidP="00F77C0F">
            <w:pPr>
              <w:pStyle w:val="ListParagraph"/>
              <w:numPr>
                <w:ilvl w:val="0"/>
                <w:numId w:val="16"/>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Low resources x congruence (ref.)</w:t>
            </w:r>
          </w:p>
        </w:tc>
        <w:tc>
          <w:tcPr>
            <w:tcW w:w="1345" w:type="dxa"/>
            <w:tcBorders>
              <w:top w:val="nil"/>
              <w:left w:val="nil"/>
              <w:bottom w:val="single" w:sz="4" w:space="0" w:color="auto"/>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373" w:type="dxa"/>
            <w:tcBorders>
              <w:top w:val="nil"/>
              <w:left w:val="nil"/>
              <w:bottom w:val="single" w:sz="4" w:space="0" w:color="auto"/>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897" w:type="dxa"/>
            <w:tcBorders>
              <w:top w:val="nil"/>
              <w:left w:val="nil"/>
              <w:bottom w:val="single" w:sz="4" w:space="0" w:color="auto"/>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1475" w:type="dxa"/>
            <w:tcBorders>
              <w:top w:val="nil"/>
              <w:left w:val="nil"/>
              <w:bottom w:val="single" w:sz="4" w:space="0" w:color="auto"/>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296" w:type="dxa"/>
            <w:tcBorders>
              <w:top w:val="nil"/>
              <w:left w:val="nil"/>
              <w:bottom w:val="single" w:sz="4" w:space="0" w:color="auto"/>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single" w:sz="4" w:space="0" w:color="auto"/>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168"/>
        </w:trPr>
        <w:tc>
          <w:tcPr>
            <w:tcW w:w="0" w:type="auto"/>
            <w:tcBorders>
              <w:top w:val="single" w:sz="4" w:space="0" w:color="auto"/>
              <w:left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b/>
                <w:bCs/>
                <w:lang w:val="en-US" w:eastAsia="nl-BE"/>
              </w:rPr>
            </w:pPr>
            <w:r w:rsidRPr="00724834">
              <w:rPr>
                <w:rFonts w:ascii="Garamond" w:eastAsia="Times New Roman" w:hAnsi="Garamond" w:cs="Calibri"/>
                <w:b/>
                <w:bCs/>
                <w:lang w:val="en-US" w:eastAsia="nl-BE"/>
              </w:rPr>
              <w:t xml:space="preserve"> </w:t>
            </w:r>
            <w:r w:rsidRPr="00724834">
              <w:rPr>
                <w:rFonts w:ascii="Garamond" w:eastAsia="Times New Roman" w:hAnsi="Garamond" w:cs="Calibri"/>
                <w:i/>
                <w:iCs/>
                <w:lang w:val="en-US" w:eastAsia="nl-BE"/>
              </w:rPr>
              <w:t>Model fit</w:t>
            </w:r>
            <w:r w:rsidRPr="00724834">
              <w:rPr>
                <w:rFonts w:ascii="Garamond" w:eastAsia="Times New Roman" w:hAnsi="Garamond" w:cs="Calibri"/>
                <w:b/>
                <w:bCs/>
                <w:lang w:val="en-US" w:eastAsia="nl-BE"/>
              </w:rPr>
              <w:t xml:space="preserve"> </w:t>
            </w:r>
          </w:p>
        </w:tc>
        <w:tc>
          <w:tcPr>
            <w:tcW w:w="1345" w:type="dxa"/>
            <w:tcBorders>
              <w:top w:val="single" w:sz="4" w:space="0" w:color="auto"/>
              <w:left w:val="nil"/>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w:t>
            </w:r>
          </w:p>
        </w:tc>
        <w:tc>
          <w:tcPr>
            <w:tcW w:w="373" w:type="dxa"/>
            <w:tcBorders>
              <w:top w:val="single" w:sz="4" w:space="0" w:color="auto"/>
              <w:left w:val="nil"/>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w:t>
            </w:r>
          </w:p>
        </w:tc>
        <w:tc>
          <w:tcPr>
            <w:tcW w:w="897" w:type="dxa"/>
            <w:tcBorders>
              <w:top w:val="single" w:sz="4" w:space="0" w:color="auto"/>
              <w:left w:val="nil"/>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w:t>
            </w:r>
          </w:p>
        </w:tc>
        <w:tc>
          <w:tcPr>
            <w:tcW w:w="1475" w:type="dxa"/>
            <w:tcBorders>
              <w:top w:val="single" w:sz="4" w:space="0" w:color="auto"/>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296" w:type="dxa"/>
            <w:tcBorders>
              <w:top w:val="single" w:sz="4" w:space="0" w:color="auto"/>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single" w:sz="4" w:space="0" w:color="auto"/>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62"/>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N </w:t>
            </w:r>
          </w:p>
        </w:tc>
        <w:tc>
          <w:tcPr>
            <w:tcW w:w="1345" w:type="dxa"/>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109</w:t>
            </w:r>
          </w:p>
        </w:tc>
        <w:tc>
          <w:tcPr>
            <w:tcW w:w="373" w:type="dxa"/>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w:t>
            </w:r>
          </w:p>
        </w:tc>
        <w:tc>
          <w:tcPr>
            <w:tcW w:w="897" w:type="dxa"/>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w:t>
            </w:r>
          </w:p>
        </w:tc>
        <w:tc>
          <w:tcPr>
            <w:tcW w:w="1475" w:type="dxa"/>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296" w:type="dxa"/>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109</w:t>
            </w:r>
          </w:p>
        </w:tc>
      </w:tr>
      <w:tr w:rsidR="00724834" w:rsidRPr="00724834" w:rsidTr="00F77C0F">
        <w:trPr>
          <w:trHeight w:val="175"/>
        </w:trPr>
        <w:tc>
          <w:tcPr>
            <w:tcW w:w="0" w:type="auto"/>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Wald Chi 2</w:t>
            </w:r>
          </w:p>
        </w:tc>
        <w:tc>
          <w:tcPr>
            <w:tcW w:w="1345" w:type="dxa"/>
            <w:tcBorders>
              <w:top w:val="nil"/>
              <w:left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13.33</w:t>
            </w:r>
          </w:p>
        </w:tc>
        <w:tc>
          <w:tcPr>
            <w:tcW w:w="373" w:type="dxa"/>
            <w:tcBorders>
              <w:top w:val="nil"/>
              <w:left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897" w:type="dxa"/>
            <w:tcBorders>
              <w:top w:val="nil"/>
              <w:left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1475" w:type="dxa"/>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296" w:type="dxa"/>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13.89</w:t>
            </w:r>
          </w:p>
        </w:tc>
      </w:tr>
      <w:tr w:rsidR="00724834" w:rsidRPr="00724834" w:rsidTr="00F77C0F">
        <w:trPr>
          <w:trHeight w:val="175"/>
        </w:trPr>
        <w:tc>
          <w:tcPr>
            <w:tcW w:w="0" w:type="auto"/>
            <w:tcBorders>
              <w:left w:val="nil"/>
              <w:bottom w:val="double" w:sz="6" w:space="0" w:color="auto"/>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lastRenderedPageBreak/>
              <w:t xml:space="preserve"> Pseudo R2 </w:t>
            </w:r>
          </w:p>
        </w:tc>
        <w:tc>
          <w:tcPr>
            <w:tcW w:w="1345" w:type="dxa"/>
            <w:tcBorders>
              <w:left w:val="nil"/>
              <w:bottom w:val="double" w:sz="6" w:space="0" w:color="auto"/>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0.13</w:t>
            </w:r>
          </w:p>
        </w:tc>
        <w:tc>
          <w:tcPr>
            <w:tcW w:w="373" w:type="dxa"/>
            <w:tcBorders>
              <w:left w:val="nil"/>
              <w:bottom w:val="double" w:sz="6" w:space="0" w:color="auto"/>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897" w:type="dxa"/>
            <w:tcBorders>
              <w:left w:val="nil"/>
              <w:bottom w:val="double" w:sz="6" w:space="0" w:color="auto"/>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1475" w:type="dxa"/>
            <w:tcBorders>
              <w:left w:val="nil"/>
              <w:bottom w:val="double" w:sz="6" w:space="0" w:color="auto"/>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296" w:type="dxa"/>
            <w:tcBorders>
              <w:left w:val="nil"/>
              <w:bottom w:val="double" w:sz="6" w:space="0" w:color="auto"/>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left w:val="nil"/>
              <w:bottom w:val="double" w:sz="6" w:space="0" w:color="auto"/>
              <w:right w:val="nil"/>
            </w:tcBorders>
            <w:shd w:val="clear" w:color="000000" w:fill="FFFFFF"/>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0.14</w:t>
            </w:r>
          </w:p>
        </w:tc>
      </w:tr>
      <w:tr w:rsidR="00724834" w:rsidRPr="00724834" w:rsidTr="00F77C0F">
        <w:trPr>
          <w:trHeight w:val="175"/>
        </w:trPr>
        <w:tc>
          <w:tcPr>
            <w:tcW w:w="0" w:type="auto"/>
            <w:gridSpan w:val="7"/>
            <w:tcBorders>
              <w:top w:val="double" w:sz="6" w:space="0" w:color="auto"/>
              <w:left w:val="nil"/>
              <w:bottom w:val="nil"/>
              <w:right w:val="nil"/>
            </w:tcBorders>
            <w:shd w:val="clear" w:color="000000" w:fill="FFFFFF"/>
            <w:noWrap/>
            <w:vAlign w:val="bottom"/>
            <w:hideMark/>
          </w:tcPr>
          <w:p w:rsidR="007F1075" w:rsidRPr="00724834" w:rsidRDefault="007F1075" w:rsidP="00F77C0F">
            <w:pPr>
              <w:spacing w:after="0" w:line="240" w:lineRule="auto"/>
              <w:jc w:val="center"/>
              <w:rPr>
                <w:rFonts w:ascii="Garamond" w:eastAsia="Times New Roman" w:hAnsi="Garamond" w:cs="Calibri"/>
                <w:sz w:val="20"/>
                <w:szCs w:val="20"/>
                <w:lang w:val="en-US" w:eastAsia="nl-BE"/>
              </w:rPr>
            </w:pPr>
            <w:r w:rsidRPr="00724834">
              <w:rPr>
                <w:rFonts w:ascii="Garamond" w:eastAsia="Times New Roman" w:hAnsi="Garamond" w:cs="Calibri"/>
                <w:sz w:val="20"/>
                <w:szCs w:val="20"/>
                <w:lang w:val="en-US" w:eastAsia="nl-BE"/>
              </w:rPr>
              <w:t xml:space="preserve"> Robust standard errors in parentheses with significance levels indicated by † P&lt;0.10, *P&lt;0.05 and **P&lt;0.01 </w:t>
            </w:r>
          </w:p>
        </w:tc>
      </w:tr>
    </w:tbl>
    <w:p w:rsidR="007F1075" w:rsidRPr="00724834" w:rsidRDefault="007F1075" w:rsidP="007F1075">
      <w:pPr>
        <w:rPr>
          <w:rFonts w:ascii="Garamond" w:hAnsi="Garamond"/>
          <w:b/>
          <w:bCs/>
          <w:lang w:val="en-US"/>
        </w:rPr>
      </w:pPr>
      <w:r w:rsidRPr="00724834">
        <w:rPr>
          <w:rFonts w:ascii="Garamond" w:hAnsi="Garamond"/>
          <w:b/>
          <w:bCs/>
          <w:lang w:val="en-US" w:eastAsia="nl-BE"/>
        </w:rPr>
        <w:t>Figure A5. Marginal effects of budget invested in lobbying for different levels of congruence</w:t>
      </w:r>
    </w:p>
    <w:p w:rsidR="007F1075" w:rsidRPr="00724834" w:rsidRDefault="007F1075" w:rsidP="007F1075">
      <w:pPr>
        <w:spacing w:after="0" w:line="240" w:lineRule="auto"/>
        <w:jc w:val="center"/>
        <w:rPr>
          <w:rFonts w:ascii="Garamond" w:eastAsia="Times New Roman" w:hAnsi="Garamond" w:cs="Calibri"/>
          <w:lang w:val="en-US" w:eastAsia="nl-BE"/>
        </w:rPr>
      </w:pPr>
      <w:r w:rsidRPr="00724834">
        <w:rPr>
          <w:rFonts w:ascii="Garamond" w:hAnsi="Garamond"/>
          <w:noProof/>
          <w:lang w:val="en-US"/>
        </w:rPr>
        <w:drawing>
          <wp:inline distT="0" distB="0" distL="0" distR="0" wp14:anchorId="23F7828A" wp14:editId="6957B130">
            <wp:extent cx="4273005" cy="3092450"/>
            <wp:effectExtent l="0" t="0" r="0" b="0"/>
            <wp:docPr id="13" name="Picture 1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line chart&#10;&#10;Description automatically generated"/>
                    <pic:cNvPicPr/>
                  </pic:nvPicPr>
                  <pic:blipFill>
                    <a:blip r:embed="rId15"/>
                    <a:stretch>
                      <a:fillRect/>
                    </a:stretch>
                  </pic:blipFill>
                  <pic:spPr>
                    <a:xfrm>
                      <a:off x="0" y="0"/>
                      <a:ext cx="4280921" cy="3098179"/>
                    </a:xfrm>
                    <a:prstGeom prst="rect">
                      <a:avLst/>
                    </a:prstGeom>
                  </pic:spPr>
                </pic:pic>
              </a:graphicData>
            </a:graphic>
          </wp:inline>
        </w:drawing>
      </w:r>
    </w:p>
    <w:p w:rsidR="007F1075" w:rsidRPr="00724834" w:rsidRDefault="007F1075" w:rsidP="007F1075">
      <w:pPr>
        <w:spacing w:after="0" w:line="240" w:lineRule="auto"/>
        <w:jc w:val="center"/>
        <w:rPr>
          <w:rFonts w:ascii="Garamond" w:eastAsia="Times New Roman" w:hAnsi="Garamond" w:cs="Calibri"/>
          <w:lang w:val="en-US" w:eastAsia="nl-BE"/>
        </w:rPr>
      </w:pPr>
    </w:p>
    <w:p w:rsidR="007F1075" w:rsidRPr="00724834" w:rsidRDefault="007F1075" w:rsidP="007F1075">
      <w:pPr>
        <w:spacing w:after="0" w:line="240" w:lineRule="auto"/>
        <w:jc w:val="center"/>
        <w:rPr>
          <w:rFonts w:ascii="Garamond" w:eastAsia="Times New Roman" w:hAnsi="Garamond" w:cs="Calibri"/>
          <w:lang w:val="en-US" w:eastAsia="nl-BE"/>
        </w:rPr>
      </w:pPr>
    </w:p>
    <w:p w:rsidR="007F1075" w:rsidRPr="00724834" w:rsidRDefault="007F1075" w:rsidP="007F1075">
      <w:pPr>
        <w:spacing w:after="0" w:line="240" w:lineRule="auto"/>
        <w:jc w:val="center"/>
        <w:rPr>
          <w:rFonts w:ascii="Garamond" w:eastAsia="Times New Roman" w:hAnsi="Garamond" w:cs="Calibri"/>
          <w:lang w:val="en-US" w:eastAsia="nl-BE"/>
        </w:rPr>
      </w:pPr>
    </w:p>
    <w:p w:rsidR="007F1075" w:rsidRPr="00724834" w:rsidRDefault="007F1075" w:rsidP="007F1075">
      <w:pPr>
        <w:spacing w:after="0" w:line="240" w:lineRule="auto"/>
        <w:rPr>
          <w:rFonts w:ascii="Garamond" w:eastAsiaTheme="majorEastAsia" w:hAnsi="Garamond" w:cstheme="majorBidi"/>
          <w:b/>
          <w:sz w:val="24"/>
          <w:szCs w:val="32"/>
          <w:lang w:val="en-US"/>
        </w:rPr>
      </w:pPr>
      <w:r w:rsidRPr="00724834">
        <w:br w:type="page"/>
      </w:r>
    </w:p>
    <w:p w:rsidR="007F1075" w:rsidRPr="00724834" w:rsidRDefault="007F1075" w:rsidP="007F1075">
      <w:pPr>
        <w:pStyle w:val="Heading1"/>
      </w:pPr>
      <w:bookmarkStart w:id="8" w:name="_Toc132807391"/>
      <w:r w:rsidRPr="00724834">
        <w:lastRenderedPageBreak/>
        <w:t>Robustness check with staff</w:t>
      </w:r>
      <w:bookmarkEnd w:id="8"/>
    </w:p>
    <w:p w:rsidR="007F1075" w:rsidRPr="00724834" w:rsidRDefault="007F1075" w:rsidP="007F1075">
      <w:pPr>
        <w:spacing w:before="240" w:line="480" w:lineRule="auto"/>
        <w:jc w:val="both"/>
        <w:rPr>
          <w:rFonts w:ascii="Garamond" w:hAnsi="Garamond"/>
          <w:b/>
          <w:lang w:val="en-US"/>
        </w:rPr>
      </w:pPr>
      <w:r w:rsidRPr="00724834">
        <w:rPr>
          <w:rFonts w:ascii="Garamond" w:hAnsi="Garamond"/>
          <w:lang w:val="en-US"/>
        </w:rPr>
        <w:t xml:space="preserve">As a second robustness check we present models using staff (FTEs) active in the Brussels office rather than the financial resources invested in lobbying. These results corroborate the findings presented in the paper, though the interaction effect is less pronounced and only holds for congruence levels of 40% and 60%. </w:t>
      </w:r>
    </w:p>
    <w:p w:rsidR="007F1075" w:rsidRPr="00724834" w:rsidRDefault="007F1075" w:rsidP="007F1075">
      <w:pPr>
        <w:jc w:val="center"/>
        <w:rPr>
          <w:rFonts w:ascii="Garamond" w:hAnsi="Garamond"/>
          <w:b/>
          <w:lang w:val="en-US"/>
        </w:rPr>
      </w:pPr>
      <w:r w:rsidRPr="00724834">
        <w:rPr>
          <w:rFonts w:ascii="Garamond" w:hAnsi="Garamond"/>
          <w:b/>
          <w:lang w:val="en-US"/>
        </w:rPr>
        <w:t>Table A5. Binary logistic regression of preference attainment with staff as an alternative measure for financial resources</w:t>
      </w:r>
    </w:p>
    <w:tbl>
      <w:tblPr>
        <w:tblW w:w="0" w:type="auto"/>
        <w:tblCellMar>
          <w:left w:w="70" w:type="dxa"/>
          <w:right w:w="70" w:type="dxa"/>
        </w:tblCellMar>
        <w:tblLook w:val="04A0" w:firstRow="1" w:lastRow="0" w:firstColumn="1" w:lastColumn="0" w:noHBand="0" w:noVBand="1"/>
      </w:tblPr>
      <w:tblGrid>
        <w:gridCol w:w="4724"/>
        <w:gridCol w:w="741"/>
        <w:gridCol w:w="404"/>
        <w:gridCol w:w="771"/>
        <w:gridCol w:w="741"/>
        <w:gridCol w:w="404"/>
        <w:gridCol w:w="771"/>
      </w:tblGrid>
      <w:tr w:rsidR="00724834" w:rsidRPr="00724834" w:rsidTr="00F77C0F">
        <w:trPr>
          <w:trHeight w:val="217"/>
        </w:trPr>
        <w:tc>
          <w:tcPr>
            <w:tcW w:w="0" w:type="auto"/>
            <w:tcBorders>
              <w:top w:val="single" w:sz="4" w:space="0" w:color="FFFFFF" w:themeColor="background1"/>
              <w:left w:val="nil"/>
              <w:bottom w:val="single" w:sz="4" w:space="0" w:color="auto"/>
              <w:right w:val="nil"/>
            </w:tcBorders>
            <w:shd w:val="clear" w:color="000000" w:fill="FFFFFF"/>
            <w:noWrap/>
          </w:tcPr>
          <w:p w:rsidR="007F1075" w:rsidRPr="00724834" w:rsidDel="0089728F" w:rsidRDefault="007F1075" w:rsidP="00F77C0F">
            <w:pPr>
              <w:spacing w:after="0" w:line="240" w:lineRule="auto"/>
              <w:rPr>
                <w:rFonts w:ascii="Garamond" w:eastAsia="Times New Roman" w:hAnsi="Garamond" w:cs="Calibri"/>
                <w:i/>
                <w:iCs/>
                <w:lang w:val="en-US"/>
              </w:rPr>
            </w:pPr>
          </w:p>
        </w:tc>
        <w:tc>
          <w:tcPr>
            <w:tcW w:w="0" w:type="auto"/>
            <w:gridSpan w:val="3"/>
            <w:tcBorders>
              <w:top w:val="single" w:sz="4" w:space="0" w:color="FFFFFF" w:themeColor="background1"/>
              <w:left w:val="nil"/>
              <w:bottom w:val="single" w:sz="4" w:space="0" w:color="auto"/>
              <w:right w:val="nil"/>
            </w:tcBorders>
            <w:shd w:val="clear" w:color="000000" w:fill="FFFFFF"/>
            <w:noWrap/>
            <w:vAlign w:val="bottom"/>
          </w:tcPr>
          <w:p w:rsidR="007F1075" w:rsidRPr="00724834" w:rsidRDefault="007F1075" w:rsidP="00F77C0F">
            <w:pPr>
              <w:spacing w:after="0" w:line="240" w:lineRule="auto"/>
              <w:jc w:val="center"/>
              <w:rPr>
                <w:rFonts w:ascii="Garamond" w:eastAsia="Times New Roman" w:hAnsi="Garamond" w:cs="Calibri"/>
                <w:i/>
                <w:iCs/>
                <w:lang w:val="en-US" w:eastAsia="nl-BE"/>
              </w:rPr>
            </w:pPr>
            <w:r w:rsidRPr="00724834">
              <w:rPr>
                <w:rFonts w:ascii="Garamond" w:eastAsia="Times New Roman" w:hAnsi="Garamond" w:cs="Calibri"/>
                <w:i/>
                <w:iCs/>
                <w:lang w:val="en-US" w:eastAsia="nl-BE"/>
              </w:rPr>
              <w:t>Model A3</w:t>
            </w:r>
          </w:p>
        </w:tc>
        <w:tc>
          <w:tcPr>
            <w:tcW w:w="0" w:type="auto"/>
            <w:gridSpan w:val="3"/>
            <w:tcBorders>
              <w:top w:val="single" w:sz="4" w:space="0" w:color="FFFFFF" w:themeColor="background1"/>
              <w:left w:val="nil"/>
              <w:bottom w:val="single" w:sz="4" w:space="0" w:color="auto"/>
              <w:right w:val="nil"/>
            </w:tcBorders>
            <w:shd w:val="clear" w:color="000000" w:fill="FFFFFF"/>
            <w:vAlign w:val="bottom"/>
          </w:tcPr>
          <w:p w:rsidR="007F1075" w:rsidRPr="00724834" w:rsidRDefault="007F1075" w:rsidP="00F77C0F">
            <w:pPr>
              <w:spacing w:after="0" w:line="240" w:lineRule="auto"/>
              <w:jc w:val="center"/>
              <w:rPr>
                <w:rFonts w:ascii="Garamond" w:eastAsia="Times New Roman" w:hAnsi="Garamond" w:cs="Calibri"/>
                <w:i/>
                <w:iCs/>
                <w:lang w:val="en-US" w:eastAsia="nl-BE"/>
              </w:rPr>
            </w:pPr>
            <w:r w:rsidRPr="00724834">
              <w:rPr>
                <w:rFonts w:ascii="Garamond" w:eastAsia="Times New Roman" w:hAnsi="Garamond" w:cs="Calibri"/>
                <w:i/>
                <w:iCs/>
                <w:lang w:val="en-US" w:eastAsia="nl-BE"/>
              </w:rPr>
              <w:t>Model A4</w:t>
            </w:r>
          </w:p>
        </w:tc>
      </w:tr>
      <w:tr w:rsidR="00724834" w:rsidRPr="00724834" w:rsidTr="00F77C0F">
        <w:trPr>
          <w:trHeight w:val="217"/>
        </w:trPr>
        <w:tc>
          <w:tcPr>
            <w:tcW w:w="0" w:type="auto"/>
            <w:tcBorders>
              <w:top w:val="double" w:sz="6" w:space="0" w:color="auto"/>
              <w:left w:val="nil"/>
              <w:bottom w:val="single" w:sz="4" w:space="0" w:color="auto"/>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i/>
                <w:iCs/>
                <w:lang w:val="en-US" w:eastAsia="nl-BE"/>
              </w:rPr>
            </w:pPr>
            <w:r w:rsidRPr="00724834" w:rsidDel="0089728F">
              <w:rPr>
                <w:rFonts w:ascii="Garamond" w:eastAsia="Times New Roman" w:hAnsi="Garamond" w:cs="Calibri"/>
                <w:i/>
                <w:iCs/>
                <w:lang w:val="en-US"/>
              </w:rPr>
              <w:t xml:space="preserve"> </w:t>
            </w:r>
            <w:r w:rsidRPr="00724834">
              <w:rPr>
                <w:rFonts w:ascii="Garamond" w:eastAsia="Times New Roman" w:hAnsi="Garamond" w:cs="Calibri"/>
                <w:i/>
                <w:iCs/>
                <w:lang w:val="en-US" w:eastAsia="nl-BE"/>
              </w:rPr>
              <w:t xml:space="preserve">Main effects </w:t>
            </w:r>
          </w:p>
        </w:tc>
        <w:tc>
          <w:tcPr>
            <w:tcW w:w="0" w:type="auto"/>
            <w:tcBorders>
              <w:top w:val="double" w:sz="6" w:space="0" w:color="auto"/>
              <w:left w:val="nil"/>
              <w:bottom w:val="single" w:sz="4" w:space="0" w:color="auto"/>
              <w:right w:val="nil"/>
            </w:tcBorders>
            <w:shd w:val="clear" w:color="000000" w:fill="FFFFFF"/>
            <w:noWrap/>
            <w:vAlign w:val="bottom"/>
            <w:hideMark/>
          </w:tcPr>
          <w:p w:rsidR="007F1075" w:rsidRPr="00724834" w:rsidRDefault="007F1075" w:rsidP="00F77C0F">
            <w:pPr>
              <w:spacing w:after="0" w:line="240" w:lineRule="auto"/>
              <w:jc w:val="right"/>
              <w:rPr>
                <w:rFonts w:ascii="Calibri" w:eastAsia="Times New Roman" w:hAnsi="Calibri" w:cs="Calibri"/>
                <w:i/>
                <w:iCs/>
                <w:lang w:val="en-US" w:eastAsia="nl-BE"/>
              </w:rPr>
            </w:pPr>
            <w:r w:rsidRPr="00724834">
              <w:rPr>
                <w:rFonts w:ascii="Calibri" w:eastAsia="Times New Roman" w:hAnsi="Calibri" w:cs="Calibri"/>
                <w:i/>
                <w:iCs/>
                <w:lang w:val="en-US" w:eastAsia="nl-BE"/>
              </w:rPr>
              <w:t>β</w:t>
            </w:r>
          </w:p>
        </w:tc>
        <w:tc>
          <w:tcPr>
            <w:tcW w:w="0" w:type="auto"/>
            <w:tcBorders>
              <w:top w:val="double" w:sz="6" w:space="0" w:color="auto"/>
              <w:left w:val="nil"/>
              <w:bottom w:val="single" w:sz="4" w:space="0" w:color="auto"/>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i/>
                <w:iCs/>
                <w:lang w:val="en-US" w:eastAsia="nl-BE"/>
              </w:rPr>
            </w:pPr>
            <w:r w:rsidRPr="00724834">
              <w:rPr>
                <w:rFonts w:ascii="Garamond" w:eastAsia="Times New Roman" w:hAnsi="Garamond" w:cs="Calibri"/>
                <w:i/>
                <w:iCs/>
                <w:lang w:val="en-US" w:eastAsia="nl-BE"/>
              </w:rPr>
              <w:t> </w:t>
            </w:r>
          </w:p>
        </w:tc>
        <w:tc>
          <w:tcPr>
            <w:tcW w:w="0" w:type="auto"/>
            <w:tcBorders>
              <w:top w:val="double" w:sz="6" w:space="0" w:color="auto"/>
              <w:left w:val="nil"/>
              <w:bottom w:val="single" w:sz="4" w:space="0" w:color="auto"/>
              <w:right w:val="nil"/>
            </w:tcBorders>
            <w:shd w:val="clear" w:color="000000" w:fill="FFFFFF"/>
            <w:noWrap/>
            <w:vAlign w:val="center"/>
            <w:hideMark/>
          </w:tcPr>
          <w:p w:rsidR="007F1075" w:rsidRPr="00724834" w:rsidRDefault="007F1075" w:rsidP="00F77C0F">
            <w:pPr>
              <w:spacing w:after="0" w:line="240" w:lineRule="auto"/>
              <w:rPr>
                <w:rFonts w:ascii="Garamond" w:eastAsia="Times New Roman" w:hAnsi="Garamond" w:cs="Calibri"/>
                <w:i/>
                <w:iCs/>
                <w:lang w:val="en-US" w:eastAsia="nl-BE"/>
              </w:rPr>
            </w:pPr>
            <w:r w:rsidRPr="00724834">
              <w:rPr>
                <w:rFonts w:ascii="Garamond" w:eastAsia="Times New Roman" w:hAnsi="Garamond" w:cs="Calibri"/>
                <w:i/>
                <w:iCs/>
                <w:lang w:val="en-US" w:eastAsia="nl-BE"/>
              </w:rPr>
              <w:t>S.E.</w:t>
            </w:r>
          </w:p>
        </w:tc>
        <w:tc>
          <w:tcPr>
            <w:tcW w:w="0" w:type="auto"/>
            <w:tcBorders>
              <w:top w:val="double" w:sz="6" w:space="0" w:color="auto"/>
              <w:left w:val="nil"/>
              <w:bottom w:val="single" w:sz="4" w:space="0" w:color="auto"/>
              <w:right w:val="nil"/>
            </w:tcBorders>
            <w:shd w:val="clear" w:color="000000" w:fill="FFFFFF"/>
            <w:vAlign w:val="bottom"/>
          </w:tcPr>
          <w:p w:rsidR="007F1075" w:rsidRPr="00724834" w:rsidRDefault="007F1075" w:rsidP="00F77C0F">
            <w:pPr>
              <w:spacing w:after="0" w:line="240" w:lineRule="auto"/>
              <w:jc w:val="right"/>
              <w:rPr>
                <w:rFonts w:ascii="Garamond" w:eastAsia="Times New Roman" w:hAnsi="Garamond" w:cs="Calibri"/>
                <w:i/>
                <w:iCs/>
                <w:lang w:val="en-US" w:eastAsia="nl-BE"/>
              </w:rPr>
            </w:pPr>
            <w:r w:rsidRPr="00724834">
              <w:rPr>
                <w:rFonts w:ascii="Calibri" w:eastAsia="Times New Roman" w:hAnsi="Calibri" w:cs="Calibri"/>
                <w:i/>
                <w:iCs/>
                <w:lang w:val="en-US" w:eastAsia="nl-BE"/>
              </w:rPr>
              <w:t xml:space="preserve"> β </w:t>
            </w:r>
          </w:p>
        </w:tc>
        <w:tc>
          <w:tcPr>
            <w:tcW w:w="0" w:type="auto"/>
            <w:tcBorders>
              <w:top w:val="double" w:sz="6" w:space="0" w:color="auto"/>
              <w:left w:val="nil"/>
              <w:bottom w:val="single" w:sz="4" w:space="0" w:color="auto"/>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i/>
                <w:iCs/>
                <w:lang w:val="en-US" w:eastAsia="nl-BE"/>
              </w:rPr>
            </w:pPr>
            <w:r w:rsidRPr="00724834">
              <w:rPr>
                <w:rFonts w:ascii="Garamond" w:eastAsia="Times New Roman" w:hAnsi="Garamond" w:cs="Calibri"/>
                <w:i/>
                <w:iCs/>
                <w:lang w:val="en-US" w:eastAsia="nl-BE"/>
              </w:rPr>
              <w:t> </w:t>
            </w:r>
          </w:p>
        </w:tc>
        <w:tc>
          <w:tcPr>
            <w:tcW w:w="0" w:type="auto"/>
            <w:tcBorders>
              <w:top w:val="double" w:sz="6" w:space="0" w:color="auto"/>
              <w:left w:val="nil"/>
              <w:bottom w:val="single" w:sz="4" w:space="0" w:color="auto"/>
              <w:right w:val="nil"/>
            </w:tcBorders>
            <w:shd w:val="clear" w:color="000000" w:fill="FFFFFF"/>
          </w:tcPr>
          <w:p w:rsidR="007F1075" w:rsidRPr="00724834" w:rsidRDefault="007F1075" w:rsidP="00F77C0F">
            <w:pPr>
              <w:spacing w:after="0" w:line="240" w:lineRule="auto"/>
              <w:rPr>
                <w:rFonts w:ascii="Garamond" w:eastAsia="Times New Roman" w:hAnsi="Garamond" w:cs="Calibri"/>
                <w:i/>
                <w:iCs/>
                <w:lang w:val="en-US" w:eastAsia="nl-BE"/>
              </w:rPr>
            </w:pPr>
            <w:r w:rsidRPr="00724834">
              <w:rPr>
                <w:rFonts w:ascii="Garamond" w:eastAsia="Times New Roman" w:hAnsi="Garamond" w:cs="Calibri"/>
                <w:i/>
                <w:iCs/>
                <w:lang w:val="en-US" w:eastAsia="nl-BE"/>
              </w:rPr>
              <w:t>S.E.</w:t>
            </w: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Intercept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-6.12</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(2.70)</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-7.50</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sz w:val="20"/>
                <w:szCs w:val="20"/>
                <w:lang w:val="en-US" w:eastAsia="nl-BE"/>
              </w:rPr>
              <w:t>†</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(4.22)</w:t>
            </w: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Staff resources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08"/>
        </w:trPr>
        <w:tc>
          <w:tcPr>
            <w:tcW w:w="0" w:type="auto"/>
            <w:tcBorders>
              <w:top w:val="nil"/>
              <w:left w:val="nil"/>
              <w:bottom w:val="nil"/>
              <w:right w:val="nil"/>
            </w:tcBorders>
            <w:shd w:val="clear" w:color="000000" w:fill="FFFFFF"/>
            <w:noWrap/>
          </w:tcPr>
          <w:p w:rsidR="007F1075" w:rsidRPr="00724834" w:rsidRDefault="007F1075" w:rsidP="00F77C0F">
            <w:pPr>
              <w:pStyle w:val="ListParagraph"/>
              <w:numPr>
                <w:ilvl w:val="0"/>
                <w:numId w:val="23"/>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High (more than 1 million)</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3.50</w:t>
            </w: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sz w:val="20"/>
                <w:szCs w:val="20"/>
                <w:lang w:val="en-US" w:eastAsia="nl-BE"/>
              </w:rPr>
              <w:t>†</w:t>
            </w: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(1.95)</w:t>
            </w:r>
          </w:p>
        </w:tc>
        <w:tc>
          <w:tcPr>
            <w:tcW w:w="0" w:type="auto"/>
            <w:tcBorders>
              <w:top w:val="nil"/>
              <w:left w:val="nil"/>
              <w:bottom w:val="nil"/>
              <w:right w:val="nil"/>
            </w:tcBorders>
            <w:shd w:val="clear" w:color="000000" w:fill="FFFFFF"/>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3.69</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(5.37)</w:t>
            </w:r>
          </w:p>
        </w:tc>
      </w:tr>
      <w:tr w:rsidR="00724834" w:rsidRPr="00724834" w:rsidTr="00F77C0F">
        <w:trPr>
          <w:trHeight w:val="208"/>
        </w:trPr>
        <w:tc>
          <w:tcPr>
            <w:tcW w:w="0" w:type="auto"/>
            <w:tcBorders>
              <w:top w:val="nil"/>
              <w:left w:val="nil"/>
              <w:bottom w:val="nil"/>
              <w:right w:val="nil"/>
            </w:tcBorders>
            <w:shd w:val="clear" w:color="000000" w:fill="FFFFFF"/>
            <w:noWrap/>
          </w:tcPr>
          <w:p w:rsidR="007F1075" w:rsidRPr="00724834" w:rsidRDefault="007F1075" w:rsidP="00F77C0F">
            <w:pPr>
              <w:pStyle w:val="ListParagraph"/>
              <w:numPr>
                <w:ilvl w:val="0"/>
                <w:numId w:val="23"/>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Middle (100,000 – 1 million)</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3.31</w:t>
            </w: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(1.56)</w:t>
            </w:r>
          </w:p>
        </w:tc>
        <w:tc>
          <w:tcPr>
            <w:tcW w:w="0" w:type="auto"/>
            <w:tcBorders>
              <w:top w:val="nil"/>
              <w:left w:val="nil"/>
              <w:bottom w:val="nil"/>
              <w:right w:val="nil"/>
            </w:tcBorders>
            <w:shd w:val="clear" w:color="000000" w:fill="FFFFFF"/>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6.24</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(5.89)</w:t>
            </w:r>
          </w:p>
        </w:tc>
      </w:tr>
      <w:tr w:rsidR="00724834" w:rsidRPr="00724834" w:rsidTr="00F77C0F">
        <w:trPr>
          <w:trHeight w:val="208"/>
        </w:trPr>
        <w:tc>
          <w:tcPr>
            <w:tcW w:w="0" w:type="auto"/>
            <w:tcBorders>
              <w:top w:val="nil"/>
              <w:left w:val="nil"/>
              <w:bottom w:val="nil"/>
              <w:right w:val="nil"/>
            </w:tcBorders>
            <w:shd w:val="clear" w:color="000000" w:fill="FFFFFF"/>
            <w:noWrap/>
          </w:tcPr>
          <w:p w:rsidR="007F1075" w:rsidRPr="00724834" w:rsidRDefault="007F1075" w:rsidP="00F77C0F">
            <w:pPr>
              <w:pStyle w:val="ListParagraph"/>
              <w:numPr>
                <w:ilvl w:val="0"/>
                <w:numId w:val="23"/>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Low (up to 100,000) (ref.)</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vAlign w:val="center"/>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Public congruence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0.35</w:t>
            </w: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(0.11)</w:t>
            </w:r>
          </w:p>
        </w:tc>
        <w:tc>
          <w:tcPr>
            <w:tcW w:w="0" w:type="auto"/>
            <w:tcBorders>
              <w:top w:val="nil"/>
              <w:left w:val="nil"/>
              <w:bottom w:val="nil"/>
              <w:right w:val="nil"/>
            </w:tcBorders>
            <w:shd w:val="clear" w:color="000000" w:fill="FFFFFF"/>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0.39</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nil"/>
              <w:right w:val="nil"/>
            </w:tcBorders>
            <w:shd w:val="clear" w:color="000000" w:fill="FFFFFF"/>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(0.16)</w:t>
            </w: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Position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vAlign w:val="center"/>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pStyle w:val="ListParagraph"/>
              <w:numPr>
                <w:ilvl w:val="0"/>
                <w:numId w:val="18"/>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Support policy change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-7.59</w:t>
            </w: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sz w:val="20"/>
                <w:szCs w:val="20"/>
                <w:lang w:val="en-US" w:eastAsia="nl-BE"/>
              </w:rPr>
              <w:t>†</w:t>
            </w: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(4.16)</w:t>
            </w:r>
          </w:p>
        </w:tc>
        <w:tc>
          <w:tcPr>
            <w:tcW w:w="0" w:type="auto"/>
            <w:tcBorders>
              <w:top w:val="nil"/>
              <w:left w:val="nil"/>
              <w:bottom w:val="nil"/>
              <w:right w:val="nil"/>
            </w:tcBorders>
            <w:shd w:val="clear" w:color="000000" w:fill="FFFFFF"/>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-8.40</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nil"/>
              <w:right w:val="nil"/>
            </w:tcBorders>
            <w:shd w:val="clear" w:color="000000" w:fill="FFFFFF"/>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(4.55)</w:t>
            </w: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pStyle w:val="ListParagraph"/>
              <w:numPr>
                <w:ilvl w:val="0"/>
                <w:numId w:val="18"/>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Oppose policy change (ref.)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vAlign w:val="center"/>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Media access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-2.25</w:t>
            </w: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(1.29)</w:t>
            </w:r>
          </w:p>
        </w:tc>
        <w:tc>
          <w:tcPr>
            <w:tcW w:w="0" w:type="auto"/>
            <w:tcBorders>
              <w:top w:val="nil"/>
              <w:left w:val="nil"/>
              <w:bottom w:val="nil"/>
              <w:right w:val="nil"/>
            </w:tcBorders>
            <w:shd w:val="clear" w:color="000000" w:fill="FFFFFF"/>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-2.25</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nil"/>
              <w:right w:val="nil"/>
            </w:tcBorders>
            <w:shd w:val="clear" w:color="000000" w:fill="FFFFFF"/>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(1.29)</w:t>
            </w: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Media salience (logged)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0.08</w:t>
            </w: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sz w:val="20"/>
                <w:szCs w:val="20"/>
                <w:lang w:val="en-US" w:eastAsia="nl-BE"/>
              </w:rPr>
              <w:t>†</w:t>
            </w: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(1.57)</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-0.68</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1.63</w:t>
            </w: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Level of mobilization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pStyle w:val="ListParagraph"/>
              <w:numPr>
                <w:ilvl w:val="0"/>
                <w:numId w:val="17"/>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International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0.01</w:t>
            </w:r>
          </w:p>
        </w:tc>
        <w:tc>
          <w:tcPr>
            <w:tcW w:w="0" w:type="auto"/>
            <w:tcBorders>
              <w:top w:val="nil"/>
              <w:left w:val="nil"/>
              <w:bottom w:val="nil"/>
              <w:right w:val="nil"/>
            </w:tcBorders>
            <w:shd w:val="clear" w:color="auto" w:fill="auto"/>
            <w:noWrap/>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(1.75)</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-0.39</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(1.93)</w:t>
            </w: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pStyle w:val="ListParagraph"/>
              <w:numPr>
                <w:ilvl w:val="0"/>
                <w:numId w:val="17"/>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EU-level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0.08</w:t>
            </w: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sz w:val="20"/>
                <w:szCs w:val="20"/>
                <w:lang w:val="en-US" w:eastAsia="nl-BE"/>
              </w:rPr>
              <w:t>†</w:t>
            </w: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(1.67)</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-0.20</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(1.83)</w:t>
            </w: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pStyle w:val="ListParagraph"/>
              <w:numPr>
                <w:ilvl w:val="0"/>
                <w:numId w:val="17"/>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National (ref.)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Group type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pStyle w:val="ListParagraph"/>
              <w:numPr>
                <w:ilvl w:val="0"/>
                <w:numId w:val="16"/>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Business encompassing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-4.74</w:t>
            </w: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(2.19)</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-4.95</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sz w:val="20"/>
                <w:szCs w:val="20"/>
                <w:lang w:val="en-US" w:eastAsia="nl-BE"/>
              </w:rPr>
              <w:t>†</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(2.89)</w:t>
            </w: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pStyle w:val="ListParagraph"/>
              <w:numPr>
                <w:ilvl w:val="0"/>
                <w:numId w:val="16"/>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Business specific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-1.33</w:t>
            </w: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(1.77)</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-1.71</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(1.99)</w:t>
            </w: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pStyle w:val="ListParagraph"/>
              <w:numPr>
                <w:ilvl w:val="0"/>
                <w:numId w:val="16"/>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Firm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-2.60</w:t>
            </w: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(2.19)</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-3.03</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(2.08)</w:t>
            </w:r>
          </w:p>
        </w:tc>
      </w:tr>
      <w:tr w:rsidR="00724834" w:rsidRPr="00724834" w:rsidTr="00F77C0F">
        <w:trPr>
          <w:trHeight w:val="208"/>
        </w:trPr>
        <w:tc>
          <w:tcPr>
            <w:tcW w:w="0" w:type="auto"/>
            <w:tcBorders>
              <w:top w:val="nil"/>
              <w:left w:val="nil"/>
              <w:right w:val="nil"/>
            </w:tcBorders>
            <w:shd w:val="clear" w:color="000000" w:fill="FFFFFF"/>
            <w:noWrap/>
            <w:hideMark/>
          </w:tcPr>
          <w:p w:rsidR="007F1075" w:rsidRPr="00724834" w:rsidRDefault="007F1075" w:rsidP="00F77C0F">
            <w:pPr>
              <w:pStyle w:val="ListParagraph"/>
              <w:numPr>
                <w:ilvl w:val="0"/>
                <w:numId w:val="16"/>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Civil society (ref.) </w:t>
            </w:r>
          </w:p>
        </w:tc>
        <w:tc>
          <w:tcPr>
            <w:tcW w:w="0" w:type="auto"/>
            <w:tcBorders>
              <w:top w:val="nil"/>
              <w:left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08"/>
        </w:trPr>
        <w:tc>
          <w:tcPr>
            <w:tcW w:w="0" w:type="auto"/>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Mobilization density (logged)</w:t>
            </w:r>
          </w:p>
        </w:tc>
        <w:tc>
          <w:tcPr>
            <w:tcW w:w="0" w:type="auto"/>
            <w:tcBorders>
              <w:top w:val="nil"/>
              <w:left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-1.02</w:t>
            </w:r>
          </w:p>
        </w:tc>
        <w:tc>
          <w:tcPr>
            <w:tcW w:w="0" w:type="auto"/>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(0.80)</w:t>
            </w:r>
          </w:p>
        </w:tc>
        <w:tc>
          <w:tcPr>
            <w:tcW w:w="0" w:type="auto"/>
            <w:tcBorders>
              <w:top w:val="nil"/>
              <w:left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-0.66</w:t>
            </w: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(0.82)</w:t>
            </w:r>
          </w:p>
        </w:tc>
      </w:tr>
      <w:tr w:rsidR="00724834" w:rsidRPr="00724834" w:rsidTr="00F77C0F">
        <w:trPr>
          <w:trHeight w:val="208"/>
        </w:trPr>
        <w:tc>
          <w:tcPr>
            <w:tcW w:w="0" w:type="auto"/>
            <w:tcBorders>
              <w:top w:val="nil"/>
              <w:left w:val="nil"/>
              <w:bottom w:val="single" w:sz="4" w:space="0" w:color="auto"/>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Coalition </w:t>
            </w:r>
          </w:p>
        </w:tc>
        <w:tc>
          <w:tcPr>
            <w:tcW w:w="0" w:type="auto"/>
            <w:tcBorders>
              <w:top w:val="nil"/>
              <w:left w:val="nil"/>
              <w:bottom w:val="single" w:sz="4" w:space="0" w:color="auto"/>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-4.14</w:t>
            </w:r>
          </w:p>
        </w:tc>
        <w:tc>
          <w:tcPr>
            <w:tcW w:w="0" w:type="auto"/>
            <w:tcBorders>
              <w:top w:val="nil"/>
              <w:left w:val="nil"/>
              <w:bottom w:val="single" w:sz="4" w:space="0" w:color="auto"/>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single" w:sz="4" w:space="0" w:color="auto"/>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(1.01)</w:t>
            </w:r>
          </w:p>
        </w:tc>
        <w:tc>
          <w:tcPr>
            <w:tcW w:w="0" w:type="auto"/>
            <w:tcBorders>
              <w:top w:val="nil"/>
              <w:left w:val="nil"/>
              <w:bottom w:val="single" w:sz="4" w:space="0" w:color="auto"/>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-4.30</w:t>
            </w:r>
          </w:p>
        </w:tc>
        <w:tc>
          <w:tcPr>
            <w:tcW w:w="0" w:type="auto"/>
            <w:tcBorders>
              <w:top w:val="nil"/>
              <w:left w:val="nil"/>
              <w:bottom w:val="single" w:sz="4" w:space="0" w:color="auto"/>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single" w:sz="4" w:space="0" w:color="auto"/>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(1.24)</w:t>
            </w:r>
          </w:p>
        </w:tc>
      </w:tr>
      <w:tr w:rsidR="00724834" w:rsidRPr="00724834" w:rsidTr="00F77C0F">
        <w:trPr>
          <w:trHeight w:val="208"/>
        </w:trPr>
        <w:tc>
          <w:tcPr>
            <w:tcW w:w="0" w:type="auto"/>
            <w:tcBorders>
              <w:top w:val="single" w:sz="4" w:space="0" w:color="auto"/>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i/>
                <w:iCs/>
                <w:lang w:val="en-US" w:eastAsia="nl-BE"/>
              </w:rPr>
            </w:pPr>
            <w:r w:rsidRPr="00724834">
              <w:rPr>
                <w:rFonts w:ascii="Garamond" w:eastAsia="Times New Roman" w:hAnsi="Garamond" w:cs="Calibri"/>
                <w:i/>
                <w:iCs/>
                <w:lang w:val="en-US" w:eastAsia="nl-BE"/>
              </w:rPr>
              <w:t>Interaction effects</w:t>
            </w:r>
          </w:p>
        </w:tc>
        <w:tc>
          <w:tcPr>
            <w:tcW w:w="0" w:type="auto"/>
            <w:tcBorders>
              <w:top w:val="single" w:sz="4" w:space="0" w:color="auto"/>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single" w:sz="4" w:space="0" w:color="auto"/>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single" w:sz="4" w:space="0" w:color="auto"/>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single" w:sz="4" w:space="0" w:color="auto"/>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single" w:sz="4" w:space="0" w:color="auto"/>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single" w:sz="4" w:space="0" w:color="auto"/>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08"/>
        </w:trPr>
        <w:tc>
          <w:tcPr>
            <w:tcW w:w="0" w:type="auto"/>
            <w:tcBorders>
              <w:top w:val="nil"/>
              <w:left w:val="nil"/>
              <w:right w:val="nil"/>
            </w:tcBorders>
            <w:shd w:val="clear" w:color="000000" w:fill="FFFFFF"/>
            <w:noWrap/>
          </w:tcPr>
          <w:p w:rsidR="007F1075" w:rsidRPr="00724834" w:rsidRDefault="007F1075" w:rsidP="00F77C0F">
            <w:pPr>
              <w:pStyle w:val="ListParagraph"/>
              <w:numPr>
                <w:ilvl w:val="0"/>
                <w:numId w:val="16"/>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High staff resources x congruence</w:t>
            </w:r>
          </w:p>
        </w:tc>
        <w:tc>
          <w:tcPr>
            <w:tcW w:w="0" w:type="auto"/>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noWrap/>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0.00</w:t>
            </w: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(0.10)</w:t>
            </w:r>
          </w:p>
        </w:tc>
      </w:tr>
      <w:tr w:rsidR="00724834" w:rsidRPr="00724834" w:rsidTr="00F77C0F">
        <w:trPr>
          <w:trHeight w:val="208"/>
        </w:trPr>
        <w:tc>
          <w:tcPr>
            <w:tcW w:w="0" w:type="auto"/>
            <w:tcBorders>
              <w:top w:val="nil"/>
              <w:left w:val="nil"/>
              <w:right w:val="nil"/>
            </w:tcBorders>
            <w:shd w:val="clear" w:color="000000" w:fill="FFFFFF"/>
            <w:noWrap/>
          </w:tcPr>
          <w:p w:rsidR="007F1075" w:rsidRPr="00724834" w:rsidRDefault="007F1075" w:rsidP="00F77C0F">
            <w:pPr>
              <w:pStyle w:val="ListParagraph"/>
              <w:numPr>
                <w:ilvl w:val="0"/>
                <w:numId w:val="16"/>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Medium staff resources x congruence</w:t>
            </w:r>
          </w:p>
        </w:tc>
        <w:tc>
          <w:tcPr>
            <w:tcW w:w="0" w:type="auto"/>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noWrap/>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-0.05</w:t>
            </w: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(0.08)</w:t>
            </w:r>
          </w:p>
        </w:tc>
      </w:tr>
      <w:tr w:rsidR="00724834" w:rsidRPr="00724834" w:rsidTr="00F77C0F">
        <w:trPr>
          <w:trHeight w:val="208"/>
        </w:trPr>
        <w:tc>
          <w:tcPr>
            <w:tcW w:w="0" w:type="auto"/>
            <w:tcBorders>
              <w:top w:val="nil"/>
              <w:left w:val="nil"/>
              <w:bottom w:val="single" w:sz="4" w:space="0" w:color="auto"/>
              <w:right w:val="nil"/>
            </w:tcBorders>
            <w:shd w:val="clear" w:color="000000" w:fill="FFFFFF"/>
            <w:noWrap/>
          </w:tcPr>
          <w:p w:rsidR="007F1075" w:rsidRPr="00724834" w:rsidRDefault="007F1075" w:rsidP="00F77C0F">
            <w:pPr>
              <w:pStyle w:val="ListParagraph"/>
              <w:numPr>
                <w:ilvl w:val="0"/>
                <w:numId w:val="16"/>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Low staff resources x congruence (ref.)</w:t>
            </w:r>
          </w:p>
        </w:tc>
        <w:tc>
          <w:tcPr>
            <w:tcW w:w="0" w:type="auto"/>
            <w:tcBorders>
              <w:top w:val="nil"/>
              <w:left w:val="nil"/>
              <w:bottom w:val="single" w:sz="4" w:space="0" w:color="auto"/>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single" w:sz="4" w:space="0" w:color="auto"/>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single" w:sz="4" w:space="0" w:color="auto"/>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single" w:sz="4" w:space="0" w:color="auto"/>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single" w:sz="4" w:space="0" w:color="auto"/>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single" w:sz="4" w:space="0" w:color="auto"/>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08"/>
        </w:trPr>
        <w:tc>
          <w:tcPr>
            <w:tcW w:w="0" w:type="auto"/>
            <w:tcBorders>
              <w:top w:val="single" w:sz="4" w:space="0" w:color="auto"/>
              <w:left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b/>
                <w:bCs/>
                <w:lang w:val="en-US" w:eastAsia="nl-BE"/>
              </w:rPr>
            </w:pPr>
            <w:r w:rsidRPr="00724834">
              <w:rPr>
                <w:rFonts w:ascii="Garamond" w:eastAsia="Times New Roman" w:hAnsi="Garamond" w:cs="Calibri"/>
                <w:b/>
                <w:bCs/>
                <w:lang w:val="en-US" w:eastAsia="nl-BE"/>
              </w:rPr>
              <w:t xml:space="preserve"> </w:t>
            </w:r>
            <w:r w:rsidRPr="00724834">
              <w:rPr>
                <w:rFonts w:ascii="Garamond" w:eastAsia="Times New Roman" w:hAnsi="Garamond" w:cs="Calibri"/>
                <w:i/>
                <w:iCs/>
                <w:lang w:val="en-US" w:eastAsia="nl-BE"/>
              </w:rPr>
              <w:t>Model fit</w:t>
            </w:r>
            <w:r w:rsidRPr="00724834">
              <w:rPr>
                <w:rFonts w:ascii="Garamond" w:eastAsia="Times New Roman" w:hAnsi="Garamond" w:cs="Calibri"/>
                <w:b/>
                <w:bCs/>
                <w:lang w:val="en-US" w:eastAsia="nl-BE"/>
              </w:rPr>
              <w:t xml:space="preserve"> </w:t>
            </w:r>
          </w:p>
        </w:tc>
        <w:tc>
          <w:tcPr>
            <w:tcW w:w="0" w:type="auto"/>
            <w:tcBorders>
              <w:top w:val="single" w:sz="4" w:space="0" w:color="auto"/>
              <w:left w:val="nil"/>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w:t>
            </w:r>
          </w:p>
        </w:tc>
        <w:tc>
          <w:tcPr>
            <w:tcW w:w="0" w:type="auto"/>
            <w:tcBorders>
              <w:top w:val="single" w:sz="4" w:space="0" w:color="auto"/>
              <w:left w:val="nil"/>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w:t>
            </w:r>
          </w:p>
        </w:tc>
        <w:tc>
          <w:tcPr>
            <w:tcW w:w="0" w:type="auto"/>
            <w:tcBorders>
              <w:top w:val="single" w:sz="4" w:space="0" w:color="auto"/>
              <w:left w:val="nil"/>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w:t>
            </w:r>
          </w:p>
        </w:tc>
        <w:tc>
          <w:tcPr>
            <w:tcW w:w="0" w:type="auto"/>
            <w:tcBorders>
              <w:top w:val="single" w:sz="4" w:space="0" w:color="auto"/>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single" w:sz="4" w:space="0" w:color="auto"/>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single" w:sz="4" w:space="0" w:color="auto"/>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77"/>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N </w:t>
            </w:r>
          </w:p>
        </w:tc>
        <w:tc>
          <w:tcPr>
            <w:tcW w:w="0" w:type="auto"/>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109</w:t>
            </w:r>
          </w:p>
        </w:tc>
        <w:tc>
          <w:tcPr>
            <w:tcW w:w="0" w:type="auto"/>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w:t>
            </w:r>
          </w:p>
        </w:tc>
        <w:tc>
          <w:tcPr>
            <w:tcW w:w="0" w:type="auto"/>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109</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17"/>
        </w:trPr>
        <w:tc>
          <w:tcPr>
            <w:tcW w:w="0" w:type="auto"/>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Wald Chi 2</w:t>
            </w:r>
          </w:p>
        </w:tc>
        <w:tc>
          <w:tcPr>
            <w:tcW w:w="0" w:type="auto"/>
            <w:tcBorders>
              <w:top w:val="nil"/>
              <w:left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62.92</w:t>
            </w:r>
          </w:p>
        </w:tc>
        <w:tc>
          <w:tcPr>
            <w:tcW w:w="0" w:type="auto"/>
            <w:tcBorders>
              <w:top w:val="nil"/>
              <w:left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67.52</w:t>
            </w: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17"/>
        </w:trPr>
        <w:tc>
          <w:tcPr>
            <w:tcW w:w="0" w:type="auto"/>
            <w:tcBorders>
              <w:left w:val="nil"/>
              <w:bottom w:val="double" w:sz="6" w:space="0" w:color="auto"/>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Pseudo R2 </w:t>
            </w:r>
          </w:p>
        </w:tc>
        <w:tc>
          <w:tcPr>
            <w:tcW w:w="0" w:type="auto"/>
            <w:tcBorders>
              <w:left w:val="nil"/>
              <w:bottom w:val="double" w:sz="6" w:space="0" w:color="auto"/>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0.67</w:t>
            </w:r>
          </w:p>
        </w:tc>
        <w:tc>
          <w:tcPr>
            <w:tcW w:w="0" w:type="auto"/>
            <w:tcBorders>
              <w:left w:val="nil"/>
              <w:bottom w:val="double" w:sz="6" w:space="0" w:color="auto"/>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left w:val="nil"/>
              <w:bottom w:val="double" w:sz="6" w:space="0" w:color="auto"/>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left w:val="nil"/>
              <w:bottom w:val="double" w:sz="6" w:space="0" w:color="auto"/>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0.68</w:t>
            </w:r>
          </w:p>
        </w:tc>
        <w:tc>
          <w:tcPr>
            <w:tcW w:w="0" w:type="auto"/>
            <w:tcBorders>
              <w:left w:val="nil"/>
              <w:bottom w:val="double" w:sz="6" w:space="0" w:color="auto"/>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left w:val="nil"/>
              <w:bottom w:val="double" w:sz="6" w:space="0" w:color="auto"/>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17"/>
        </w:trPr>
        <w:tc>
          <w:tcPr>
            <w:tcW w:w="0" w:type="auto"/>
            <w:gridSpan w:val="7"/>
            <w:tcBorders>
              <w:top w:val="double" w:sz="6" w:space="0" w:color="auto"/>
              <w:left w:val="nil"/>
              <w:bottom w:val="nil"/>
              <w:right w:val="nil"/>
            </w:tcBorders>
            <w:shd w:val="clear" w:color="000000" w:fill="FFFFFF"/>
            <w:noWrap/>
            <w:vAlign w:val="bottom"/>
            <w:hideMark/>
          </w:tcPr>
          <w:p w:rsidR="007F1075" w:rsidRPr="00724834" w:rsidRDefault="007F1075" w:rsidP="00F77C0F">
            <w:pPr>
              <w:spacing w:after="0" w:line="240" w:lineRule="auto"/>
              <w:jc w:val="center"/>
              <w:rPr>
                <w:rFonts w:ascii="Garamond" w:eastAsia="Times New Roman" w:hAnsi="Garamond" w:cs="Calibri"/>
                <w:sz w:val="20"/>
                <w:szCs w:val="20"/>
                <w:lang w:val="en-US" w:eastAsia="nl-BE"/>
              </w:rPr>
            </w:pPr>
            <w:r w:rsidRPr="00724834">
              <w:rPr>
                <w:rFonts w:ascii="Garamond" w:eastAsia="Times New Roman" w:hAnsi="Garamond" w:cs="Calibri"/>
                <w:sz w:val="20"/>
                <w:szCs w:val="20"/>
                <w:lang w:val="en-US" w:eastAsia="nl-BE"/>
              </w:rPr>
              <w:t xml:space="preserve"> Robust standard errors in parentheses with significance levels indicated by † P&lt;0.10, *P&lt;0.05 and **P&lt;0.01 </w:t>
            </w:r>
          </w:p>
        </w:tc>
      </w:tr>
    </w:tbl>
    <w:p w:rsidR="007F1075" w:rsidRPr="00724834" w:rsidRDefault="007F1075" w:rsidP="007F1075">
      <w:pPr>
        <w:rPr>
          <w:lang w:val="en-US" w:eastAsia="nl-BE"/>
        </w:rPr>
      </w:pPr>
    </w:p>
    <w:p w:rsidR="007F1075" w:rsidRPr="00724834" w:rsidRDefault="007F1075" w:rsidP="007F1075">
      <w:pPr>
        <w:rPr>
          <w:lang w:val="en-US" w:eastAsia="nl-BE"/>
        </w:rPr>
      </w:pPr>
    </w:p>
    <w:p w:rsidR="007F1075" w:rsidRPr="00724834" w:rsidRDefault="007F1075" w:rsidP="007F1075">
      <w:pPr>
        <w:rPr>
          <w:lang w:val="en-US" w:eastAsia="nl-BE"/>
        </w:rPr>
      </w:pPr>
    </w:p>
    <w:p w:rsidR="007F1075" w:rsidRPr="00724834" w:rsidRDefault="007F1075" w:rsidP="007F1075">
      <w:pPr>
        <w:rPr>
          <w:lang w:val="en-US" w:eastAsia="nl-BE"/>
        </w:rPr>
      </w:pPr>
    </w:p>
    <w:p w:rsidR="007F1075" w:rsidRPr="00724834" w:rsidRDefault="007F1075" w:rsidP="007F1075">
      <w:pPr>
        <w:rPr>
          <w:lang w:val="en-US" w:eastAsia="nl-BE"/>
        </w:rPr>
      </w:pPr>
    </w:p>
    <w:p w:rsidR="007F1075" w:rsidRPr="00724834" w:rsidRDefault="007F1075" w:rsidP="007F1075">
      <w:pPr>
        <w:rPr>
          <w:lang w:val="en-US" w:eastAsia="nl-BE"/>
        </w:rPr>
      </w:pPr>
    </w:p>
    <w:p w:rsidR="007F1075" w:rsidRPr="00724834" w:rsidRDefault="007F1075" w:rsidP="007F1075">
      <w:pPr>
        <w:rPr>
          <w:rFonts w:ascii="Garamond" w:hAnsi="Garamond"/>
          <w:b/>
          <w:bCs/>
          <w:lang w:val="en-US"/>
        </w:rPr>
      </w:pPr>
      <w:r w:rsidRPr="00724834">
        <w:rPr>
          <w:rFonts w:ascii="Garamond" w:hAnsi="Garamond"/>
          <w:b/>
          <w:bCs/>
          <w:lang w:val="en-US" w:eastAsia="nl-BE"/>
        </w:rPr>
        <w:t>Figure A6. Marginal effects of budget invested in lobbying for different levels of congruence</w:t>
      </w:r>
    </w:p>
    <w:p w:rsidR="007F1075" w:rsidRPr="00724834" w:rsidRDefault="007F1075" w:rsidP="007F1075">
      <w:pPr>
        <w:jc w:val="center"/>
        <w:rPr>
          <w:lang w:val="en-US"/>
        </w:rPr>
      </w:pPr>
      <w:r w:rsidRPr="00724834">
        <w:rPr>
          <w:noProof/>
          <w:lang w:val="en-US"/>
        </w:rPr>
        <w:drawing>
          <wp:inline distT="0" distB="0" distL="0" distR="0" wp14:anchorId="64355C19" wp14:editId="6E1B06DE">
            <wp:extent cx="3117850" cy="2286090"/>
            <wp:effectExtent l="0" t="0" r="6350" b="0"/>
            <wp:docPr id="15" name="Picture 15"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box and whisker chart&#10;&#10;Description automatically generated"/>
                    <pic:cNvPicPr/>
                  </pic:nvPicPr>
                  <pic:blipFill>
                    <a:blip r:embed="rId16"/>
                    <a:stretch>
                      <a:fillRect/>
                    </a:stretch>
                  </pic:blipFill>
                  <pic:spPr>
                    <a:xfrm>
                      <a:off x="0" y="0"/>
                      <a:ext cx="3121894" cy="2289055"/>
                    </a:xfrm>
                    <a:prstGeom prst="rect">
                      <a:avLst/>
                    </a:prstGeom>
                  </pic:spPr>
                </pic:pic>
              </a:graphicData>
            </a:graphic>
          </wp:inline>
        </w:drawing>
      </w:r>
    </w:p>
    <w:p w:rsidR="007F1075" w:rsidRPr="00724834" w:rsidRDefault="007F1075" w:rsidP="007F1075">
      <w:pPr>
        <w:pStyle w:val="Heading1"/>
      </w:pPr>
      <w:bookmarkStart w:id="9" w:name="_Toc132807392"/>
      <w:r w:rsidRPr="00724834">
        <w:t>Robustness check including groups with an unclear position</w:t>
      </w:r>
      <w:bookmarkEnd w:id="9"/>
    </w:p>
    <w:p w:rsidR="007F1075" w:rsidRPr="00724834" w:rsidRDefault="007F1075" w:rsidP="007F1075">
      <w:pPr>
        <w:spacing w:after="0" w:line="240" w:lineRule="auto"/>
        <w:jc w:val="center"/>
        <w:rPr>
          <w:rFonts w:ascii="Garamond" w:eastAsia="Times New Roman" w:hAnsi="Garamond" w:cs="Calibri"/>
          <w:lang w:val="en-US" w:eastAsia="nl-BE"/>
        </w:rPr>
      </w:pPr>
    </w:p>
    <w:p w:rsidR="007F1075" w:rsidRPr="00724834" w:rsidRDefault="007F1075" w:rsidP="007F1075">
      <w:pPr>
        <w:spacing w:after="0" w:line="480" w:lineRule="auto"/>
        <w:jc w:val="both"/>
        <w:rPr>
          <w:rFonts w:ascii="Garamond" w:eastAsia="Times New Roman" w:hAnsi="Garamond" w:cs="Calibri"/>
          <w:lang w:val="en-US" w:eastAsia="nl-BE"/>
        </w:rPr>
      </w:pPr>
      <w:r w:rsidRPr="00724834">
        <w:rPr>
          <w:rFonts w:ascii="Garamond" w:eastAsia="Times New Roman" w:hAnsi="Garamond" w:cs="Calibri"/>
          <w:lang w:val="en-US" w:eastAsia="nl-BE"/>
        </w:rPr>
        <w:t xml:space="preserve">As an additional robustness check we consider the interest groups for which no clear policy position could be determined based on media coding and the surveys. These groups are listed below in Table A6. Excluding these groups altogether from the analysis may lead us to underestimate the lobbying camps opposing stricter climate regulations, as such groups may deliberately position themselves ambivalently in climate policy debates while they are in fact trying to water down climate policies. Therefore we present alternative models in which we presume that the interest groups with ambivalent or unobservable positions were actually against new policy initiatives. As the models presented in Table A7 and marginal effects in Figure A7 demonstrate, our result hold true when incorporating these organizations in the analyses. </w:t>
      </w:r>
    </w:p>
    <w:p w:rsidR="007F1075" w:rsidRPr="00724834" w:rsidRDefault="007F1075">
      <w:pPr>
        <w:rPr>
          <w:rFonts w:ascii="Garamond" w:eastAsia="Times New Roman" w:hAnsi="Garamond" w:cs="Calibri"/>
          <w:b/>
          <w:bCs/>
          <w:lang w:val="en-US" w:eastAsia="nl-BE"/>
        </w:rPr>
      </w:pPr>
      <w:r w:rsidRPr="00724834">
        <w:rPr>
          <w:rFonts w:ascii="Garamond" w:eastAsia="Times New Roman" w:hAnsi="Garamond" w:cs="Calibri"/>
          <w:b/>
          <w:bCs/>
          <w:lang w:val="en-US" w:eastAsia="nl-BE"/>
        </w:rPr>
        <w:br w:type="page"/>
      </w:r>
    </w:p>
    <w:p w:rsidR="007F1075" w:rsidRPr="00724834" w:rsidRDefault="007F1075" w:rsidP="007F1075">
      <w:pPr>
        <w:spacing w:after="0" w:line="240" w:lineRule="auto"/>
        <w:rPr>
          <w:rFonts w:ascii="Garamond" w:eastAsia="Times New Roman" w:hAnsi="Garamond" w:cs="Calibri"/>
          <w:b/>
          <w:bCs/>
          <w:lang w:val="en-US" w:eastAsia="nl-BE"/>
        </w:rPr>
      </w:pPr>
      <w:r w:rsidRPr="00724834">
        <w:rPr>
          <w:rFonts w:ascii="Garamond" w:eastAsia="Times New Roman" w:hAnsi="Garamond" w:cs="Calibri"/>
          <w:b/>
          <w:bCs/>
          <w:lang w:val="en-US" w:eastAsia="nl-BE"/>
        </w:rPr>
        <w:lastRenderedPageBreak/>
        <w:t xml:space="preserve">Table A6. Active interest groups for which no clear position was determined on an issue </w:t>
      </w:r>
    </w:p>
    <w:tbl>
      <w:tblPr>
        <w:tblW w:w="9438" w:type="dxa"/>
        <w:tblInd w:w="12" w:type="dxa"/>
        <w:tblLook w:val="04A0" w:firstRow="1" w:lastRow="0" w:firstColumn="1" w:lastColumn="0" w:noHBand="0" w:noVBand="1"/>
      </w:tblPr>
      <w:tblGrid>
        <w:gridCol w:w="1217"/>
        <w:gridCol w:w="5652"/>
        <w:gridCol w:w="2569"/>
      </w:tblGrid>
      <w:tr w:rsidR="00724834" w:rsidRPr="00724834" w:rsidTr="00F77C0F">
        <w:trPr>
          <w:trHeight w:val="195"/>
        </w:trPr>
        <w:tc>
          <w:tcPr>
            <w:tcW w:w="1217" w:type="dxa"/>
            <w:tcBorders>
              <w:top w:val="nil"/>
              <w:left w:val="nil"/>
              <w:bottom w:val="nil"/>
              <w:right w:val="nil"/>
            </w:tcBorders>
            <w:shd w:val="clear" w:color="000000" w:fill="D9D9D9"/>
            <w:noWrap/>
            <w:vAlign w:val="bottom"/>
            <w:hideMark/>
          </w:tcPr>
          <w:p w:rsidR="007F1075" w:rsidRPr="00724834" w:rsidRDefault="007F1075" w:rsidP="00F77C0F">
            <w:pPr>
              <w:spacing w:after="0" w:line="240" w:lineRule="auto"/>
              <w:rPr>
                <w:rFonts w:ascii="Garamond" w:eastAsia="Times New Roman" w:hAnsi="Garamond" w:cs="Calibri"/>
                <w:b/>
                <w:bCs/>
                <w:sz w:val="18"/>
                <w:szCs w:val="18"/>
                <w:lang w:val="en-US"/>
              </w:rPr>
            </w:pPr>
            <w:r w:rsidRPr="00724834">
              <w:rPr>
                <w:rFonts w:ascii="Garamond" w:eastAsia="Times New Roman" w:hAnsi="Garamond" w:cs="Calibri"/>
                <w:b/>
                <w:bCs/>
                <w:sz w:val="18"/>
                <w:szCs w:val="18"/>
                <w:lang w:val="en-US"/>
              </w:rPr>
              <w:t>IssueID</w:t>
            </w:r>
          </w:p>
        </w:tc>
        <w:tc>
          <w:tcPr>
            <w:tcW w:w="5652" w:type="dxa"/>
            <w:tcBorders>
              <w:top w:val="nil"/>
              <w:left w:val="nil"/>
              <w:bottom w:val="nil"/>
              <w:right w:val="nil"/>
            </w:tcBorders>
            <w:shd w:val="clear" w:color="000000" w:fill="D9D9D9"/>
            <w:noWrap/>
            <w:vAlign w:val="bottom"/>
            <w:hideMark/>
          </w:tcPr>
          <w:p w:rsidR="007F1075" w:rsidRPr="00724834" w:rsidRDefault="007F1075" w:rsidP="00F77C0F">
            <w:pPr>
              <w:spacing w:after="0" w:line="240" w:lineRule="auto"/>
              <w:rPr>
                <w:rFonts w:ascii="Garamond" w:eastAsia="Times New Roman" w:hAnsi="Garamond" w:cs="Calibri"/>
                <w:b/>
                <w:bCs/>
                <w:sz w:val="18"/>
                <w:szCs w:val="18"/>
                <w:lang w:val="en-US"/>
              </w:rPr>
            </w:pPr>
            <w:r w:rsidRPr="00724834">
              <w:rPr>
                <w:rFonts w:ascii="Garamond" w:eastAsia="Times New Roman" w:hAnsi="Garamond" w:cs="Calibri"/>
                <w:b/>
                <w:bCs/>
                <w:sz w:val="18"/>
                <w:szCs w:val="18"/>
                <w:lang w:val="en-US"/>
              </w:rPr>
              <w:t>Organisation</w:t>
            </w:r>
          </w:p>
        </w:tc>
        <w:tc>
          <w:tcPr>
            <w:tcW w:w="2569" w:type="dxa"/>
            <w:tcBorders>
              <w:top w:val="nil"/>
              <w:left w:val="nil"/>
              <w:bottom w:val="nil"/>
              <w:right w:val="nil"/>
            </w:tcBorders>
            <w:shd w:val="clear" w:color="000000" w:fill="D9D9D9"/>
            <w:noWrap/>
            <w:vAlign w:val="bottom"/>
            <w:hideMark/>
          </w:tcPr>
          <w:p w:rsidR="007F1075" w:rsidRPr="00724834" w:rsidRDefault="007F1075" w:rsidP="00F77C0F">
            <w:pPr>
              <w:spacing w:after="0" w:line="240" w:lineRule="auto"/>
              <w:rPr>
                <w:rFonts w:ascii="Garamond" w:eastAsia="Times New Roman" w:hAnsi="Garamond" w:cs="Calibri"/>
                <w:b/>
                <w:bCs/>
                <w:sz w:val="18"/>
                <w:szCs w:val="18"/>
                <w:lang w:val="en-US"/>
              </w:rPr>
            </w:pPr>
            <w:r w:rsidRPr="00724834">
              <w:rPr>
                <w:rFonts w:ascii="Garamond" w:eastAsia="Times New Roman" w:hAnsi="Garamond" w:cs="Calibri"/>
                <w:b/>
                <w:bCs/>
                <w:sz w:val="18"/>
                <w:szCs w:val="18"/>
                <w:lang w:val="en-US"/>
              </w:rPr>
              <w:t>GroupType</w:t>
            </w:r>
          </w:p>
        </w:tc>
      </w:tr>
      <w:tr w:rsidR="00724834" w:rsidRPr="00724834" w:rsidTr="00F77C0F">
        <w:trPr>
          <w:trHeight w:val="195"/>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24</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BusinessEurope</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business encompassing</w:t>
            </w:r>
          </w:p>
        </w:tc>
      </w:tr>
      <w:tr w:rsidR="00724834" w:rsidRPr="00724834" w:rsidTr="00F77C0F">
        <w:trPr>
          <w:trHeight w:val="195"/>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24</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European Steel Association</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business specific</w:t>
            </w:r>
          </w:p>
        </w:tc>
      </w:tr>
      <w:tr w:rsidR="00724834" w:rsidRPr="00724834" w:rsidTr="00F77C0F">
        <w:trPr>
          <w:trHeight w:val="195"/>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39</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Renewable Energy Producers Association</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business specific</w:t>
            </w:r>
          </w:p>
        </w:tc>
      </w:tr>
      <w:tr w:rsidR="00724834" w:rsidRPr="00724834" w:rsidTr="00F77C0F">
        <w:trPr>
          <w:trHeight w:val="195"/>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39</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European Automobile Manufacturers Association</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business specific</w:t>
            </w:r>
          </w:p>
        </w:tc>
      </w:tr>
      <w:tr w:rsidR="00724834" w:rsidRPr="00724834" w:rsidTr="00F77C0F">
        <w:trPr>
          <w:trHeight w:val="195"/>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40</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COGEN Europe</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business specific</w:t>
            </w:r>
          </w:p>
        </w:tc>
      </w:tr>
      <w:tr w:rsidR="00724834" w:rsidRPr="00724834" w:rsidTr="00F77C0F">
        <w:trPr>
          <w:trHeight w:val="195"/>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40</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European Steel Association</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business specific</w:t>
            </w:r>
          </w:p>
        </w:tc>
      </w:tr>
      <w:tr w:rsidR="00724834" w:rsidRPr="00724834" w:rsidTr="00F77C0F">
        <w:trPr>
          <w:trHeight w:val="195"/>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40</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Renewable Energy Producers Association</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business specific</w:t>
            </w:r>
          </w:p>
        </w:tc>
      </w:tr>
      <w:tr w:rsidR="00724834" w:rsidRPr="00724834" w:rsidTr="00F77C0F">
        <w:trPr>
          <w:trHeight w:val="195"/>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12</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AirClim</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civil Society</w:t>
            </w:r>
          </w:p>
        </w:tc>
      </w:tr>
      <w:tr w:rsidR="00724834" w:rsidRPr="00724834" w:rsidTr="00F77C0F">
        <w:trPr>
          <w:trHeight w:val="195"/>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12</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Legambiente</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civil Society</w:t>
            </w:r>
          </w:p>
        </w:tc>
      </w:tr>
      <w:tr w:rsidR="00724834" w:rsidRPr="00724834" w:rsidTr="00F77C0F">
        <w:trPr>
          <w:trHeight w:val="195"/>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39</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Puraction</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civil Society</w:t>
            </w:r>
          </w:p>
        </w:tc>
      </w:tr>
      <w:tr w:rsidR="00724834" w:rsidRPr="00724834" w:rsidTr="00F77C0F">
        <w:trPr>
          <w:trHeight w:val="195"/>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39</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Climate Alliance Germany</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civil Society</w:t>
            </w:r>
          </w:p>
        </w:tc>
      </w:tr>
      <w:tr w:rsidR="00724834" w:rsidRPr="00724834" w:rsidTr="00F77C0F">
        <w:trPr>
          <w:trHeight w:val="195"/>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39</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Aviation Environment Federation</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civil Society</w:t>
            </w:r>
          </w:p>
        </w:tc>
      </w:tr>
      <w:tr w:rsidR="00724834" w:rsidRPr="00724834" w:rsidTr="00F77C0F">
        <w:trPr>
          <w:trHeight w:val="195"/>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39</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German environmental aid</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civil Society</w:t>
            </w:r>
          </w:p>
        </w:tc>
      </w:tr>
      <w:tr w:rsidR="00724834" w:rsidRPr="00724834" w:rsidTr="00F77C0F">
        <w:trPr>
          <w:trHeight w:val="195"/>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40</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ShareAction</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civil Society</w:t>
            </w:r>
          </w:p>
        </w:tc>
      </w:tr>
      <w:tr w:rsidR="00724834" w:rsidRPr="00724834" w:rsidTr="00F77C0F">
        <w:trPr>
          <w:trHeight w:val="195"/>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40</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Climate Savers Computing</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civil Society</w:t>
            </w:r>
          </w:p>
        </w:tc>
      </w:tr>
      <w:tr w:rsidR="00724834" w:rsidRPr="00724834" w:rsidTr="00F77C0F">
        <w:trPr>
          <w:trHeight w:val="176"/>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40</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Fondation Nicolas Hulot</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civil Society</w:t>
            </w:r>
          </w:p>
        </w:tc>
      </w:tr>
      <w:tr w:rsidR="00724834" w:rsidRPr="00724834" w:rsidTr="00F77C0F">
        <w:trPr>
          <w:trHeight w:val="176"/>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22</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Anti-Vivisection League LAV</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civil Society</w:t>
            </w:r>
          </w:p>
        </w:tc>
      </w:tr>
      <w:tr w:rsidR="00724834" w:rsidRPr="00724834" w:rsidTr="00F77C0F">
        <w:trPr>
          <w:trHeight w:val="176"/>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22</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Ente Nazionale Protezione Animali</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civil Society</w:t>
            </w:r>
          </w:p>
        </w:tc>
      </w:tr>
      <w:tr w:rsidR="00724834" w:rsidRPr="00724834" w:rsidTr="00F77C0F">
        <w:trPr>
          <w:trHeight w:val="176"/>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22</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LIDA</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civil Society</w:t>
            </w:r>
          </w:p>
        </w:tc>
      </w:tr>
      <w:tr w:rsidR="00724834" w:rsidRPr="00724834" w:rsidTr="00F77C0F">
        <w:trPr>
          <w:trHeight w:val="176"/>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22</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Organizzazione Internazionale Protezione Animali</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civil Society</w:t>
            </w:r>
          </w:p>
        </w:tc>
      </w:tr>
      <w:tr w:rsidR="00724834" w:rsidRPr="00724834" w:rsidTr="00F77C0F">
        <w:trPr>
          <w:trHeight w:val="176"/>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22</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State Forestry Body</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civil Society</w:t>
            </w:r>
          </w:p>
        </w:tc>
      </w:tr>
      <w:tr w:rsidR="00724834" w:rsidRPr="00724834" w:rsidTr="00F77C0F">
        <w:trPr>
          <w:trHeight w:val="176"/>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24</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Shell Nederland</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firm</w:t>
            </w:r>
          </w:p>
        </w:tc>
      </w:tr>
      <w:tr w:rsidR="00724834" w:rsidRPr="00724834" w:rsidTr="00F77C0F">
        <w:trPr>
          <w:trHeight w:val="176"/>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24</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ENI</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firm</w:t>
            </w:r>
          </w:p>
        </w:tc>
      </w:tr>
      <w:tr w:rsidR="00724834" w:rsidRPr="00724834" w:rsidTr="00F77C0F">
        <w:trPr>
          <w:trHeight w:val="176"/>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24</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ExxonMobil</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firm</w:t>
            </w:r>
          </w:p>
        </w:tc>
      </w:tr>
      <w:tr w:rsidR="00724834" w:rsidRPr="00724834" w:rsidTr="00F77C0F">
        <w:trPr>
          <w:trHeight w:val="176"/>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24</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Gasunie</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firm</w:t>
            </w:r>
          </w:p>
        </w:tc>
      </w:tr>
      <w:tr w:rsidR="00724834" w:rsidRPr="00724834" w:rsidTr="00F77C0F">
        <w:trPr>
          <w:trHeight w:val="176"/>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24</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Centrica</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firm</w:t>
            </w:r>
          </w:p>
        </w:tc>
      </w:tr>
      <w:tr w:rsidR="00724834" w:rsidRPr="00724834" w:rsidTr="00F77C0F">
        <w:trPr>
          <w:trHeight w:val="176"/>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24</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Bloomberg</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firm</w:t>
            </w:r>
          </w:p>
        </w:tc>
      </w:tr>
      <w:tr w:rsidR="00724834" w:rsidRPr="00724834" w:rsidTr="00F77C0F">
        <w:trPr>
          <w:trHeight w:val="176"/>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24</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Citigroup</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firm</w:t>
            </w:r>
          </w:p>
        </w:tc>
      </w:tr>
      <w:tr w:rsidR="00724834" w:rsidRPr="00724834" w:rsidTr="00F77C0F">
        <w:trPr>
          <w:trHeight w:val="176"/>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24</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Talisman Energy Poland</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firm</w:t>
            </w:r>
          </w:p>
        </w:tc>
      </w:tr>
      <w:tr w:rsidR="00724834" w:rsidRPr="00724834" w:rsidTr="00F77C0F">
        <w:trPr>
          <w:trHeight w:val="176"/>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24</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3Legs Resources</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firm</w:t>
            </w:r>
          </w:p>
        </w:tc>
      </w:tr>
      <w:tr w:rsidR="00724834" w:rsidRPr="00724834" w:rsidTr="00F77C0F">
        <w:trPr>
          <w:trHeight w:val="176"/>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24</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Cuadrilla</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firm</w:t>
            </w:r>
          </w:p>
        </w:tc>
      </w:tr>
      <w:tr w:rsidR="00724834" w:rsidRPr="00724834" w:rsidTr="00F77C0F">
        <w:trPr>
          <w:trHeight w:val="176"/>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24</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DONG energy</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firm</w:t>
            </w:r>
          </w:p>
        </w:tc>
      </w:tr>
      <w:tr w:rsidR="00724834" w:rsidRPr="00724834" w:rsidTr="00F77C0F">
        <w:trPr>
          <w:trHeight w:val="176"/>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24</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BG Group</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firm</w:t>
            </w:r>
          </w:p>
        </w:tc>
      </w:tr>
      <w:tr w:rsidR="00724834" w:rsidRPr="00724834" w:rsidTr="00F77C0F">
        <w:trPr>
          <w:trHeight w:val="176"/>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39</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Airbus</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firm</w:t>
            </w:r>
          </w:p>
        </w:tc>
      </w:tr>
      <w:tr w:rsidR="00724834" w:rsidRPr="00724834" w:rsidTr="00F77C0F">
        <w:trPr>
          <w:trHeight w:val="176"/>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39</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Volkswagen</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firm</w:t>
            </w:r>
          </w:p>
        </w:tc>
      </w:tr>
      <w:tr w:rsidR="00724834" w:rsidRPr="00724834" w:rsidTr="00F77C0F">
        <w:trPr>
          <w:trHeight w:val="176"/>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39</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Barclays</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firm</w:t>
            </w:r>
          </w:p>
        </w:tc>
      </w:tr>
      <w:tr w:rsidR="00724834" w:rsidRPr="00724834" w:rsidTr="00F77C0F">
        <w:trPr>
          <w:trHeight w:val="176"/>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39</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Volvo group</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firm</w:t>
            </w:r>
          </w:p>
        </w:tc>
      </w:tr>
      <w:tr w:rsidR="00724834" w:rsidRPr="00724834" w:rsidTr="00F77C0F">
        <w:trPr>
          <w:trHeight w:val="176"/>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39</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UPS</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firm</w:t>
            </w:r>
          </w:p>
        </w:tc>
      </w:tr>
      <w:tr w:rsidR="00724834" w:rsidRPr="00724834" w:rsidTr="00F77C0F">
        <w:trPr>
          <w:trHeight w:val="176"/>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39</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Climate Advisers</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firm</w:t>
            </w:r>
          </w:p>
        </w:tc>
      </w:tr>
      <w:tr w:rsidR="00724834" w:rsidRPr="00724834" w:rsidTr="00F77C0F">
        <w:trPr>
          <w:trHeight w:val="176"/>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39</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Ecofys consultancy</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firm</w:t>
            </w:r>
          </w:p>
        </w:tc>
      </w:tr>
      <w:tr w:rsidR="00724834" w:rsidRPr="00724834" w:rsidTr="00F77C0F">
        <w:trPr>
          <w:trHeight w:val="176"/>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39</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Energy Circle</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firm</w:t>
            </w:r>
          </w:p>
        </w:tc>
      </w:tr>
      <w:tr w:rsidR="00724834" w:rsidRPr="00724834" w:rsidTr="00F77C0F">
        <w:trPr>
          <w:trHeight w:val="176"/>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39</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Pratt &amp; Whitney</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firm</w:t>
            </w:r>
          </w:p>
        </w:tc>
      </w:tr>
      <w:tr w:rsidR="00724834" w:rsidRPr="00724834" w:rsidTr="00F77C0F">
        <w:trPr>
          <w:trHeight w:val="176"/>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40</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Total</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firm</w:t>
            </w:r>
          </w:p>
        </w:tc>
      </w:tr>
      <w:tr w:rsidR="00724834" w:rsidRPr="00724834" w:rsidTr="00F77C0F">
        <w:trPr>
          <w:trHeight w:val="176"/>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40</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Enea Energy Efficiency Unit</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firm</w:t>
            </w:r>
          </w:p>
        </w:tc>
      </w:tr>
      <w:tr w:rsidR="00724834" w:rsidRPr="00724834" w:rsidTr="00F77C0F">
        <w:trPr>
          <w:trHeight w:val="176"/>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40</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Marshal of Pomorskie Voivodeship</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firm</w:t>
            </w:r>
          </w:p>
        </w:tc>
      </w:tr>
      <w:tr w:rsidR="00724834" w:rsidRPr="00724834" w:rsidTr="00F77C0F">
        <w:trPr>
          <w:trHeight w:val="176"/>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40</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Delta Energy and Environment</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firm</w:t>
            </w:r>
          </w:p>
        </w:tc>
      </w:tr>
      <w:tr w:rsidR="00724834" w:rsidRPr="00724834" w:rsidTr="00F77C0F">
        <w:trPr>
          <w:trHeight w:val="176"/>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40</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Futerra</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firm</w:t>
            </w:r>
          </w:p>
        </w:tc>
      </w:tr>
      <w:tr w:rsidR="00724834" w:rsidRPr="00724834" w:rsidTr="00F77C0F">
        <w:trPr>
          <w:trHeight w:val="176"/>
        </w:trPr>
        <w:tc>
          <w:tcPr>
            <w:tcW w:w="1217"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jc w:val="right"/>
              <w:rPr>
                <w:rFonts w:ascii="Garamond" w:eastAsia="Times New Roman" w:hAnsi="Garamond" w:cs="Calibri"/>
                <w:sz w:val="18"/>
                <w:szCs w:val="18"/>
                <w:lang w:val="en-US"/>
              </w:rPr>
            </w:pPr>
            <w:r w:rsidRPr="00724834">
              <w:rPr>
                <w:rFonts w:ascii="Garamond" w:eastAsia="Times New Roman" w:hAnsi="Garamond" w:cs="Calibri"/>
                <w:sz w:val="18"/>
                <w:szCs w:val="18"/>
                <w:lang w:val="en-US"/>
              </w:rPr>
              <w:t>40</w:t>
            </w:r>
          </w:p>
        </w:tc>
        <w:tc>
          <w:tcPr>
            <w:tcW w:w="5652"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WysokieNapiecie</w:t>
            </w:r>
          </w:p>
        </w:tc>
        <w:tc>
          <w:tcPr>
            <w:tcW w:w="2569" w:type="dxa"/>
            <w:tcBorders>
              <w:top w:val="nil"/>
              <w:left w:val="nil"/>
              <w:bottom w:val="nil"/>
              <w:right w:val="nil"/>
            </w:tcBorders>
            <w:shd w:val="clear" w:color="auto" w:fill="auto"/>
            <w:noWrap/>
            <w:vAlign w:val="bottom"/>
            <w:hideMark/>
          </w:tcPr>
          <w:p w:rsidR="007F1075" w:rsidRPr="00724834" w:rsidRDefault="007F1075" w:rsidP="00F77C0F">
            <w:pPr>
              <w:spacing w:after="0" w:line="240" w:lineRule="auto"/>
              <w:rPr>
                <w:rFonts w:ascii="Garamond" w:eastAsia="Times New Roman" w:hAnsi="Garamond" w:cs="Calibri"/>
                <w:sz w:val="18"/>
                <w:szCs w:val="18"/>
                <w:lang w:val="en-US"/>
              </w:rPr>
            </w:pPr>
            <w:r w:rsidRPr="00724834">
              <w:rPr>
                <w:rFonts w:ascii="Garamond" w:eastAsia="Times New Roman" w:hAnsi="Garamond" w:cs="Calibri"/>
                <w:sz w:val="18"/>
                <w:szCs w:val="18"/>
                <w:lang w:val="en-US"/>
              </w:rPr>
              <w:t>firm</w:t>
            </w:r>
          </w:p>
        </w:tc>
      </w:tr>
    </w:tbl>
    <w:p w:rsidR="007F1075" w:rsidRPr="00724834" w:rsidRDefault="007F1075" w:rsidP="007F1075">
      <w:pPr>
        <w:spacing w:after="0" w:line="240" w:lineRule="auto"/>
        <w:rPr>
          <w:rFonts w:ascii="Garamond" w:eastAsia="Times New Roman" w:hAnsi="Garamond" w:cs="Calibri"/>
          <w:i/>
          <w:iCs/>
          <w:lang w:val="en-US" w:eastAsia="nl-BE"/>
        </w:rPr>
      </w:pPr>
    </w:p>
    <w:p w:rsidR="007F1075" w:rsidRPr="00724834" w:rsidRDefault="007F1075" w:rsidP="007F1075">
      <w:pPr>
        <w:spacing w:after="0" w:line="240" w:lineRule="auto"/>
        <w:rPr>
          <w:rFonts w:ascii="Garamond" w:eastAsia="Times New Roman" w:hAnsi="Garamond" w:cs="Calibri"/>
          <w:i/>
          <w:iCs/>
          <w:lang w:val="en-US" w:eastAsia="nl-BE"/>
        </w:rPr>
      </w:pPr>
    </w:p>
    <w:p w:rsidR="007F1075" w:rsidRPr="00724834" w:rsidRDefault="007F1075">
      <w:pPr>
        <w:rPr>
          <w:rFonts w:ascii="Garamond" w:eastAsia="Times New Roman" w:hAnsi="Garamond" w:cs="Calibri"/>
          <w:b/>
          <w:bCs/>
          <w:lang w:val="en-US" w:eastAsia="nl-BE"/>
        </w:rPr>
      </w:pPr>
      <w:r w:rsidRPr="00724834">
        <w:rPr>
          <w:rFonts w:ascii="Garamond" w:eastAsia="Times New Roman" w:hAnsi="Garamond" w:cs="Calibri"/>
          <w:b/>
          <w:bCs/>
          <w:lang w:val="en-US" w:eastAsia="nl-BE"/>
        </w:rPr>
        <w:br w:type="page"/>
      </w:r>
    </w:p>
    <w:p w:rsidR="007F1075" w:rsidRPr="00724834" w:rsidRDefault="007F1075" w:rsidP="007F1075">
      <w:pPr>
        <w:spacing w:after="0" w:line="240" w:lineRule="auto"/>
        <w:rPr>
          <w:rFonts w:ascii="Garamond" w:eastAsia="Times New Roman" w:hAnsi="Garamond" w:cs="Calibri"/>
          <w:b/>
          <w:bCs/>
          <w:lang w:val="en-US" w:eastAsia="nl-BE"/>
        </w:rPr>
      </w:pPr>
      <w:r w:rsidRPr="00724834">
        <w:rPr>
          <w:rFonts w:ascii="Garamond" w:eastAsia="Times New Roman" w:hAnsi="Garamond" w:cs="Calibri"/>
          <w:b/>
          <w:bCs/>
          <w:lang w:val="en-US" w:eastAsia="nl-BE"/>
        </w:rPr>
        <w:lastRenderedPageBreak/>
        <w:t>Table A7. Binary logistic regression of preference attainment including groups for which no clear position was observed</w:t>
      </w:r>
    </w:p>
    <w:tbl>
      <w:tblPr>
        <w:tblW w:w="0" w:type="auto"/>
        <w:tblCellMar>
          <w:left w:w="70" w:type="dxa"/>
          <w:right w:w="70" w:type="dxa"/>
        </w:tblCellMar>
        <w:tblLook w:val="04A0" w:firstRow="1" w:lastRow="0" w:firstColumn="1" w:lastColumn="0" w:noHBand="0" w:noVBand="1"/>
      </w:tblPr>
      <w:tblGrid>
        <w:gridCol w:w="4334"/>
        <w:gridCol w:w="896"/>
        <w:gridCol w:w="418"/>
        <w:gridCol w:w="797"/>
        <w:gridCol w:w="896"/>
        <w:gridCol w:w="418"/>
        <w:gridCol w:w="797"/>
      </w:tblGrid>
      <w:tr w:rsidR="00724834" w:rsidRPr="00724834" w:rsidTr="00F77C0F">
        <w:trPr>
          <w:trHeight w:val="217"/>
        </w:trPr>
        <w:tc>
          <w:tcPr>
            <w:tcW w:w="0" w:type="auto"/>
            <w:tcBorders>
              <w:top w:val="single" w:sz="4" w:space="0" w:color="FFFFFF" w:themeColor="background1"/>
              <w:left w:val="nil"/>
              <w:bottom w:val="single" w:sz="4" w:space="0" w:color="auto"/>
              <w:right w:val="nil"/>
            </w:tcBorders>
            <w:shd w:val="clear" w:color="000000" w:fill="FFFFFF"/>
            <w:noWrap/>
          </w:tcPr>
          <w:p w:rsidR="007F1075" w:rsidRPr="00724834" w:rsidDel="0089728F" w:rsidRDefault="007F1075" w:rsidP="00F77C0F">
            <w:pPr>
              <w:spacing w:after="0" w:line="240" w:lineRule="auto"/>
              <w:rPr>
                <w:rFonts w:ascii="Garamond" w:eastAsia="Times New Roman" w:hAnsi="Garamond" w:cs="Calibri"/>
                <w:i/>
                <w:iCs/>
                <w:lang w:val="en-US"/>
              </w:rPr>
            </w:pPr>
          </w:p>
        </w:tc>
        <w:tc>
          <w:tcPr>
            <w:tcW w:w="0" w:type="auto"/>
            <w:gridSpan w:val="3"/>
            <w:tcBorders>
              <w:top w:val="single" w:sz="4" w:space="0" w:color="FFFFFF" w:themeColor="background1"/>
              <w:left w:val="nil"/>
              <w:bottom w:val="single" w:sz="4" w:space="0" w:color="auto"/>
              <w:right w:val="nil"/>
            </w:tcBorders>
            <w:shd w:val="clear" w:color="000000" w:fill="FFFFFF"/>
            <w:noWrap/>
            <w:vAlign w:val="bottom"/>
          </w:tcPr>
          <w:p w:rsidR="007F1075" w:rsidRPr="00724834" w:rsidRDefault="007F1075" w:rsidP="00F77C0F">
            <w:pPr>
              <w:spacing w:after="0" w:line="240" w:lineRule="auto"/>
              <w:jc w:val="center"/>
              <w:rPr>
                <w:rFonts w:ascii="Garamond" w:eastAsia="Times New Roman" w:hAnsi="Garamond" w:cs="Calibri"/>
                <w:i/>
                <w:iCs/>
                <w:lang w:val="en-US" w:eastAsia="nl-BE"/>
              </w:rPr>
            </w:pPr>
            <w:r w:rsidRPr="00724834">
              <w:rPr>
                <w:rFonts w:ascii="Garamond" w:eastAsia="Times New Roman" w:hAnsi="Garamond" w:cs="Calibri"/>
                <w:i/>
                <w:iCs/>
                <w:lang w:val="en-US" w:eastAsia="nl-BE"/>
              </w:rPr>
              <w:t>Model A5</w:t>
            </w:r>
          </w:p>
        </w:tc>
        <w:tc>
          <w:tcPr>
            <w:tcW w:w="0" w:type="auto"/>
            <w:gridSpan w:val="3"/>
            <w:tcBorders>
              <w:top w:val="single" w:sz="4" w:space="0" w:color="FFFFFF" w:themeColor="background1"/>
              <w:left w:val="nil"/>
              <w:bottom w:val="single" w:sz="4" w:space="0" w:color="auto"/>
              <w:right w:val="nil"/>
            </w:tcBorders>
            <w:shd w:val="clear" w:color="000000" w:fill="FFFFFF"/>
            <w:vAlign w:val="bottom"/>
          </w:tcPr>
          <w:p w:rsidR="007F1075" w:rsidRPr="00724834" w:rsidRDefault="007F1075" w:rsidP="00F77C0F">
            <w:pPr>
              <w:spacing w:after="0" w:line="240" w:lineRule="auto"/>
              <w:jc w:val="center"/>
              <w:rPr>
                <w:rFonts w:ascii="Garamond" w:eastAsia="Times New Roman" w:hAnsi="Garamond" w:cs="Calibri"/>
                <w:i/>
                <w:iCs/>
                <w:lang w:val="en-US" w:eastAsia="nl-BE"/>
              </w:rPr>
            </w:pPr>
            <w:r w:rsidRPr="00724834">
              <w:rPr>
                <w:rFonts w:ascii="Garamond" w:eastAsia="Times New Roman" w:hAnsi="Garamond" w:cs="Calibri"/>
                <w:i/>
                <w:iCs/>
                <w:lang w:val="en-US" w:eastAsia="nl-BE"/>
              </w:rPr>
              <w:t>Model A6</w:t>
            </w:r>
          </w:p>
        </w:tc>
      </w:tr>
      <w:tr w:rsidR="00724834" w:rsidRPr="00724834" w:rsidTr="00F77C0F">
        <w:trPr>
          <w:trHeight w:val="217"/>
        </w:trPr>
        <w:tc>
          <w:tcPr>
            <w:tcW w:w="0" w:type="auto"/>
            <w:tcBorders>
              <w:top w:val="double" w:sz="6" w:space="0" w:color="auto"/>
              <w:left w:val="nil"/>
              <w:bottom w:val="single" w:sz="4" w:space="0" w:color="auto"/>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i/>
                <w:iCs/>
                <w:lang w:val="en-US" w:eastAsia="nl-BE"/>
              </w:rPr>
            </w:pPr>
            <w:r w:rsidRPr="00724834" w:rsidDel="0089728F">
              <w:rPr>
                <w:rFonts w:ascii="Garamond" w:eastAsia="Times New Roman" w:hAnsi="Garamond" w:cs="Calibri"/>
                <w:i/>
                <w:iCs/>
                <w:lang w:val="en-US"/>
              </w:rPr>
              <w:t xml:space="preserve"> </w:t>
            </w:r>
            <w:r w:rsidRPr="00724834">
              <w:rPr>
                <w:rFonts w:ascii="Garamond" w:eastAsia="Times New Roman" w:hAnsi="Garamond" w:cs="Calibri"/>
                <w:i/>
                <w:iCs/>
                <w:lang w:val="en-US" w:eastAsia="nl-BE"/>
              </w:rPr>
              <w:t xml:space="preserve">Main effects </w:t>
            </w:r>
          </w:p>
        </w:tc>
        <w:tc>
          <w:tcPr>
            <w:tcW w:w="0" w:type="auto"/>
            <w:tcBorders>
              <w:top w:val="double" w:sz="6" w:space="0" w:color="auto"/>
              <w:left w:val="nil"/>
              <w:bottom w:val="single" w:sz="4" w:space="0" w:color="auto"/>
              <w:right w:val="nil"/>
            </w:tcBorders>
            <w:shd w:val="clear" w:color="000000" w:fill="FFFFFF"/>
            <w:noWrap/>
            <w:vAlign w:val="bottom"/>
            <w:hideMark/>
          </w:tcPr>
          <w:p w:rsidR="007F1075" w:rsidRPr="00724834" w:rsidRDefault="007F1075" w:rsidP="00F77C0F">
            <w:pPr>
              <w:spacing w:after="0" w:line="240" w:lineRule="auto"/>
              <w:jc w:val="right"/>
              <w:rPr>
                <w:rFonts w:ascii="Calibri" w:eastAsia="Times New Roman" w:hAnsi="Calibri" w:cs="Calibri"/>
                <w:i/>
                <w:iCs/>
                <w:lang w:val="en-US" w:eastAsia="nl-BE"/>
              </w:rPr>
            </w:pPr>
            <w:r w:rsidRPr="00724834">
              <w:rPr>
                <w:rFonts w:ascii="Calibri" w:eastAsia="Times New Roman" w:hAnsi="Calibri" w:cs="Calibri"/>
                <w:i/>
                <w:iCs/>
                <w:lang w:val="en-US" w:eastAsia="nl-BE"/>
              </w:rPr>
              <w:t>β</w:t>
            </w:r>
          </w:p>
        </w:tc>
        <w:tc>
          <w:tcPr>
            <w:tcW w:w="0" w:type="auto"/>
            <w:tcBorders>
              <w:top w:val="double" w:sz="6" w:space="0" w:color="auto"/>
              <w:left w:val="nil"/>
              <w:bottom w:val="single" w:sz="4" w:space="0" w:color="auto"/>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i/>
                <w:iCs/>
                <w:lang w:val="en-US" w:eastAsia="nl-BE"/>
              </w:rPr>
            </w:pPr>
            <w:r w:rsidRPr="00724834">
              <w:rPr>
                <w:rFonts w:ascii="Garamond" w:eastAsia="Times New Roman" w:hAnsi="Garamond" w:cs="Calibri"/>
                <w:i/>
                <w:iCs/>
                <w:lang w:val="en-US" w:eastAsia="nl-BE"/>
              </w:rPr>
              <w:t> </w:t>
            </w:r>
          </w:p>
        </w:tc>
        <w:tc>
          <w:tcPr>
            <w:tcW w:w="0" w:type="auto"/>
            <w:tcBorders>
              <w:top w:val="double" w:sz="6" w:space="0" w:color="auto"/>
              <w:left w:val="nil"/>
              <w:bottom w:val="single" w:sz="4" w:space="0" w:color="auto"/>
              <w:right w:val="nil"/>
            </w:tcBorders>
            <w:shd w:val="clear" w:color="000000" w:fill="FFFFFF"/>
            <w:noWrap/>
            <w:vAlign w:val="center"/>
            <w:hideMark/>
          </w:tcPr>
          <w:p w:rsidR="007F1075" w:rsidRPr="00724834" w:rsidRDefault="007F1075" w:rsidP="00F77C0F">
            <w:pPr>
              <w:spacing w:after="0" w:line="240" w:lineRule="auto"/>
              <w:rPr>
                <w:rFonts w:ascii="Garamond" w:eastAsia="Times New Roman" w:hAnsi="Garamond" w:cs="Calibri"/>
                <w:i/>
                <w:iCs/>
                <w:lang w:val="en-US" w:eastAsia="nl-BE"/>
              </w:rPr>
            </w:pPr>
            <w:r w:rsidRPr="00724834">
              <w:rPr>
                <w:rFonts w:ascii="Garamond" w:eastAsia="Times New Roman" w:hAnsi="Garamond" w:cs="Calibri"/>
                <w:i/>
                <w:iCs/>
                <w:lang w:val="en-US" w:eastAsia="nl-BE"/>
              </w:rPr>
              <w:t>S.E.</w:t>
            </w:r>
          </w:p>
        </w:tc>
        <w:tc>
          <w:tcPr>
            <w:tcW w:w="0" w:type="auto"/>
            <w:tcBorders>
              <w:top w:val="double" w:sz="6" w:space="0" w:color="auto"/>
              <w:left w:val="nil"/>
              <w:bottom w:val="single" w:sz="4" w:space="0" w:color="auto"/>
              <w:right w:val="nil"/>
            </w:tcBorders>
            <w:shd w:val="clear" w:color="000000" w:fill="FFFFFF"/>
            <w:vAlign w:val="bottom"/>
          </w:tcPr>
          <w:p w:rsidR="007F1075" w:rsidRPr="00724834" w:rsidRDefault="007F1075" w:rsidP="00F77C0F">
            <w:pPr>
              <w:spacing w:after="0" w:line="240" w:lineRule="auto"/>
              <w:jc w:val="right"/>
              <w:rPr>
                <w:rFonts w:ascii="Garamond" w:eastAsia="Times New Roman" w:hAnsi="Garamond" w:cs="Calibri"/>
                <w:i/>
                <w:iCs/>
                <w:lang w:val="en-US" w:eastAsia="nl-BE"/>
              </w:rPr>
            </w:pPr>
            <w:r w:rsidRPr="00724834">
              <w:rPr>
                <w:rFonts w:ascii="Calibri" w:eastAsia="Times New Roman" w:hAnsi="Calibri" w:cs="Calibri"/>
                <w:i/>
                <w:iCs/>
                <w:lang w:val="en-US" w:eastAsia="nl-BE"/>
              </w:rPr>
              <w:t xml:space="preserve"> β </w:t>
            </w:r>
          </w:p>
        </w:tc>
        <w:tc>
          <w:tcPr>
            <w:tcW w:w="0" w:type="auto"/>
            <w:tcBorders>
              <w:top w:val="double" w:sz="6" w:space="0" w:color="auto"/>
              <w:left w:val="nil"/>
              <w:bottom w:val="single" w:sz="4" w:space="0" w:color="auto"/>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i/>
                <w:iCs/>
                <w:lang w:val="en-US" w:eastAsia="nl-BE"/>
              </w:rPr>
            </w:pPr>
            <w:r w:rsidRPr="00724834">
              <w:rPr>
                <w:rFonts w:ascii="Garamond" w:eastAsia="Times New Roman" w:hAnsi="Garamond" w:cs="Calibri"/>
                <w:i/>
                <w:iCs/>
                <w:lang w:val="en-US" w:eastAsia="nl-BE"/>
              </w:rPr>
              <w:t> </w:t>
            </w:r>
          </w:p>
        </w:tc>
        <w:tc>
          <w:tcPr>
            <w:tcW w:w="0" w:type="auto"/>
            <w:tcBorders>
              <w:top w:val="double" w:sz="6" w:space="0" w:color="auto"/>
              <w:left w:val="nil"/>
              <w:bottom w:val="single" w:sz="4" w:space="0" w:color="auto"/>
              <w:right w:val="nil"/>
            </w:tcBorders>
            <w:shd w:val="clear" w:color="000000" w:fill="FFFFFF"/>
          </w:tcPr>
          <w:p w:rsidR="007F1075" w:rsidRPr="00724834" w:rsidRDefault="007F1075" w:rsidP="00F77C0F">
            <w:pPr>
              <w:spacing w:after="0" w:line="240" w:lineRule="auto"/>
              <w:rPr>
                <w:rFonts w:ascii="Garamond" w:eastAsia="Times New Roman" w:hAnsi="Garamond" w:cs="Calibri"/>
                <w:i/>
                <w:iCs/>
                <w:lang w:val="en-US" w:eastAsia="nl-BE"/>
              </w:rPr>
            </w:pPr>
            <w:r w:rsidRPr="00724834">
              <w:rPr>
                <w:rFonts w:ascii="Garamond" w:eastAsia="Times New Roman" w:hAnsi="Garamond" w:cs="Calibri"/>
                <w:i/>
                <w:iCs/>
                <w:lang w:val="en-US" w:eastAsia="nl-BE"/>
              </w:rPr>
              <w:t>S.E.</w:t>
            </w: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Intercept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-3.70</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(2.63)</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-3.25</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(2.81)</w:t>
            </w: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Financial resources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08"/>
        </w:trPr>
        <w:tc>
          <w:tcPr>
            <w:tcW w:w="0" w:type="auto"/>
            <w:tcBorders>
              <w:top w:val="nil"/>
              <w:left w:val="nil"/>
              <w:bottom w:val="nil"/>
              <w:right w:val="nil"/>
            </w:tcBorders>
            <w:shd w:val="clear" w:color="000000" w:fill="FFFFFF"/>
            <w:noWrap/>
          </w:tcPr>
          <w:p w:rsidR="007F1075" w:rsidRPr="00724834" w:rsidRDefault="007F1075" w:rsidP="00F77C0F">
            <w:pPr>
              <w:pStyle w:val="ListParagraph"/>
              <w:numPr>
                <w:ilvl w:val="0"/>
                <w:numId w:val="23"/>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High (more than 1 million)</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1.68</w:t>
            </w: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(0.84)</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-3.41</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(2.21)</w:t>
            </w:r>
          </w:p>
        </w:tc>
      </w:tr>
      <w:tr w:rsidR="00724834" w:rsidRPr="00724834" w:rsidTr="00F77C0F">
        <w:trPr>
          <w:trHeight w:val="208"/>
        </w:trPr>
        <w:tc>
          <w:tcPr>
            <w:tcW w:w="0" w:type="auto"/>
            <w:tcBorders>
              <w:top w:val="nil"/>
              <w:left w:val="nil"/>
              <w:bottom w:val="nil"/>
              <w:right w:val="nil"/>
            </w:tcBorders>
            <w:shd w:val="clear" w:color="000000" w:fill="FFFFFF"/>
            <w:noWrap/>
          </w:tcPr>
          <w:p w:rsidR="007F1075" w:rsidRPr="00724834" w:rsidRDefault="007F1075" w:rsidP="00F77C0F">
            <w:pPr>
              <w:pStyle w:val="ListParagraph"/>
              <w:numPr>
                <w:ilvl w:val="0"/>
                <w:numId w:val="23"/>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Middle (100,000 – 1 million)</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0.86</w:t>
            </w: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(0.97)</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-0.29</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(1.70)</w:t>
            </w:r>
          </w:p>
        </w:tc>
      </w:tr>
      <w:tr w:rsidR="00724834" w:rsidRPr="00724834" w:rsidTr="00F77C0F">
        <w:trPr>
          <w:trHeight w:val="208"/>
        </w:trPr>
        <w:tc>
          <w:tcPr>
            <w:tcW w:w="0" w:type="auto"/>
            <w:tcBorders>
              <w:top w:val="nil"/>
              <w:left w:val="nil"/>
              <w:bottom w:val="nil"/>
              <w:right w:val="nil"/>
            </w:tcBorders>
            <w:shd w:val="clear" w:color="000000" w:fill="FFFFFF"/>
            <w:noWrap/>
          </w:tcPr>
          <w:p w:rsidR="007F1075" w:rsidRPr="00724834" w:rsidRDefault="007F1075" w:rsidP="00F77C0F">
            <w:pPr>
              <w:pStyle w:val="ListParagraph"/>
              <w:numPr>
                <w:ilvl w:val="0"/>
                <w:numId w:val="23"/>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Low (up to 100,000) (ref.)</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Public congruence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0.30</w:t>
            </w: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(0.05)</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0.25</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(0.06)</w:t>
            </w: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Position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pStyle w:val="ListParagraph"/>
              <w:numPr>
                <w:ilvl w:val="0"/>
                <w:numId w:val="18"/>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Support policy change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-6.31</w:t>
            </w: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(2.56)</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-5.66</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(2.54)</w:t>
            </w: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pStyle w:val="ListParagraph"/>
              <w:numPr>
                <w:ilvl w:val="0"/>
                <w:numId w:val="18"/>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Oppose policy change (ref.)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Media access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-0.80</w:t>
            </w: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(1.28)</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-0.51</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(1.25)</w:t>
            </w: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Media salience (logged)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-3.10</w:t>
            </w: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(1.54)</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-2.68</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(1.72)</w:t>
            </w: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Level of mobilization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pStyle w:val="ListParagraph"/>
              <w:numPr>
                <w:ilvl w:val="0"/>
                <w:numId w:val="17"/>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International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0.15</w:t>
            </w:r>
          </w:p>
        </w:tc>
        <w:tc>
          <w:tcPr>
            <w:tcW w:w="0" w:type="auto"/>
            <w:tcBorders>
              <w:top w:val="nil"/>
              <w:left w:val="nil"/>
              <w:bottom w:val="nil"/>
              <w:right w:val="nil"/>
            </w:tcBorders>
            <w:shd w:val="clear" w:color="auto" w:fill="auto"/>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(1.19)</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0.19</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(1.11)</w:t>
            </w: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pStyle w:val="ListParagraph"/>
              <w:numPr>
                <w:ilvl w:val="0"/>
                <w:numId w:val="17"/>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EU-level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0.28</w:t>
            </w: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(1.48)</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0.15</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(1.56)</w:t>
            </w: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pStyle w:val="ListParagraph"/>
              <w:numPr>
                <w:ilvl w:val="0"/>
                <w:numId w:val="17"/>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National (ref.)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Group type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pStyle w:val="ListParagraph"/>
              <w:numPr>
                <w:ilvl w:val="0"/>
                <w:numId w:val="16"/>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Business encompassing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-2.49</w:t>
            </w: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sz w:val="20"/>
                <w:szCs w:val="20"/>
                <w:lang w:val="en-US" w:eastAsia="nl-BE"/>
              </w:rPr>
              <w:t>†</w:t>
            </w: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(1.51)</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-1.85</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(1.62)</w:t>
            </w: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pStyle w:val="ListParagraph"/>
              <w:numPr>
                <w:ilvl w:val="0"/>
                <w:numId w:val="16"/>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Business specific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0.43</w:t>
            </w: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(2.06)</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0.65</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(1.87)</w:t>
            </w: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pStyle w:val="ListParagraph"/>
              <w:numPr>
                <w:ilvl w:val="0"/>
                <w:numId w:val="16"/>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Firm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1.71</w:t>
            </w: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(1.94)</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1.72</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(1.79)</w:t>
            </w:r>
          </w:p>
        </w:tc>
      </w:tr>
      <w:tr w:rsidR="00724834" w:rsidRPr="00724834" w:rsidTr="00F77C0F">
        <w:trPr>
          <w:trHeight w:val="208"/>
        </w:trPr>
        <w:tc>
          <w:tcPr>
            <w:tcW w:w="0" w:type="auto"/>
            <w:tcBorders>
              <w:top w:val="nil"/>
              <w:left w:val="nil"/>
              <w:right w:val="nil"/>
            </w:tcBorders>
            <w:shd w:val="clear" w:color="000000" w:fill="FFFFFF"/>
            <w:noWrap/>
            <w:hideMark/>
          </w:tcPr>
          <w:p w:rsidR="007F1075" w:rsidRPr="00724834" w:rsidRDefault="007F1075" w:rsidP="00F77C0F">
            <w:pPr>
              <w:pStyle w:val="ListParagraph"/>
              <w:numPr>
                <w:ilvl w:val="0"/>
                <w:numId w:val="16"/>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Civil society (ref.) </w:t>
            </w:r>
          </w:p>
        </w:tc>
        <w:tc>
          <w:tcPr>
            <w:tcW w:w="0" w:type="auto"/>
            <w:tcBorders>
              <w:top w:val="nil"/>
              <w:left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08"/>
        </w:trPr>
        <w:tc>
          <w:tcPr>
            <w:tcW w:w="0" w:type="auto"/>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Mobilization density (logged)</w:t>
            </w:r>
          </w:p>
        </w:tc>
        <w:tc>
          <w:tcPr>
            <w:tcW w:w="0" w:type="auto"/>
            <w:tcBorders>
              <w:top w:val="nil"/>
              <w:left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-0.72</w:t>
            </w:r>
          </w:p>
        </w:tc>
        <w:tc>
          <w:tcPr>
            <w:tcW w:w="0" w:type="auto"/>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(1.49)</w:t>
            </w:r>
          </w:p>
        </w:tc>
        <w:tc>
          <w:tcPr>
            <w:tcW w:w="0" w:type="auto"/>
            <w:tcBorders>
              <w:top w:val="nil"/>
              <w:left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0.00</w:t>
            </w: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(1.46)</w:t>
            </w:r>
          </w:p>
        </w:tc>
      </w:tr>
      <w:tr w:rsidR="00724834" w:rsidRPr="00724834" w:rsidTr="00F77C0F">
        <w:trPr>
          <w:trHeight w:val="208"/>
        </w:trPr>
        <w:tc>
          <w:tcPr>
            <w:tcW w:w="0" w:type="auto"/>
            <w:tcBorders>
              <w:top w:val="nil"/>
              <w:left w:val="nil"/>
              <w:bottom w:val="single" w:sz="4" w:space="0" w:color="auto"/>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Coalition </w:t>
            </w:r>
          </w:p>
        </w:tc>
        <w:tc>
          <w:tcPr>
            <w:tcW w:w="0" w:type="auto"/>
            <w:tcBorders>
              <w:top w:val="nil"/>
              <w:left w:val="nil"/>
              <w:bottom w:val="single" w:sz="4" w:space="0" w:color="auto"/>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-1.69</w:t>
            </w:r>
          </w:p>
        </w:tc>
        <w:tc>
          <w:tcPr>
            <w:tcW w:w="0" w:type="auto"/>
            <w:tcBorders>
              <w:top w:val="nil"/>
              <w:left w:val="nil"/>
              <w:bottom w:val="single" w:sz="4" w:space="0" w:color="auto"/>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single" w:sz="4" w:space="0" w:color="auto"/>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(1.29)</w:t>
            </w:r>
          </w:p>
        </w:tc>
        <w:tc>
          <w:tcPr>
            <w:tcW w:w="0" w:type="auto"/>
            <w:tcBorders>
              <w:top w:val="nil"/>
              <w:left w:val="nil"/>
              <w:bottom w:val="single" w:sz="4" w:space="0" w:color="auto"/>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-1.65</w:t>
            </w:r>
          </w:p>
        </w:tc>
        <w:tc>
          <w:tcPr>
            <w:tcW w:w="0" w:type="auto"/>
            <w:tcBorders>
              <w:top w:val="nil"/>
              <w:left w:val="nil"/>
              <w:bottom w:val="single" w:sz="4" w:space="0" w:color="auto"/>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single" w:sz="4" w:space="0" w:color="auto"/>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(1.44)</w:t>
            </w:r>
          </w:p>
        </w:tc>
      </w:tr>
      <w:tr w:rsidR="00724834" w:rsidRPr="00724834" w:rsidTr="00F77C0F">
        <w:trPr>
          <w:trHeight w:val="208"/>
        </w:trPr>
        <w:tc>
          <w:tcPr>
            <w:tcW w:w="0" w:type="auto"/>
            <w:tcBorders>
              <w:top w:val="single" w:sz="4" w:space="0" w:color="auto"/>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i/>
                <w:iCs/>
                <w:lang w:val="en-US" w:eastAsia="nl-BE"/>
              </w:rPr>
            </w:pPr>
            <w:r w:rsidRPr="00724834">
              <w:rPr>
                <w:rFonts w:ascii="Garamond" w:eastAsia="Times New Roman" w:hAnsi="Garamond" w:cs="Calibri"/>
                <w:i/>
                <w:iCs/>
                <w:lang w:val="en-US" w:eastAsia="nl-BE"/>
              </w:rPr>
              <w:t>Interaction effects</w:t>
            </w:r>
          </w:p>
        </w:tc>
        <w:tc>
          <w:tcPr>
            <w:tcW w:w="0" w:type="auto"/>
            <w:tcBorders>
              <w:top w:val="single" w:sz="4" w:space="0" w:color="auto"/>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single" w:sz="4" w:space="0" w:color="auto"/>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single" w:sz="4" w:space="0" w:color="auto"/>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single" w:sz="4" w:space="0" w:color="auto"/>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single" w:sz="4" w:space="0" w:color="auto"/>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single" w:sz="4" w:space="0" w:color="auto"/>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08"/>
        </w:trPr>
        <w:tc>
          <w:tcPr>
            <w:tcW w:w="0" w:type="auto"/>
            <w:tcBorders>
              <w:top w:val="nil"/>
              <w:left w:val="nil"/>
              <w:right w:val="nil"/>
            </w:tcBorders>
            <w:shd w:val="clear" w:color="000000" w:fill="FFFFFF"/>
            <w:noWrap/>
          </w:tcPr>
          <w:p w:rsidR="007F1075" w:rsidRPr="00724834" w:rsidRDefault="007F1075" w:rsidP="00F77C0F">
            <w:pPr>
              <w:pStyle w:val="ListParagraph"/>
              <w:numPr>
                <w:ilvl w:val="0"/>
                <w:numId w:val="16"/>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High resources x congruence</w:t>
            </w:r>
          </w:p>
        </w:tc>
        <w:tc>
          <w:tcPr>
            <w:tcW w:w="0" w:type="auto"/>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noWrap/>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0.14</w:t>
            </w: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(0.07)</w:t>
            </w:r>
          </w:p>
        </w:tc>
      </w:tr>
      <w:tr w:rsidR="00724834" w:rsidRPr="00724834" w:rsidTr="00F77C0F">
        <w:trPr>
          <w:trHeight w:val="208"/>
        </w:trPr>
        <w:tc>
          <w:tcPr>
            <w:tcW w:w="0" w:type="auto"/>
            <w:tcBorders>
              <w:top w:val="nil"/>
              <w:left w:val="nil"/>
              <w:right w:val="nil"/>
            </w:tcBorders>
            <w:shd w:val="clear" w:color="000000" w:fill="FFFFFF"/>
            <w:noWrap/>
          </w:tcPr>
          <w:p w:rsidR="007F1075" w:rsidRPr="00724834" w:rsidRDefault="007F1075" w:rsidP="00F77C0F">
            <w:pPr>
              <w:pStyle w:val="ListParagraph"/>
              <w:numPr>
                <w:ilvl w:val="0"/>
                <w:numId w:val="16"/>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Medium resources x congruence</w:t>
            </w:r>
          </w:p>
        </w:tc>
        <w:tc>
          <w:tcPr>
            <w:tcW w:w="0" w:type="auto"/>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noWrap/>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0.02</w:t>
            </w: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(0.04)</w:t>
            </w:r>
          </w:p>
        </w:tc>
      </w:tr>
      <w:tr w:rsidR="00724834" w:rsidRPr="00724834" w:rsidTr="00F77C0F">
        <w:trPr>
          <w:trHeight w:val="208"/>
        </w:trPr>
        <w:tc>
          <w:tcPr>
            <w:tcW w:w="0" w:type="auto"/>
            <w:tcBorders>
              <w:top w:val="nil"/>
              <w:left w:val="nil"/>
              <w:bottom w:val="single" w:sz="4" w:space="0" w:color="auto"/>
              <w:right w:val="nil"/>
            </w:tcBorders>
            <w:shd w:val="clear" w:color="000000" w:fill="FFFFFF"/>
            <w:noWrap/>
          </w:tcPr>
          <w:p w:rsidR="007F1075" w:rsidRPr="00724834" w:rsidRDefault="007F1075" w:rsidP="00F77C0F">
            <w:pPr>
              <w:pStyle w:val="ListParagraph"/>
              <w:numPr>
                <w:ilvl w:val="0"/>
                <w:numId w:val="16"/>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Low resources x congruence (ref.)</w:t>
            </w:r>
          </w:p>
        </w:tc>
        <w:tc>
          <w:tcPr>
            <w:tcW w:w="0" w:type="auto"/>
            <w:tcBorders>
              <w:top w:val="nil"/>
              <w:left w:val="nil"/>
              <w:bottom w:val="single" w:sz="4" w:space="0" w:color="auto"/>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single" w:sz="4" w:space="0" w:color="auto"/>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single" w:sz="4" w:space="0" w:color="auto"/>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single" w:sz="4" w:space="0" w:color="auto"/>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single" w:sz="4" w:space="0" w:color="auto"/>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single" w:sz="4" w:space="0" w:color="auto"/>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08"/>
        </w:trPr>
        <w:tc>
          <w:tcPr>
            <w:tcW w:w="0" w:type="auto"/>
            <w:tcBorders>
              <w:top w:val="single" w:sz="4" w:space="0" w:color="auto"/>
              <w:left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b/>
                <w:bCs/>
                <w:lang w:val="en-US" w:eastAsia="nl-BE"/>
              </w:rPr>
            </w:pPr>
            <w:r w:rsidRPr="00724834">
              <w:rPr>
                <w:rFonts w:ascii="Garamond" w:eastAsia="Times New Roman" w:hAnsi="Garamond" w:cs="Calibri"/>
                <w:b/>
                <w:bCs/>
                <w:lang w:val="en-US" w:eastAsia="nl-BE"/>
              </w:rPr>
              <w:t xml:space="preserve"> </w:t>
            </w:r>
            <w:r w:rsidRPr="00724834">
              <w:rPr>
                <w:rFonts w:ascii="Garamond" w:eastAsia="Times New Roman" w:hAnsi="Garamond" w:cs="Calibri"/>
                <w:i/>
                <w:iCs/>
                <w:lang w:val="en-US" w:eastAsia="nl-BE"/>
              </w:rPr>
              <w:t>Model fit</w:t>
            </w:r>
            <w:r w:rsidRPr="00724834">
              <w:rPr>
                <w:rFonts w:ascii="Garamond" w:eastAsia="Times New Roman" w:hAnsi="Garamond" w:cs="Calibri"/>
                <w:b/>
                <w:bCs/>
                <w:lang w:val="en-US" w:eastAsia="nl-BE"/>
              </w:rPr>
              <w:t xml:space="preserve"> </w:t>
            </w:r>
          </w:p>
        </w:tc>
        <w:tc>
          <w:tcPr>
            <w:tcW w:w="0" w:type="auto"/>
            <w:tcBorders>
              <w:top w:val="single" w:sz="4" w:space="0" w:color="auto"/>
              <w:left w:val="nil"/>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w:t>
            </w:r>
          </w:p>
        </w:tc>
        <w:tc>
          <w:tcPr>
            <w:tcW w:w="0" w:type="auto"/>
            <w:tcBorders>
              <w:top w:val="single" w:sz="4" w:space="0" w:color="auto"/>
              <w:left w:val="nil"/>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w:t>
            </w:r>
          </w:p>
        </w:tc>
        <w:tc>
          <w:tcPr>
            <w:tcW w:w="0" w:type="auto"/>
            <w:tcBorders>
              <w:top w:val="single" w:sz="4" w:space="0" w:color="auto"/>
              <w:left w:val="nil"/>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w:t>
            </w:r>
          </w:p>
        </w:tc>
        <w:tc>
          <w:tcPr>
            <w:tcW w:w="0" w:type="auto"/>
            <w:tcBorders>
              <w:top w:val="single" w:sz="4" w:space="0" w:color="auto"/>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single" w:sz="4" w:space="0" w:color="auto"/>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single" w:sz="4" w:space="0" w:color="auto"/>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77"/>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N </w:t>
            </w:r>
          </w:p>
        </w:tc>
        <w:tc>
          <w:tcPr>
            <w:tcW w:w="0" w:type="auto"/>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157</w:t>
            </w:r>
          </w:p>
        </w:tc>
        <w:tc>
          <w:tcPr>
            <w:tcW w:w="0" w:type="auto"/>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w:t>
            </w:r>
          </w:p>
        </w:tc>
        <w:tc>
          <w:tcPr>
            <w:tcW w:w="0" w:type="auto"/>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157</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17"/>
        </w:trPr>
        <w:tc>
          <w:tcPr>
            <w:tcW w:w="0" w:type="auto"/>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Wald Chi 2</w:t>
            </w:r>
          </w:p>
        </w:tc>
        <w:tc>
          <w:tcPr>
            <w:tcW w:w="0" w:type="auto"/>
            <w:tcBorders>
              <w:top w:val="nil"/>
              <w:left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122.74</w:t>
            </w:r>
          </w:p>
        </w:tc>
        <w:tc>
          <w:tcPr>
            <w:tcW w:w="0" w:type="auto"/>
            <w:tcBorders>
              <w:top w:val="nil"/>
              <w:left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113.03</w:t>
            </w: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17"/>
        </w:trPr>
        <w:tc>
          <w:tcPr>
            <w:tcW w:w="0" w:type="auto"/>
            <w:tcBorders>
              <w:left w:val="nil"/>
              <w:bottom w:val="double" w:sz="6" w:space="0" w:color="auto"/>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Pseudo R2 </w:t>
            </w:r>
          </w:p>
        </w:tc>
        <w:tc>
          <w:tcPr>
            <w:tcW w:w="0" w:type="auto"/>
            <w:tcBorders>
              <w:left w:val="nil"/>
              <w:bottom w:val="double" w:sz="6" w:space="0" w:color="auto"/>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0.72</w:t>
            </w:r>
          </w:p>
        </w:tc>
        <w:tc>
          <w:tcPr>
            <w:tcW w:w="0" w:type="auto"/>
            <w:tcBorders>
              <w:left w:val="nil"/>
              <w:bottom w:val="double" w:sz="6" w:space="0" w:color="auto"/>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left w:val="nil"/>
              <w:bottom w:val="double" w:sz="6" w:space="0" w:color="auto"/>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left w:val="nil"/>
              <w:bottom w:val="double" w:sz="6" w:space="0" w:color="auto"/>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0.74</w:t>
            </w:r>
          </w:p>
        </w:tc>
        <w:tc>
          <w:tcPr>
            <w:tcW w:w="0" w:type="auto"/>
            <w:tcBorders>
              <w:left w:val="nil"/>
              <w:bottom w:val="double" w:sz="6" w:space="0" w:color="auto"/>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left w:val="nil"/>
              <w:bottom w:val="double" w:sz="6" w:space="0" w:color="auto"/>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17"/>
        </w:trPr>
        <w:tc>
          <w:tcPr>
            <w:tcW w:w="0" w:type="auto"/>
            <w:gridSpan w:val="7"/>
            <w:tcBorders>
              <w:top w:val="double" w:sz="6" w:space="0" w:color="auto"/>
              <w:left w:val="nil"/>
              <w:bottom w:val="nil"/>
              <w:right w:val="nil"/>
            </w:tcBorders>
            <w:shd w:val="clear" w:color="000000" w:fill="FFFFFF"/>
            <w:noWrap/>
            <w:vAlign w:val="bottom"/>
            <w:hideMark/>
          </w:tcPr>
          <w:p w:rsidR="007F1075" w:rsidRPr="00724834" w:rsidRDefault="007F1075" w:rsidP="00F77C0F">
            <w:pPr>
              <w:spacing w:after="0" w:line="240" w:lineRule="auto"/>
              <w:jc w:val="center"/>
              <w:rPr>
                <w:rFonts w:ascii="Garamond" w:eastAsia="Times New Roman" w:hAnsi="Garamond" w:cs="Calibri"/>
                <w:sz w:val="20"/>
                <w:szCs w:val="20"/>
                <w:lang w:val="en-US" w:eastAsia="nl-BE"/>
              </w:rPr>
            </w:pPr>
            <w:r w:rsidRPr="00724834">
              <w:rPr>
                <w:rFonts w:ascii="Garamond" w:eastAsia="Times New Roman" w:hAnsi="Garamond" w:cs="Calibri"/>
                <w:sz w:val="20"/>
                <w:szCs w:val="20"/>
                <w:lang w:val="en-US" w:eastAsia="nl-BE"/>
              </w:rPr>
              <w:t xml:space="preserve"> Robust standard errors in parentheses with significance levels indicated by † P&lt;0.10, *P&lt;0.05 and **P&lt;0.01 </w:t>
            </w:r>
          </w:p>
        </w:tc>
      </w:tr>
    </w:tbl>
    <w:p w:rsidR="007F1075" w:rsidRPr="00724834" w:rsidRDefault="007F1075" w:rsidP="007F1075">
      <w:pPr>
        <w:spacing w:line="240" w:lineRule="auto"/>
        <w:rPr>
          <w:rFonts w:ascii="Garamond" w:hAnsi="Garamond"/>
          <w:b/>
          <w:bCs/>
          <w:lang w:val="en-US" w:eastAsia="nl-BE"/>
        </w:rPr>
      </w:pPr>
    </w:p>
    <w:p w:rsidR="007F1075" w:rsidRPr="00724834" w:rsidRDefault="007F1075" w:rsidP="007F1075">
      <w:pPr>
        <w:keepNext/>
        <w:spacing w:line="240" w:lineRule="auto"/>
        <w:rPr>
          <w:rFonts w:ascii="Garamond" w:hAnsi="Garamond"/>
          <w:b/>
          <w:bCs/>
          <w:lang w:val="en-US" w:eastAsia="nl-BE"/>
        </w:rPr>
      </w:pPr>
      <w:r w:rsidRPr="00724834">
        <w:rPr>
          <w:rFonts w:ascii="Garamond" w:hAnsi="Garamond"/>
          <w:b/>
          <w:bCs/>
          <w:lang w:val="en-US" w:eastAsia="nl-BE"/>
        </w:rPr>
        <w:lastRenderedPageBreak/>
        <w:t>Figure A7. Marginal effects of budget invested in lobbying for different levels of congruence</w:t>
      </w:r>
    </w:p>
    <w:p w:rsidR="007F1075" w:rsidRPr="00724834" w:rsidRDefault="007F1075" w:rsidP="007F1075">
      <w:pPr>
        <w:jc w:val="center"/>
        <w:rPr>
          <w:lang w:val="en-US" w:eastAsia="nl-BE"/>
        </w:rPr>
      </w:pPr>
      <w:r w:rsidRPr="00724834">
        <w:rPr>
          <w:noProof/>
          <w:lang w:val="en-US"/>
        </w:rPr>
        <w:drawing>
          <wp:inline distT="0" distB="0" distL="0" distR="0" wp14:anchorId="1DE3600C" wp14:editId="36E86754">
            <wp:extent cx="3009900" cy="2232664"/>
            <wp:effectExtent l="0" t="0" r="0" b="0"/>
            <wp:docPr id="14" name="Picture 1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box and whisker chart&#10;&#10;Description automatically generated"/>
                    <pic:cNvPicPr/>
                  </pic:nvPicPr>
                  <pic:blipFill>
                    <a:blip r:embed="rId17"/>
                    <a:stretch>
                      <a:fillRect/>
                    </a:stretch>
                  </pic:blipFill>
                  <pic:spPr>
                    <a:xfrm>
                      <a:off x="0" y="0"/>
                      <a:ext cx="3028944" cy="2246790"/>
                    </a:xfrm>
                    <a:prstGeom prst="rect">
                      <a:avLst/>
                    </a:prstGeom>
                  </pic:spPr>
                </pic:pic>
              </a:graphicData>
            </a:graphic>
          </wp:inline>
        </w:drawing>
      </w:r>
    </w:p>
    <w:p w:rsidR="007F1075" w:rsidRPr="00724834" w:rsidRDefault="007F1075" w:rsidP="007F1075">
      <w:pPr>
        <w:jc w:val="both"/>
        <w:rPr>
          <w:lang w:val="en-US" w:eastAsia="nl-BE"/>
        </w:rPr>
      </w:pPr>
    </w:p>
    <w:p w:rsidR="007F1075" w:rsidRPr="00724834" w:rsidRDefault="007F1075" w:rsidP="007F1075">
      <w:pPr>
        <w:pStyle w:val="Heading1"/>
      </w:pPr>
      <w:bookmarkStart w:id="10" w:name="_Toc132807393"/>
      <w:r w:rsidRPr="00724834">
        <w:t>Robustness check including groups’ lobbying budgets over time</w:t>
      </w:r>
      <w:bookmarkEnd w:id="10"/>
    </w:p>
    <w:p w:rsidR="007F1075" w:rsidRPr="00724834" w:rsidRDefault="007F1075" w:rsidP="007F1075">
      <w:pPr>
        <w:spacing w:after="0" w:line="240" w:lineRule="auto"/>
        <w:jc w:val="center"/>
        <w:rPr>
          <w:rFonts w:ascii="Garamond" w:eastAsia="Times New Roman" w:hAnsi="Garamond" w:cs="Calibri"/>
          <w:lang w:val="en-US" w:eastAsia="nl-BE"/>
        </w:rPr>
      </w:pPr>
    </w:p>
    <w:p w:rsidR="007F1075" w:rsidRPr="00724834" w:rsidRDefault="007F1075" w:rsidP="007F1075">
      <w:pPr>
        <w:spacing w:line="480" w:lineRule="auto"/>
        <w:jc w:val="both"/>
        <w:rPr>
          <w:rFonts w:ascii="Garamond" w:hAnsi="Garamond"/>
          <w:lang w:val="en-US"/>
        </w:rPr>
      </w:pPr>
      <w:r w:rsidRPr="00724834">
        <w:rPr>
          <w:rFonts w:ascii="Garamond" w:hAnsi="Garamond"/>
          <w:lang w:val="en-US"/>
        </w:rPr>
        <w:t xml:space="preserve">As a final robustness check we consider changes in lobby groups’ annual EU lobbying budgets over time. We took the time-period between 2012-2017 as this nicely overlaps with the time period considered by the project and we could not retrieve reliable data earlier than 2012. The 2012 data could be retrieved from the website lobbyfacts.eu which archives historical data from the EU transparency register. Below, we estimate our models using changes in EU lobbying expenditures (2012-2017). These changes are operationalized based on our trichotomous coding explained earlier. If an interest organization moved a category up or down between 2012 and 2017 these were coded “2” and “0” respectively. If the budget stayed the same this was coded as “1”. The models below use such changes in lobby groups’ budgets as an alternative (dynamic) measure of economic resources. The models test whether an increased or decreased financial investment resulted in higher levels of preference attainment. The models indeed corroborate our earlier findings, both for the main effects of resources and congruence and for their interaction effects. </w:t>
      </w:r>
    </w:p>
    <w:p w:rsidR="007F1075" w:rsidRPr="00724834" w:rsidRDefault="007F1075" w:rsidP="007F1075">
      <w:pPr>
        <w:rPr>
          <w:rFonts w:ascii="Garamond" w:hAnsi="Garamond"/>
          <w:lang w:val="en-US"/>
        </w:rPr>
      </w:pPr>
      <w:r w:rsidRPr="00724834">
        <w:rPr>
          <w:rFonts w:ascii="Garamond" w:hAnsi="Garamond"/>
          <w:lang w:val="en-US"/>
        </w:rPr>
        <w:br w:type="page"/>
      </w:r>
    </w:p>
    <w:p w:rsidR="007F1075" w:rsidRPr="00724834" w:rsidRDefault="007F1075" w:rsidP="007F1075">
      <w:pPr>
        <w:spacing w:after="0" w:line="240" w:lineRule="auto"/>
        <w:rPr>
          <w:rFonts w:ascii="Garamond" w:eastAsia="Times New Roman" w:hAnsi="Garamond" w:cs="Calibri"/>
          <w:b/>
          <w:bCs/>
          <w:lang w:val="en-US" w:eastAsia="nl-BE"/>
        </w:rPr>
      </w:pPr>
      <w:r w:rsidRPr="00724834">
        <w:rPr>
          <w:rFonts w:ascii="Garamond" w:eastAsia="Times New Roman" w:hAnsi="Garamond" w:cs="Calibri"/>
          <w:b/>
          <w:bCs/>
          <w:lang w:val="en-US" w:eastAsia="nl-BE"/>
        </w:rPr>
        <w:lastRenderedPageBreak/>
        <w:t>Table A8. Binary logistic regression of preference attainment with lobbying budget invested over time</w:t>
      </w:r>
    </w:p>
    <w:p w:rsidR="007F1075" w:rsidRPr="00724834" w:rsidRDefault="007F1075" w:rsidP="007F1075">
      <w:pPr>
        <w:spacing w:after="0" w:line="240" w:lineRule="auto"/>
        <w:rPr>
          <w:rFonts w:ascii="Garamond" w:hAnsi="Garamond"/>
          <w:lang w:val="en-US"/>
        </w:rPr>
      </w:pPr>
    </w:p>
    <w:p w:rsidR="007F1075" w:rsidRPr="00724834" w:rsidRDefault="007F1075" w:rsidP="007F1075">
      <w:pPr>
        <w:spacing w:after="0" w:line="240" w:lineRule="auto"/>
        <w:rPr>
          <w:rFonts w:ascii="Garamond" w:hAnsi="Garamond"/>
          <w:lang w:val="en-US"/>
        </w:rPr>
      </w:pPr>
      <w:r w:rsidRPr="00724834">
        <w:rPr>
          <w:rFonts w:ascii="Garamond" w:hAnsi="Garamond"/>
          <w:lang w:val="en-US"/>
        </w:rPr>
        <w:tab/>
      </w:r>
      <w:r w:rsidRPr="00724834">
        <w:rPr>
          <w:rFonts w:ascii="Garamond" w:hAnsi="Garamond"/>
          <w:lang w:val="en-US"/>
        </w:rPr>
        <w:tab/>
      </w:r>
      <w:r w:rsidRPr="00724834">
        <w:rPr>
          <w:rFonts w:ascii="Garamond" w:hAnsi="Garamond"/>
          <w:lang w:val="en-US"/>
        </w:rPr>
        <w:tab/>
      </w:r>
      <w:r w:rsidRPr="00724834">
        <w:rPr>
          <w:rFonts w:ascii="Garamond" w:hAnsi="Garamond"/>
          <w:lang w:val="en-US"/>
        </w:rPr>
        <w:tab/>
      </w:r>
      <w:r w:rsidRPr="00724834">
        <w:rPr>
          <w:rFonts w:ascii="Garamond" w:hAnsi="Garamond"/>
          <w:lang w:val="en-US"/>
        </w:rPr>
        <w:tab/>
      </w:r>
      <w:r w:rsidRPr="00724834">
        <w:rPr>
          <w:rFonts w:ascii="Garamond" w:hAnsi="Garamond"/>
          <w:lang w:val="en-US"/>
        </w:rPr>
        <w:tab/>
      </w:r>
      <w:r w:rsidRPr="00724834">
        <w:rPr>
          <w:rFonts w:ascii="Garamond" w:hAnsi="Garamond"/>
          <w:lang w:val="en-US"/>
        </w:rPr>
        <w:tab/>
      </w:r>
      <w:r w:rsidRPr="00724834">
        <w:rPr>
          <w:rFonts w:ascii="Garamond" w:hAnsi="Garamond"/>
          <w:lang w:val="en-US"/>
        </w:rPr>
        <w:tab/>
      </w:r>
      <w:r w:rsidRPr="00724834">
        <w:rPr>
          <w:rFonts w:ascii="Garamond" w:hAnsi="Garamond"/>
          <w:lang w:val="en-US"/>
        </w:rPr>
        <w:tab/>
      </w:r>
    </w:p>
    <w:tbl>
      <w:tblPr>
        <w:tblW w:w="8557" w:type="dxa"/>
        <w:tblCellMar>
          <w:left w:w="70" w:type="dxa"/>
          <w:right w:w="70" w:type="dxa"/>
        </w:tblCellMar>
        <w:tblLook w:val="04A0" w:firstRow="1" w:lastRow="0" w:firstColumn="1" w:lastColumn="0" w:noHBand="0" w:noVBand="1"/>
      </w:tblPr>
      <w:tblGrid>
        <w:gridCol w:w="4725"/>
        <w:gridCol w:w="782"/>
        <w:gridCol w:w="383"/>
        <w:gridCol w:w="731"/>
        <w:gridCol w:w="822"/>
        <w:gridCol w:w="383"/>
        <w:gridCol w:w="731"/>
      </w:tblGrid>
      <w:tr w:rsidR="00724834" w:rsidRPr="00724834" w:rsidTr="00F77C0F">
        <w:trPr>
          <w:trHeight w:val="150"/>
        </w:trPr>
        <w:tc>
          <w:tcPr>
            <w:tcW w:w="0" w:type="auto"/>
            <w:tcBorders>
              <w:top w:val="single" w:sz="4" w:space="0" w:color="FFFFFF" w:themeColor="background1"/>
              <w:left w:val="nil"/>
              <w:bottom w:val="single" w:sz="4" w:space="0" w:color="auto"/>
              <w:right w:val="nil"/>
            </w:tcBorders>
            <w:shd w:val="clear" w:color="000000" w:fill="FFFFFF"/>
            <w:noWrap/>
          </w:tcPr>
          <w:p w:rsidR="007F1075" w:rsidRPr="00724834" w:rsidRDefault="007F1075" w:rsidP="00F77C0F">
            <w:pPr>
              <w:spacing w:after="0" w:line="240" w:lineRule="auto"/>
              <w:rPr>
                <w:rFonts w:ascii="Garamond" w:eastAsia="Times New Roman" w:hAnsi="Garamond" w:cs="Calibri"/>
                <w:i/>
                <w:iCs/>
                <w:lang w:val="en-US" w:eastAsia="nl-BE"/>
              </w:rPr>
            </w:pPr>
          </w:p>
        </w:tc>
        <w:tc>
          <w:tcPr>
            <w:tcW w:w="0" w:type="auto"/>
            <w:gridSpan w:val="3"/>
            <w:tcBorders>
              <w:top w:val="single" w:sz="4" w:space="0" w:color="FFFFFF" w:themeColor="background1"/>
              <w:left w:val="nil"/>
              <w:bottom w:val="single" w:sz="4" w:space="0" w:color="auto"/>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i/>
                <w:iCs/>
                <w:lang w:val="en-US" w:eastAsia="nl-BE"/>
              </w:rPr>
            </w:pPr>
            <w:r w:rsidRPr="00724834">
              <w:rPr>
                <w:rFonts w:ascii="Garamond" w:hAnsi="Garamond"/>
                <w:i/>
                <w:iCs/>
                <w:lang w:val="en-US"/>
              </w:rPr>
              <w:t>Model A7</w:t>
            </w:r>
          </w:p>
        </w:tc>
        <w:tc>
          <w:tcPr>
            <w:tcW w:w="0" w:type="auto"/>
            <w:gridSpan w:val="3"/>
            <w:tcBorders>
              <w:top w:val="single" w:sz="4" w:space="0" w:color="FFFFFF" w:themeColor="background1"/>
              <w:left w:val="nil"/>
              <w:bottom w:val="single" w:sz="4" w:space="0" w:color="auto"/>
              <w:right w:val="nil"/>
            </w:tcBorders>
            <w:shd w:val="clear" w:color="000000" w:fill="FFFFFF"/>
            <w:vAlign w:val="bottom"/>
          </w:tcPr>
          <w:p w:rsidR="007F1075" w:rsidRPr="00724834" w:rsidRDefault="007F1075" w:rsidP="00F77C0F">
            <w:pPr>
              <w:spacing w:after="0" w:line="240" w:lineRule="auto"/>
              <w:jc w:val="right"/>
              <w:rPr>
                <w:rFonts w:ascii="Garamond" w:eastAsia="Times New Roman" w:hAnsi="Garamond" w:cs="Calibri"/>
                <w:i/>
                <w:iCs/>
                <w:lang w:val="en-US" w:eastAsia="nl-BE"/>
              </w:rPr>
            </w:pPr>
            <w:r w:rsidRPr="00724834">
              <w:rPr>
                <w:rFonts w:ascii="Garamond" w:hAnsi="Garamond"/>
                <w:i/>
                <w:iCs/>
                <w:lang w:val="en-US"/>
              </w:rPr>
              <w:t>Model A8</w:t>
            </w:r>
          </w:p>
        </w:tc>
      </w:tr>
      <w:tr w:rsidR="00724834" w:rsidRPr="00724834" w:rsidTr="00F77C0F">
        <w:trPr>
          <w:trHeight w:val="150"/>
        </w:trPr>
        <w:tc>
          <w:tcPr>
            <w:tcW w:w="0" w:type="auto"/>
            <w:tcBorders>
              <w:top w:val="double" w:sz="6" w:space="0" w:color="auto"/>
              <w:left w:val="nil"/>
              <w:bottom w:val="single" w:sz="4" w:space="0" w:color="auto"/>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i/>
                <w:iCs/>
                <w:lang w:val="en-US" w:eastAsia="nl-BE"/>
              </w:rPr>
            </w:pPr>
            <w:r w:rsidRPr="00724834">
              <w:rPr>
                <w:rFonts w:ascii="Garamond" w:eastAsia="Times New Roman" w:hAnsi="Garamond" w:cs="Calibri"/>
                <w:i/>
                <w:iCs/>
                <w:lang w:val="en-US" w:eastAsia="nl-BE"/>
              </w:rPr>
              <w:t xml:space="preserve">Main effects </w:t>
            </w:r>
          </w:p>
        </w:tc>
        <w:tc>
          <w:tcPr>
            <w:tcW w:w="0" w:type="auto"/>
            <w:tcBorders>
              <w:top w:val="double" w:sz="6" w:space="0" w:color="auto"/>
              <w:left w:val="nil"/>
              <w:bottom w:val="single" w:sz="4" w:space="0" w:color="auto"/>
              <w:right w:val="nil"/>
            </w:tcBorders>
            <w:shd w:val="clear" w:color="000000" w:fill="FFFFFF"/>
            <w:noWrap/>
            <w:vAlign w:val="bottom"/>
            <w:hideMark/>
          </w:tcPr>
          <w:p w:rsidR="007F1075" w:rsidRPr="00724834" w:rsidRDefault="007F1075" w:rsidP="00F77C0F">
            <w:pPr>
              <w:spacing w:after="0" w:line="240" w:lineRule="auto"/>
              <w:jc w:val="right"/>
              <w:rPr>
                <w:rFonts w:ascii="Calibri" w:eastAsia="Times New Roman" w:hAnsi="Calibri" w:cs="Calibri"/>
                <w:i/>
                <w:iCs/>
                <w:lang w:val="en-US" w:eastAsia="nl-BE"/>
              </w:rPr>
            </w:pPr>
            <w:r w:rsidRPr="00724834">
              <w:rPr>
                <w:rFonts w:ascii="Calibri" w:eastAsia="Times New Roman" w:hAnsi="Calibri" w:cs="Calibri"/>
                <w:i/>
                <w:iCs/>
                <w:lang w:val="en-US" w:eastAsia="nl-BE"/>
              </w:rPr>
              <w:t xml:space="preserve"> β </w:t>
            </w:r>
          </w:p>
        </w:tc>
        <w:tc>
          <w:tcPr>
            <w:tcW w:w="0" w:type="auto"/>
            <w:tcBorders>
              <w:top w:val="double" w:sz="6" w:space="0" w:color="auto"/>
              <w:left w:val="nil"/>
              <w:bottom w:val="single" w:sz="4" w:space="0" w:color="auto"/>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i/>
                <w:iCs/>
                <w:lang w:val="en-US" w:eastAsia="nl-BE"/>
              </w:rPr>
            </w:pPr>
            <w:r w:rsidRPr="00724834">
              <w:rPr>
                <w:rFonts w:ascii="Garamond" w:eastAsia="Times New Roman" w:hAnsi="Garamond" w:cs="Calibri"/>
                <w:i/>
                <w:iCs/>
                <w:lang w:val="en-US" w:eastAsia="nl-BE"/>
              </w:rPr>
              <w:t> </w:t>
            </w:r>
          </w:p>
        </w:tc>
        <w:tc>
          <w:tcPr>
            <w:tcW w:w="0" w:type="auto"/>
            <w:tcBorders>
              <w:top w:val="double" w:sz="6" w:space="0" w:color="auto"/>
              <w:left w:val="nil"/>
              <w:bottom w:val="single" w:sz="4" w:space="0" w:color="auto"/>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Calibri"/>
                <w:i/>
                <w:iCs/>
                <w:lang w:val="en-US" w:eastAsia="nl-BE"/>
              </w:rPr>
            </w:pPr>
            <w:r w:rsidRPr="00724834">
              <w:rPr>
                <w:rFonts w:ascii="Garamond" w:eastAsia="Times New Roman" w:hAnsi="Garamond" w:cs="Calibri"/>
                <w:i/>
                <w:iCs/>
                <w:lang w:val="en-US" w:eastAsia="nl-BE"/>
              </w:rPr>
              <w:t>S.E.</w:t>
            </w:r>
          </w:p>
        </w:tc>
        <w:tc>
          <w:tcPr>
            <w:tcW w:w="0" w:type="auto"/>
            <w:tcBorders>
              <w:top w:val="double" w:sz="6" w:space="0" w:color="auto"/>
              <w:left w:val="nil"/>
              <w:bottom w:val="single" w:sz="4" w:space="0" w:color="auto"/>
              <w:right w:val="nil"/>
            </w:tcBorders>
            <w:shd w:val="clear" w:color="000000" w:fill="FFFFFF"/>
            <w:vAlign w:val="bottom"/>
          </w:tcPr>
          <w:p w:rsidR="007F1075" w:rsidRPr="00724834" w:rsidRDefault="007F1075" w:rsidP="00F77C0F">
            <w:pPr>
              <w:spacing w:after="0" w:line="240" w:lineRule="auto"/>
              <w:jc w:val="right"/>
              <w:rPr>
                <w:rFonts w:ascii="Garamond" w:eastAsia="Times New Roman" w:hAnsi="Garamond" w:cs="Calibri"/>
                <w:i/>
                <w:iCs/>
                <w:lang w:val="en-US" w:eastAsia="nl-BE"/>
              </w:rPr>
            </w:pPr>
            <w:r w:rsidRPr="00724834">
              <w:rPr>
                <w:rFonts w:ascii="Calibri" w:eastAsia="Times New Roman" w:hAnsi="Calibri" w:cs="Calibri"/>
                <w:i/>
                <w:iCs/>
                <w:lang w:val="en-US" w:eastAsia="nl-BE"/>
              </w:rPr>
              <w:t xml:space="preserve"> β </w:t>
            </w:r>
          </w:p>
        </w:tc>
        <w:tc>
          <w:tcPr>
            <w:tcW w:w="0" w:type="auto"/>
            <w:tcBorders>
              <w:top w:val="double" w:sz="6" w:space="0" w:color="auto"/>
              <w:left w:val="nil"/>
              <w:bottom w:val="single" w:sz="4" w:space="0" w:color="auto"/>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i/>
                <w:iCs/>
                <w:lang w:val="en-US" w:eastAsia="nl-BE"/>
              </w:rPr>
            </w:pPr>
            <w:r w:rsidRPr="00724834">
              <w:rPr>
                <w:rFonts w:ascii="Garamond" w:eastAsia="Times New Roman" w:hAnsi="Garamond" w:cs="Calibri"/>
                <w:i/>
                <w:iCs/>
                <w:lang w:val="en-US" w:eastAsia="nl-BE"/>
              </w:rPr>
              <w:t> </w:t>
            </w:r>
          </w:p>
        </w:tc>
        <w:tc>
          <w:tcPr>
            <w:tcW w:w="0" w:type="auto"/>
            <w:tcBorders>
              <w:top w:val="double" w:sz="6" w:space="0" w:color="auto"/>
              <w:left w:val="nil"/>
              <w:bottom w:val="single" w:sz="4" w:space="0" w:color="auto"/>
              <w:right w:val="nil"/>
            </w:tcBorders>
            <w:shd w:val="clear" w:color="000000" w:fill="FFFFFF"/>
            <w:vAlign w:val="bottom"/>
          </w:tcPr>
          <w:p w:rsidR="007F1075" w:rsidRPr="00724834" w:rsidRDefault="007F1075" w:rsidP="00F77C0F">
            <w:pPr>
              <w:spacing w:after="0" w:line="240" w:lineRule="auto"/>
              <w:rPr>
                <w:rFonts w:ascii="Garamond" w:eastAsia="Times New Roman" w:hAnsi="Garamond" w:cs="Calibri"/>
                <w:i/>
                <w:iCs/>
                <w:lang w:val="en-US" w:eastAsia="nl-BE"/>
              </w:rPr>
            </w:pPr>
            <w:r w:rsidRPr="00724834">
              <w:rPr>
                <w:rFonts w:ascii="Garamond" w:eastAsia="Times New Roman" w:hAnsi="Garamond" w:cs="Calibri"/>
                <w:i/>
                <w:iCs/>
                <w:lang w:val="en-US" w:eastAsia="nl-BE"/>
              </w:rPr>
              <w:t>S.E.</w:t>
            </w:r>
          </w:p>
        </w:tc>
      </w:tr>
      <w:tr w:rsidR="00724834" w:rsidRPr="00724834" w:rsidTr="00F77C0F">
        <w:trPr>
          <w:trHeight w:val="144"/>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Intercept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-1.22</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(2.65)</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7.67</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sz w:val="20"/>
                <w:szCs w:val="20"/>
                <w:lang w:val="en-US" w:eastAsia="nl-BE"/>
              </w:rPr>
              <w:t>†</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(4.24)</w:t>
            </w:r>
          </w:p>
        </w:tc>
      </w:tr>
      <w:tr w:rsidR="00724834" w:rsidRPr="00724834" w:rsidTr="00F77C0F">
        <w:trPr>
          <w:trHeight w:val="144"/>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Financial resources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144"/>
        </w:trPr>
        <w:tc>
          <w:tcPr>
            <w:tcW w:w="0" w:type="auto"/>
            <w:tcBorders>
              <w:top w:val="nil"/>
              <w:left w:val="nil"/>
              <w:bottom w:val="nil"/>
              <w:right w:val="nil"/>
            </w:tcBorders>
            <w:shd w:val="clear" w:color="000000" w:fill="FFFFFF"/>
            <w:noWrap/>
          </w:tcPr>
          <w:p w:rsidR="007F1075" w:rsidRPr="00724834" w:rsidRDefault="007F1075" w:rsidP="00F77C0F">
            <w:pPr>
              <w:pStyle w:val="ListParagraph"/>
              <w:numPr>
                <w:ilvl w:val="0"/>
                <w:numId w:val="23"/>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Increased investment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4.85</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(1.86)</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-43.55</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(5.43)</w:t>
            </w:r>
          </w:p>
        </w:tc>
      </w:tr>
      <w:tr w:rsidR="00724834" w:rsidRPr="00724834" w:rsidTr="00F77C0F">
        <w:trPr>
          <w:trHeight w:val="144"/>
        </w:trPr>
        <w:tc>
          <w:tcPr>
            <w:tcW w:w="0" w:type="auto"/>
            <w:tcBorders>
              <w:top w:val="nil"/>
              <w:left w:val="nil"/>
              <w:bottom w:val="nil"/>
              <w:right w:val="nil"/>
            </w:tcBorders>
            <w:shd w:val="clear" w:color="000000" w:fill="FFFFFF"/>
            <w:noWrap/>
          </w:tcPr>
          <w:p w:rsidR="007F1075" w:rsidRPr="00724834" w:rsidRDefault="007F1075" w:rsidP="00F77C0F">
            <w:pPr>
              <w:pStyle w:val="ListParagraph"/>
              <w:numPr>
                <w:ilvl w:val="0"/>
                <w:numId w:val="23"/>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Stabilized investment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2.64</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sz w:val="20"/>
                <w:szCs w:val="20"/>
                <w:lang w:val="en-US" w:eastAsia="nl-BE"/>
              </w:rPr>
              <w:t>†</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(1.47)</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-8.63</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sz w:val="20"/>
                <w:szCs w:val="20"/>
                <w:lang w:val="en-US" w:eastAsia="nl-BE"/>
              </w:rPr>
              <w:t>†</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(4.49)</w:t>
            </w:r>
          </w:p>
        </w:tc>
      </w:tr>
      <w:tr w:rsidR="00724834" w:rsidRPr="00724834" w:rsidTr="00F77C0F">
        <w:trPr>
          <w:trHeight w:val="144"/>
        </w:trPr>
        <w:tc>
          <w:tcPr>
            <w:tcW w:w="0" w:type="auto"/>
            <w:tcBorders>
              <w:top w:val="nil"/>
              <w:left w:val="nil"/>
              <w:bottom w:val="nil"/>
              <w:right w:val="nil"/>
            </w:tcBorders>
            <w:shd w:val="clear" w:color="000000" w:fill="FFFFFF"/>
            <w:noWrap/>
          </w:tcPr>
          <w:p w:rsidR="007F1075" w:rsidRPr="00724834" w:rsidRDefault="007F1075" w:rsidP="00F77C0F">
            <w:pPr>
              <w:pStyle w:val="ListParagraph"/>
              <w:numPr>
                <w:ilvl w:val="0"/>
                <w:numId w:val="23"/>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Decreased investment (ref.)</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144"/>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Public congruence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0.57</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(0.17)</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0.34</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sz w:val="20"/>
                <w:szCs w:val="20"/>
                <w:lang w:val="en-US" w:eastAsia="nl-BE"/>
              </w:rPr>
              <w:t>†</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(0.18)</w:t>
            </w:r>
          </w:p>
        </w:tc>
      </w:tr>
      <w:tr w:rsidR="00724834" w:rsidRPr="00724834" w:rsidTr="00F77C0F">
        <w:trPr>
          <w:trHeight w:val="144"/>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Position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144"/>
        </w:trPr>
        <w:tc>
          <w:tcPr>
            <w:tcW w:w="0" w:type="auto"/>
            <w:tcBorders>
              <w:top w:val="nil"/>
              <w:left w:val="nil"/>
              <w:bottom w:val="nil"/>
              <w:right w:val="nil"/>
            </w:tcBorders>
            <w:shd w:val="clear" w:color="000000" w:fill="FFFFFF"/>
            <w:noWrap/>
            <w:hideMark/>
          </w:tcPr>
          <w:p w:rsidR="007F1075" w:rsidRPr="00724834" w:rsidRDefault="007F1075" w:rsidP="00F77C0F">
            <w:pPr>
              <w:pStyle w:val="ListParagraph"/>
              <w:numPr>
                <w:ilvl w:val="0"/>
                <w:numId w:val="18"/>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Support policy change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-19.53</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(7.38)</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-18.14</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(8.73)</w:t>
            </w:r>
          </w:p>
        </w:tc>
      </w:tr>
      <w:tr w:rsidR="00724834" w:rsidRPr="00724834" w:rsidTr="00F77C0F">
        <w:trPr>
          <w:trHeight w:val="144"/>
        </w:trPr>
        <w:tc>
          <w:tcPr>
            <w:tcW w:w="0" w:type="auto"/>
            <w:tcBorders>
              <w:top w:val="nil"/>
              <w:left w:val="nil"/>
              <w:bottom w:val="nil"/>
              <w:right w:val="nil"/>
            </w:tcBorders>
            <w:shd w:val="clear" w:color="000000" w:fill="FFFFFF"/>
            <w:noWrap/>
            <w:hideMark/>
          </w:tcPr>
          <w:p w:rsidR="007F1075" w:rsidRPr="00724834" w:rsidRDefault="007F1075" w:rsidP="00F77C0F">
            <w:pPr>
              <w:pStyle w:val="ListParagraph"/>
              <w:numPr>
                <w:ilvl w:val="0"/>
                <w:numId w:val="18"/>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Oppose policy change (ref.)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144"/>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Media access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-2.35</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(1.55)</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-1.86</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(1.75)</w:t>
            </w:r>
          </w:p>
        </w:tc>
      </w:tr>
      <w:tr w:rsidR="00724834" w:rsidRPr="00724834" w:rsidTr="00F77C0F">
        <w:trPr>
          <w:trHeight w:val="144"/>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Media salience (logged)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1.21</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(2.30)</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4.35</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(3.84)</w:t>
            </w:r>
          </w:p>
        </w:tc>
      </w:tr>
      <w:tr w:rsidR="00724834" w:rsidRPr="00724834" w:rsidTr="00F77C0F">
        <w:trPr>
          <w:trHeight w:val="144"/>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Level of mobilization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144"/>
        </w:trPr>
        <w:tc>
          <w:tcPr>
            <w:tcW w:w="0" w:type="auto"/>
            <w:tcBorders>
              <w:top w:val="nil"/>
              <w:left w:val="nil"/>
              <w:bottom w:val="nil"/>
              <w:right w:val="nil"/>
            </w:tcBorders>
            <w:shd w:val="clear" w:color="000000" w:fill="FFFFFF"/>
            <w:noWrap/>
            <w:hideMark/>
          </w:tcPr>
          <w:p w:rsidR="007F1075" w:rsidRPr="00724834" w:rsidRDefault="007F1075" w:rsidP="00F77C0F">
            <w:pPr>
              <w:pStyle w:val="ListParagraph"/>
              <w:numPr>
                <w:ilvl w:val="0"/>
                <w:numId w:val="17"/>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International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-1.49</w:t>
            </w:r>
          </w:p>
        </w:tc>
        <w:tc>
          <w:tcPr>
            <w:tcW w:w="0" w:type="auto"/>
            <w:tcBorders>
              <w:top w:val="nil"/>
              <w:left w:val="nil"/>
              <w:bottom w:val="nil"/>
              <w:right w:val="nil"/>
            </w:tcBorders>
            <w:shd w:val="clear" w:color="auto" w:fill="auto"/>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(2.74)</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-2.08</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(2.50)</w:t>
            </w:r>
          </w:p>
        </w:tc>
      </w:tr>
      <w:tr w:rsidR="00724834" w:rsidRPr="00724834" w:rsidTr="00F77C0F">
        <w:trPr>
          <w:trHeight w:val="144"/>
        </w:trPr>
        <w:tc>
          <w:tcPr>
            <w:tcW w:w="0" w:type="auto"/>
            <w:tcBorders>
              <w:top w:val="nil"/>
              <w:left w:val="nil"/>
              <w:bottom w:val="nil"/>
              <w:right w:val="nil"/>
            </w:tcBorders>
            <w:shd w:val="clear" w:color="000000" w:fill="FFFFFF"/>
            <w:noWrap/>
            <w:hideMark/>
          </w:tcPr>
          <w:p w:rsidR="007F1075" w:rsidRPr="00724834" w:rsidRDefault="007F1075" w:rsidP="00F77C0F">
            <w:pPr>
              <w:pStyle w:val="ListParagraph"/>
              <w:numPr>
                <w:ilvl w:val="0"/>
                <w:numId w:val="17"/>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EU-level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-1.82</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(2.76)</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-1.62</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(2.75)</w:t>
            </w:r>
          </w:p>
        </w:tc>
      </w:tr>
      <w:tr w:rsidR="00724834" w:rsidRPr="00724834" w:rsidTr="00F77C0F">
        <w:trPr>
          <w:trHeight w:val="144"/>
        </w:trPr>
        <w:tc>
          <w:tcPr>
            <w:tcW w:w="0" w:type="auto"/>
            <w:tcBorders>
              <w:top w:val="nil"/>
              <w:left w:val="nil"/>
              <w:bottom w:val="nil"/>
              <w:right w:val="nil"/>
            </w:tcBorders>
            <w:shd w:val="clear" w:color="000000" w:fill="FFFFFF"/>
            <w:noWrap/>
            <w:hideMark/>
          </w:tcPr>
          <w:p w:rsidR="007F1075" w:rsidRPr="00724834" w:rsidRDefault="007F1075" w:rsidP="00F77C0F">
            <w:pPr>
              <w:pStyle w:val="ListParagraph"/>
              <w:numPr>
                <w:ilvl w:val="0"/>
                <w:numId w:val="17"/>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National (ref.)</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144"/>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Group type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144"/>
        </w:trPr>
        <w:tc>
          <w:tcPr>
            <w:tcW w:w="0" w:type="auto"/>
            <w:tcBorders>
              <w:top w:val="nil"/>
              <w:left w:val="nil"/>
              <w:bottom w:val="nil"/>
              <w:right w:val="nil"/>
            </w:tcBorders>
            <w:shd w:val="clear" w:color="000000" w:fill="FFFFFF"/>
            <w:noWrap/>
            <w:hideMark/>
          </w:tcPr>
          <w:p w:rsidR="007F1075" w:rsidRPr="00724834" w:rsidRDefault="007F1075" w:rsidP="00F77C0F">
            <w:pPr>
              <w:pStyle w:val="ListParagraph"/>
              <w:numPr>
                <w:ilvl w:val="0"/>
                <w:numId w:val="16"/>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Business encompassing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-11.56</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(4.49)</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-11.60</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(5.26)</w:t>
            </w:r>
          </w:p>
        </w:tc>
      </w:tr>
      <w:tr w:rsidR="00724834" w:rsidRPr="00724834" w:rsidTr="00F77C0F">
        <w:trPr>
          <w:trHeight w:val="144"/>
        </w:trPr>
        <w:tc>
          <w:tcPr>
            <w:tcW w:w="0" w:type="auto"/>
            <w:tcBorders>
              <w:top w:val="nil"/>
              <w:left w:val="nil"/>
              <w:bottom w:val="nil"/>
              <w:right w:val="nil"/>
            </w:tcBorders>
            <w:shd w:val="clear" w:color="000000" w:fill="FFFFFF"/>
            <w:noWrap/>
            <w:hideMark/>
          </w:tcPr>
          <w:p w:rsidR="007F1075" w:rsidRPr="00724834" w:rsidRDefault="007F1075" w:rsidP="00F77C0F">
            <w:pPr>
              <w:pStyle w:val="ListParagraph"/>
              <w:numPr>
                <w:ilvl w:val="0"/>
                <w:numId w:val="16"/>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Business specific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-6.42</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sz w:val="20"/>
                <w:szCs w:val="20"/>
                <w:lang w:val="en-US" w:eastAsia="nl-BE"/>
              </w:rPr>
              <w:t>†</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(3.32)</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-8.16</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sz w:val="20"/>
                <w:szCs w:val="20"/>
                <w:lang w:val="en-US" w:eastAsia="nl-BE"/>
              </w:rPr>
              <w:t>†</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(4.91)</w:t>
            </w:r>
          </w:p>
        </w:tc>
      </w:tr>
      <w:tr w:rsidR="00724834" w:rsidRPr="00724834" w:rsidTr="00F77C0F">
        <w:trPr>
          <w:trHeight w:val="144"/>
        </w:trPr>
        <w:tc>
          <w:tcPr>
            <w:tcW w:w="0" w:type="auto"/>
            <w:tcBorders>
              <w:top w:val="nil"/>
              <w:left w:val="nil"/>
              <w:bottom w:val="nil"/>
              <w:right w:val="nil"/>
            </w:tcBorders>
            <w:shd w:val="clear" w:color="000000" w:fill="FFFFFF"/>
            <w:noWrap/>
            <w:hideMark/>
          </w:tcPr>
          <w:p w:rsidR="007F1075" w:rsidRPr="00724834" w:rsidRDefault="007F1075" w:rsidP="00F77C0F">
            <w:pPr>
              <w:pStyle w:val="ListParagraph"/>
              <w:numPr>
                <w:ilvl w:val="0"/>
                <w:numId w:val="16"/>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Firm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-7.91</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(3.57)</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-7.88</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(3.94)</w:t>
            </w:r>
          </w:p>
        </w:tc>
      </w:tr>
      <w:tr w:rsidR="00724834" w:rsidRPr="00724834" w:rsidTr="00F77C0F">
        <w:trPr>
          <w:trHeight w:val="144"/>
        </w:trPr>
        <w:tc>
          <w:tcPr>
            <w:tcW w:w="0" w:type="auto"/>
            <w:tcBorders>
              <w:top w:val="nil"/>
              <w:left w:val="nil"/>
              <w:right w:val="nil"/>
            </w:tcBorders>
            <w:shd w:val="clear" w:color="000000" w:fill="FFFFFF"/>
            <w:noWrap/>
            <w:hideMark/>
          </w:tcPr>
          <w:p w:rsidR="007F1075" w:rsidRPr="00724834" w:rsidRDefault="007F1075" w:rsidP="00F77C0F">
            <w:pPr>
              <w:pStyle w:val="ListParagraph"/>
              <w:numPr>
                <w:ilvl w:val="0"/>
                <w:numId w:val="16"/>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Civil society (ref.) </w:t>
            </w:r>
          </w:p>
        </w:tc>
        <w:tc>
          <w:tcPr>
            <w:tcW w:w="0" w:type="auto"/>
            <w:tcBorders>
              <w:top w:val="nil"/>
              <w:left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144"/>
        </w:trPr>
        <w:tc>
          <w:tcPr>
            <w:tcW w:w="0" w:type="auto"/>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Mobilization density (logged)</w:t>
            </w:r>
          </w:p>
        </w:tc>
        <w:tc>
          <w:tcPr>
            <w:tcW w:w="0" w:type="auto"/>
            <w:tcBorders>
              <w:top w:val="nil"/>
              <w:left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-2.25</w:t>
            </w:r>
          </w:p>
        </w:tc>
        <w:tc>
          <w:tcPr>
            <w:tcW w:w="0" w:type="auto"/>
            <w:tcBorders>
              <w:top w:val="nil"/>
              <w:left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sz w:val="20"/>
                <w:szCs w:val="20"/>
                <w:lang w:val="en-US" w:eastAsia="nl-BE"/>
              </w:rPr>
              <w:t>†</w:t>
            </w:r>
          </w:p>
        </w:tc>
        <w:tc>
          <w:tcPr>
            <w:tcW w:w="0" w:type="auto"/>
            <w:tcBorders>
              <w:top w:val="nil"/>
              <w:left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(1.20)</w:t>
            </w:r>
          </w:p>
        </w:tc>
        <w:tc>
          <w:tcPr>
            <w:tcW w:w="0" w:type="auto"/>
            <w:tcBorders>
              <w:top w:val="nil"/>
              <w:left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-2.82</w:t>
            </w:r>
          </w:p>
        </w:tc>
        <w:tc>
          <w:tcPr>
            <w:tcW w:w="0" w:type="auto"/>
            <w:tcBorders>
              <w:top w:val="nil"/>
              <w:left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(1.75)</w:t>
            </w:r>
          </w:p>
        </w:tc>
      </w:tr>
      <w:tr w:rsidR="00724834" w:rsidRPr="00724834" w:rsidTr="00F77C0F">
        <w:trPr>
          <w:trHeight w:val="144"/>
        </w:trPr>
        <w:tc>
          <w:tcPr>
            <w:tcW w:w="0" w:type="auto"/>
            <w:tcBorders>
              <w:top w:val="nil"/>
              <w:left w:val="nil"/>
              <w:bottom w:val="single" w:sz="4" w:space="0" w:color="auto"/>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Coalition </w:t>
            </w:r>
          </w:p>
        </w:tc>
        <w:tc>
          <w:tcPr>
            <w:tcW w:w="0" w:type="auto"/>
            <w:tcBorders>
              <w:top w:val="nil"/>
              <w:left w:val="nil"/>
              <w:bottom w:val="single" w:sz="4" w:space="0" w:color="auto"/>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-5.14</w:t>
            </w:r>
          </w:p>
        </w:tc>
        <w:tc>
          <w:tcPr>
            <w:tcW w:w="0" w:type="auto"/>
            <w:tcBorders>
              <w:top w:val="nil"/>
              <w:left w:val="nil"/>
              <w:bottom w:val="single" w:sz="4" w:space="0" w:color="auto"/>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single" w:sz="4" w:space="0" w:color="auto"/>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(1.47)</w:t>
            </w:r>
          </w:p>
        </w:tc>
        <w:tc>
          <w:tcPr>
            <w:tcW w:w="0" w:type="auto"/>
            <w:tcBorders>
              <w:top w:val="nil"/>
              <w:left w:val="nil"/>
              <w:bottom w:val="single" w:sz="4" w:space="0" w:color="auto"/>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-5.61</w:t>
            </w:r>
          </w:p>
        </w:tc>
        <w:tc>
          <w:tcPr>
            <w:tcW w:w="0" w:type="auto"/>
            <w:tcBorders>
              <w:top w:val="nil"/>
              <w:left w:val="nil"/>
              <w:bottom w:val="single" w:sz="4" w:space="0" w:color="auto"/>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single" w:sz="4" w:space="0" w:color="auto"/>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(0.08)</w:t>
            </w:r>
          </w:p>
        </w:tc>
      </w:tr>
      <w:tr w:rsidR="00724834" w:rsidRPr="00724834" w:rsidTr="00F77C0F">
        <w:trPr>
          <w:trHeight w:val="144"/>
        </w:trPr>
        <w:tc>
          <w:tcPr>
            <w:tcW w:w="0" w:type="auto"/>
            <w:tcBorders>
              <w:top w:val="single" w:sz="4" w:space="0" w:color="auto"/>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i/>
                <w:iCs/>
                <w:lang w:val="en-US" w:eastAsia="nl-BE"/>
              </w:rPr>
            </w:pPr>
            <w:r w:rsidRPr="00724834">
              <w:rPr>
                <w:rFonts w:ascii="Garamond" w:eastAsia="Times New Roman" w:hAnsi="Garamond" w:cs="Calibri"/>
                <w:i/>
                <w:iCs/>
                <w:lang w:val="en-US" w:eastAsia="nl-BE"/>
              </w:rPr>
              <w:t>Interaction effects</w:t>
            </w:r>
          </w:p>
        </w:tc>
        <w:tc>
          <w:tcPr>
            <w:tcW w:w="0" w:type="auto"/>
            <w:tcBorders>
              <w:top w:val="single" w:sz="4" w:space="0" w:color="auto"/>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single" w:sz="4" w:space="0" w:color="auto"/>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single" w:sz="4" w:space="0" w:color="auto"/>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single" w:sz="4" w:space="0" w:color="auto"/>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single" w:sz="4" w:space="0" w:color="auto"/>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single" w:sz="4" w:space="0" w:color="auto"/>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144"/>
        </w:trPr>
        <w:tc>
          <w:tcPr>
            <w:tcW w:w="0" w:type="auto"/>
            <w:tcBorders>
              <w:top w:val="nil"/>
              <w:left w:val="nil"/>
              <w:right w:val="nil"/>
            </w:tcBorders>
            <w:shd w:val="clear" w:color="000000" w:fill="FFFFFF"/>
            <w:noWrap/>
          </w:tcPr>
          <w:p w:rsidR="007F1075" w:rsidRPr="00724834" w:rsidRDefault="007F1075" w:rsidP="00F77C0F">
            <w:pPr>
              <w:pStyle w:val="ListParagraph"/>
              <w:numPr>
                <w:ilvl w:val="0"/>
                <w:numId w:val="16"/>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Increased investment x congruence</w:t>
            </w:r>
          </w:p>
        </w:tc>
        <w:tc>
          <w:tcPr>
            <w:tcW w:w="0" w:type="auto"/>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1.22</w:t>
            </w:r>
          </w:p>
        </w:tc>
        <w:tc>
          <w:tcPr>
            <w:tcW w:w="0" w:type="auto"/>
            <w:tcBorders>
              <w:top w:val="nil"/>
              <w:left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(0.12)</w:t>
            </w:r>
          </w:p>
        </w:tc>
      </w:tr>
      <w:tr w:rsidR="00724834" w:rsidRPr="00724834" w:rsidTr="00F77C0F">
        <w:trPr>
          <w:trHeight w:val="144"/>
        </w:trPr>
        <w:tc>
          <w:tcPr>
            <w:tcW w:w="0" w:type="auto"/>
            <w:tcBorders>
              <w:top w:val="nil"/>
              <w:left w:val="nil"/>
              <w:right w:val="nil"/>
            </w:tcBorders>
            <w:shd w:val="clear" w:color="000000" w:fill="FFFFFF"/>
            <w:noWrap/>
          </w:tcPr>
          <w:p w:rsidR="007F1075" w:rsidRPr="00724834" w:rsidRDefault="007F1075" w:rsidP="00F77C0F">
            <w:pPr>
              <w:pStyle w:val="ListParagraph"/>
              <w:numPr>
                <w:ilvl w:val="0"/>
                <w:numId w:val="16"/>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Stabilized investment x congruence</w:t>
            </w:r>
          </w:p>
        </w:tc>
        <w:tc>
          <w:tcPr>
            <w:tcW w:w="0" w:type="auto"/>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0.20</w:t>
            </w:r>
          </w:p>
        </w:tc>
        <w:tc>
          <w:tcPr>
            <w:tcW w:w="0" w:type="auto"/>
            <w:tcBorders>
              <w:top w:val="nil"/>
              <w:left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(0.08)</w:t>
            </w:r>
          </w:p>
        </w:tc>
      </w:tr>
      <w:tr w:rsidR="00724834" w:rsidRPr="00724834" w:rsidTr="00F77C0F">
        <w:trPr>
          <w:trHeight w:val="144"/>
        </w:trPr>
        <w:tc>
          <w:tcPr>
            <w:tcW w:w="0" w:type="auto"/>
            <w:tcBorders>
              <w:top w:val="nil"/>
              <w:left w:val="nil"/>
              <w:right w:val="nil"/>
            </w:tcBorders>
            <w:shd w:val="clear" w:color="000000" w:fill="FFFFFF"/>
            <w:noWrap/>
          </w:tcPr>
          <w:p w:rsidR="007F1075" w:rsidRPr="00724834" w:rsidRDefault="007F1075" w:rsidP="00F77C0F">
            <w:pPr>
              <w:pStyle w:val="ListParagraph"/>
              <w:numPr>
                <w:ilvl w:val="0"/>
                <w:numId w:val="16"/>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Decreased investment x congruence (ref.)</w:t>
            </w:r>
          </w:p>
        </w:tc>
        <w:tc>
          <w:tcPr>
            <w:tcW w:w="0" w:type="auto"/>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144"/>
        </w:trPr>
        <w:tc>
          <w:tcPr>
            <w:tcW w:w="0" w:type="auto"/>
            <w:tcBorders>
              <w:top w:val="single" w:sz="4" w:space="0" w:color="auto"/>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b/>
                <w:bCs/>
                <w:lang w:val="en-US" w:eastAsia="nl-BE"/>
              </w:rPr>
            </w:pPr>
            <w:r w:rsidRPr="00724834">
              <w:rPr>
                <w:rFonts w:ascii="Garamond" w:eastAsia="Times New Roman" w:hAnsi="Garamond" w:cs="Calibri"/>
                <w:b/>
                <w:bCs/>
                <w:lang w:val="en-US" w:eastAsia="nl-BE"/>
              </w:rPr>
              <w:t xml:space="preserve"> </w:t>
            </w:r>
            <w:r w:rsidRPr="00724834">
              <w:rPr>
                <w:rFonts w:ascii="Garamond" w:eastAsia="Times New Roman" w:hAnsi="Garamond" w:cs="Calibri"/>
                <w:i/>
                <w:iCs/>
                <w:lang w:val="en-US" w:eastAsia="nl-BE"/>
              </w:rPr>
              <w:t>Model fit</w:t>
            </w:r>
            <w:r w:rsidRPr="00724834">
              <w:rPr>
                <w:rFonts w:ascii="Garamond" w:eastAsia="Times New Roman" w:hAnsi="Garamond" w:cs="Calibri"/>
                <w:b/>
                <w:bCs/>
                <w:lang w:val="en-US" w:eastAsia="nl-BE"/>
              </w:rPr>
              <w:t xml:space="preserve"> </w:t>
            </w:r>
          </w:p>
        </w:tc>
        <w:tc>
          <w:tcPr>
            <w:tcW w:w="0" w:type="auto"/>
            <w:tcBorders>
              <w:top w:val="single" w:sz="4" w:space="0" w:color="auto"/>
              <w:left w:val="nil"/>
              <w:bottom w:val="nil"/>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w:t>
            </w:r>
          </w:p>
        </w:tc>
        <w:tc>
          <w:tcPr>
            <w:tcW w:w="0" w:type="auto"/>
            <w:tcBorders>
              <w:top w:val="single" w:sz="4" w:space="0" w:color="auto"/>
              <w:left w:val="nil"/>
              <w:bottom w:val="nil"/>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w:t>
            </w:r>
          </w:p>
        </w:tc>
        <w:tc>
          <w:tcPr>
            <w:tcW w:w="0" w:type="auto"/>
            <w:tcBorders>
              <w:top w:val="single" w:sz="4" w:space="0" w:color="auto"/>
              <w:left w:val="nil"/>
              <w:bottom w:val="nil"/>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w:t>
            </w:r>
          </w:p>
        </w:tc>
        <w:tc>
          <w:tcPr>
            <w:tcW w:w="0" w:type="auto"/>
            <w:tcBorders>
              <w:top w:val="single" w:sz="4" w:space="0" w:color="auto"/>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single" w:sz="4" w:space="0" w:color="auto"/>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single" w:sz="4" w:space="0" w:color="auto"/>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53"/>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N </w:t>
            </w:r>
          </w:p>
        </w:tc>
        <w:tc>
          <w:tcPr>
            <w:tcW w:w="0" w:type="auto"/>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105</w:t>
            </w:r>
          </w:p>
        </w:tc>
        <w:tc>
          <w:tcPr>
            <w:tcW w:w="0" w:type="auto"/>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w:t>
            </w:r>
          </w:p>
        </w:tc>
        <w:tc>
          <w:tcPr>
            <w:tcW w:w="0" w:type="auto"/>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105</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144"/>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Wald Chi 2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46.29</w:t>
            </w:r>
          </w:p>
        </w:tc>
        <w:tc>
          <w:tcPr>
            <w:tcW w:w="0" w:type="auto"/>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w:t>
            </w:r>
          </w:p>
        </w:tc>
        <w:tc>
          <w:tcPr>
            <w:tcW w:w="0" w:type="auto"/>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834.85</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150"/>
        </w:trPr>
        <w:tc>
          <w:tcPr>
            <w:tcW w:w="0" w:type="auto"/>
            <w:tcBorders>
              <w:top w:val="nil"/>
              <w:left w:val="nil"/>
              <w:bottom w:val="double" w:sz="6" w:space="0" w:color="auto"/>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Pseudo R2 </w:t>
            </w:r>
          </w:p>
        </w:tc>
        <w:tc>
          <w:tcPr>
            <w:tcW w:w="0" w:type="auto"/>
            <w:tcBorders>
              <w:top w:val="nil"/>
              <w:left w:val="nil"/>
              <w:bottom w:val="double" w:sz="6" w:space="0" w:color="auto"/>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0.72</w:t>
            </w:r>
          </w:p>
        </w:tc>
        <w:tc>
          <w:tcPr>
            <w:tcW w:w="0" w:type="auto"/>
            <w:tcBorders>
              <w:top w:val="nil"/>
              <w:left w:val="nil"/>
              <w:bottom w:val="double" w:sz="6" w:space="0" w:color="auto"/>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double" w:sz="6" w:space="0" w:color="auto"/>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w:t>
            </w:r>
          </w:p>
        </w:tc>
        <w:tc>
          <w:tcPr>
            <w:tcW w:w="0" w:type="auto"/>
            <w:tcBorders>
              <w:top w:val="nil"/>
              <w:left w:val="nil"/>
              <w:bottom w:val="double" w:sz="6" w:space="0" w:color="auto"/>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0.77</w:t>
            </w:r>
          </w:p>
        </w:tc>
        <w:tc>
          <w:tcPr>
            <w:tcW w:w="0" w:type="auto"/>
            <w:tcBorders>
              <w:top w:val="nil"/>
              <w:left w:val="nil"/>
              <w:bottom w:val="double" w:sz="6" w:space="0" w:color="auto"/>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double" w:sz="6" w:space="0" w:color="auto"/>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150"/>
        </w:trPr>
        <w:tc>
          <w:tcPr>
            <w:tcW w:w="0" w:type="auto"/>
            <w:gridSpan w:val="7"/>
            <w:tcBorders>
              <w:top w:val="double" w:sz="6" w:space="0" w:color="auto"/>
              <w:left w:val="nil"/>
              <w:bottom w:val="nil"/>
              <w:right w:val="nil"/>
            </w:tcBorders>
            <w:shd w:val="clear" w:color="000000" w:fill="FFFFFF"/>
            <w:noWrap/>
            <w:vAlign w:val="bottom"/>
            <w:hideMark/>
          </w:tcPr>
          <w:p w:rsidR="007F1075" w:rsidRPr="00724834" w:rsidRDefault="007F1075" w:rsidP="00F77C0F">
            <w:pPr>
              <w:spacing w:after="0" w:line="240" w:lineRule="auto"/>
              <w:jc w:val="center"/>
              <w:rPr>
                <w:rFonts w:ascii="Garamond" w:eastAsia="Times New Roman" w:hAnsi="Garamond" w:cs="Calibri"/>
                <w:sz w:val="20"/>
                <w:szCs w:val="20"/>
                <w:lang w:val="en-US" w:eastAsia="nl-BE"/>
              </w:rPr>
            </w:pPr>
            <w:r w:rsidRPr="00724834">
              <w:rPr>
                <w:rFonts w:ascii="Garamond" w:eastAsia="Times New Roman" w:hAnsi="Garamond" w:cs="Calibri"/>
                <w:sz w:val="20"/>
                <w:szCs w:val="20"/>
                <w:lang w:val="en-US" w:eastAsia="nl-BE"/>
              </w:rPr>
              <w:t xml:space="preserve"> Robust standard errors in parentheses with significance levels indicated by † P&lt;0.10, *P&lt;0.05 and **P&lt;0.01 </w:t>
            </w:r>
          </w:p>
        </w:tc>
      </w:tr>
    </w:tbl>
    <w:p w:rsidR="007F1075" w:rsidRPr="00724834" w:rsidRDefault="007F1075" w:rsidP="007F1075">
      <w:pPr>
        <w:rPr>
          <w:lang w:val="en-US"/>
        </w:rPr>
      </w:pPr>
    </w:p>
    <w:p w:rsidR="007F1075" w:rsidRPr="00724834" w:rsidRDefault="007F1075" w:rsidP="007F1075">
      <w:pPr>
        <w:rPr>
          <w:rFonts w:eastAsiaTheme="majorEastAsia" w:cstheme="majorBidi"/>
          <w:lang w:val="en-US"/>
        </w:rPr>
      </w:pPr>
    </w:p>
    <w:p w:rsidR="007F1075" w:rsidRPr="00724834" w:rsidRDefault="007F1075" w:rsidP="007F1075">
      <w:pPr>
        <w:keepNext/>
        <w:rPr>
          <w:rFonts w:ascii="Garamond" w:hAnsi="Garamond"/>
          <w:b/>
          <w:bCs/>
          <w:lang w:val="en-US" w:eastAsia="nl-BE"/>
        </w:rPr>
      </w:pPr>
      <w:r w:rsidRPr="00724834">
        <w:rPr>
          <w:rFonts w:ascii="Garamond" w:hAnsi="Garamond"/>
          <w:b/>
          <w:bCs/>
          <w:lang w:val="en-US" w:eastAsia="nl-BE"/>
        </w:rPr>
        <w:lastRenderedPageBreak/>
        <w:t>Figure A8. Marginal effects of an increased financial investment in EU lobbying for different levels of congruence</w:t>
      </w:r>
    </w:p>
    <w:p w:rsidR="007F1075" w:rsidRPr="00724834" w:rsidRDefault="007F1075" w:rsidP="007F1075">
      <w:pPr>
        <w:jc w:val="center"/>
        <w:rPr>
          <w:rFonts w:eastAsiaTheme="majorEastAsia" w:cstheme="majorBidi"/>
          <w:lang w:val="en-US"/>
        </w:rPr>
      </w:pPr>
      <w:r w:rsidRPr="00724834">
        <w:rPr>
          <w:rFonts w:eastAsiaTheme="majorEastAsia" w:cstheme="majorBidi"/>
          <w:noProof/>
          <w:lang w:val="en-US"/>
        </w:rPr>
        <w:drawing>
          <wp:inline distT="0" distB="0" distL="0" distR="0" wp14:anchorId="0CD0D97C" wp14:editId="433426F7">
            <wp:extent cx="3681454" cy="2648208"/>
            <wp:effectExtent l="0" t="0" r="0" b="0"/>
            <wp:docPr id="27" name="Picture 27"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hart, box and whisker chart&#10;&#10;Description automatically generated"/>
                    <pic:cNvPicPr/>
                  </pic:nvPicPr>
                  <pic:blipFill>
                    <a:blip r:embed="rId18"/>
                    <a:stretch>
                      <a:fillRect/>
                    </a:stretch>
                  </pic:blipFill>
                  <pic:spPr>
                    <a:xfrm>
                      <a:off x="0" y="0"/>
                      <a:ext cx="3690023" cy="2654372"/>
                    </a:xfrm>
                    <a:prstGeom prst="rect">
                      <a:avLst/>
                    </a:prstGeom>
                  </pic:spPr>
                </pic:pic>
              </a:graphicData>
            </a:graphic>
          </wp:inline>
        </w:drawing>
      </w:r>
    </w:p>
    <w:p w:rsidR="007F1075" w:rsidRPr="00724834" w:rsidRDefault="007F1075" w:rsidP="007F1075">
      <w:pPr>
        <w:jc w:val="center"/>
        <w:rPr>
          <w:rFonts w:eastAsiaTheme="majorEastAsia" w:cstheme="majorBidi"/>
          <w:lang w:val="en-US"/>
        </w:rPr>
      </w:pPr>
    </w:p>
    <w:p w:rsidR="007F1075" w:rsidRPr="00724834" w:rsidRDefault="007F1075" w:rsidP="007F1075">
      <w:pPr>
        <w:pStyle w:val="Heading1"/>
      </w:pPr>
      <w:bookmarkStart w:id="11" w:name="_Toc132807394"/>
      <w:r w:rsidRPr="00724834">
        <w:t>Robustness check without imputation for lobbying budgets</w:t>
      </w:r>
      <w:bookmarkEnd w:id="11"/>
    </w:p>
    <w:p w:rsidR="007F1075" w:rsidRPr="00724834" w:rsidRDefault="007F1075" w:rsidP="007F1075">
      <w:pPr>
        <w:rPr>
          <w:lang w:val="en-US"/>
        </w:rPr>
      </w:pPr>
    </w:p>
    <w:p w:rsidR="007F1075" w:rsidRPr="00724834" w:rsidRDefault="007F1075" w:rsidP="007F1075">
      <w:pPr>
        <w:spacing w:line="480" w:lineRule="auto"/>
        <w:jc w:val="both"/>
        <w:rPr>
          <w:rFonts w:ascii="Garamond" w:hAnsi="Garamond"/>
          <w:lang w:val="en-US"/>
        </w:rPr>
      </w:pPr>
      <w:r w:rsidRPr="00724834">
        <w:rPr>
          <w:rFonts w:ascii="Garamond" w:hAnsi="Garamond"/>
          <w:lang w:val="en-US"/>
        </w:rPr>
        <w:t xml:space="preserve">From the 109 interest organizations in our dataset, we could not determine the lobbying budget of 4 organizations based on lobbyfacts.eu and the transparency register. For these groups we imputed the lowest budget category, presuming that organizations with higher lobbying expenses are more likely to register. The models below present the results without this imputation. Results regarding our hypotheses tests remain stable, yet the coefficients of the control variables are more inflated due to determinacy problems (i.e. complete determination of 19 positive observations on the dependent variable). We therefore opted to present the models with n=4 imputed observations in the paper, with more conservative estimates of control variables. Yet, the model below shows that our results hold true without the imputation. </w:t>
      </w:r>
    </w:p>
    <w:p w:rsidR="007F1075" w:rsidRPr="00724834" w:rsidRDefault="007F1075" w:rsidP="007F1075">
      <w:pPr>
        <w:rPr>
          <w:rFonts w:ascii="Garamond" w:hAnsi="Garamond"/>
          <w:lang w:val="en-US"/>
        </w:rPr>
      </w:pPr>
      <w:r w:rsidRPr="00724834">
        <w:rPr>
          <w:rFonts w:ascii="Garamond" w:hAnsi="Garamond"/>
          <w:lang w:val="en-US"/>
        </w:rPr>
        <w:br w:type="page"/>
      </w:r>
    </w:p>
    <w:p w:rsidR="007F1075" w:rsidRPr="00724834" w:rsidRDefault="007F1075" w:rsidP="007F1075">
      <w:pPr>
        <w:spacing w:after="0" w:line="240" w:lineRule="auto"/>
        <w:rPr>
          <w:rFonts w:ascii="Garamond" w:hAnsi="Garamond"/>
          <w:lang w:val="en-US"/>
        </w:rPr>
      </w:pPr>
      <w:r w:rsidRPr="00724834">
        <w:rPr>
          <w:rFonts w:ascii="Garamond" w:eastAsia="Times New Roman" w:hAnsi="Garamond" w:cs="Calibri"/>
          <w:b/>
          <w:bCs/>
          <w:lang w:val="en-US" w:eastAsia="nl-BE"/>
        </w:rPr>
        <w:lastRenderedPageBreak/>
        <w:t>Table A9. Binary logistic regression of preference attainment without imputation for lobbying budgets</w:t>
      </w:r>
    </w:p>
    <w:tbl>
      <w:tblPr>
        <w:tblW w:w="0" w:type="auto"/>
        <w:tblCellMar>
          <w:left w:w="70" w:type="dxa"/>
          <w:right w:w="70" w:type="dxa"/>
        </w:tblCellMar>
        <w:tblLook w:val="04A0" w:firstRow="1" w:lastRow="0" w:firstColumn="1" w:lastColumn="0" w:noHBand="0" w:noVBand="1"/>
      </w:tblPr>
      <w:tblGrid>
        <w:gridCol w:w="4334"/>
        <w:gridCol w:w="853"/>
        <w:gridCol w:w="418"/>
        <w:gridCol w:w="797"/>
        <w:gridCol w:w="809"/>
        <w:gridCol w:w="418"/>
        <w:gridCol w:w="928"/>
      </w:tblGrid>
      <w:tr w:rsidR="00724834" w:rsidRPr="00724834" w:rsidTr="00F77C0F">
        <w:trPr>
          <w:trHeight w:val="217"/>
        </w:trPr>
        <w:tc>
          <w:tcPr>
            <w:tcW w:w="0" w:type="auto"/>
            <w:tcBorders>
              <w:top w:val="single" w:sz="4" w:space="0" w:color="FFFFFF" w:themeColor="background1"/>
              <w:left w:val="nil"/>
              <w:bottom w:val="single" w:sz="4" w:space="0" w:color="auto"/>
              <w:right w:val="nil"/>
            </w:tcBorders>
            <w:shd w:val="clear" w:color="000000" w:fill="FFFFFF"/>
            <w:noWrap/>
          </w:tcPr>
          <w:p w:rsidR="007F1075" w:rsidRPr="00724834" w:rsidDel="0089728F" w:rsidRDefault="007F1075" w:rsidP="00F77C0F">
            <w:pPr>
              <w:spacing w:after="0" w:line="240" w:lineRule="auto"/>
              <w:rPr>
                <w:rFonts w:ascii="Garamond" w:eastAsia="Times New Roman" w:hAnsi="Garamond" w:cs="Calibri"/>
                <w:i/>
                <w:iCs/>
                <w:lang w:val="en-US"/>
              </w:rPr>
            </w:pPr>
          </w:p>
        </w:tc>
        <w:tc>
          <w:tcPr>
            <w:tcW w:w="0" w:type="auto"/>
            <w:gridSpan w:val="3"/>
            <w:tcBorders>
              <w:top w:val="single" w:sz="4" w:space="0" w:color="FFFFFF" w:themeColor="background1"/>
              <w:left w:val="nil"/>
              <w:bottom w:val="single" w:sz="4" w:space="0" w:color="auto"/>
              <w:right w:val="nil"/>
            </w:tcBorders>
            <w:shd w:val="clear" w:color="000000" w:fill="FFFFFF"/>
            <w:noWrap/>
            <w:vAlign w:val="bottom"/>
          </w:tcPr>
          <w:p w:rsidR="007F1075" w:rsidRPr="00724834" w:rsidRDefault="007F1075" w:rsidP="00F77C0F">
            <w:pPr>
              <w:spacing w:after="0" w:line="240" w:lineRule="auto"/>
              <w:jc w:val="center"/>
              <w:rPr>
                <w:rFonts w:ascii="Garamond" w:eastAsia="Times New Roman" w:hAnsi="Garamond" w:cs="Calibri"/>
                <w:i/>
                <w:iCs/>
                <w:lang w:val="en-US" w:eastAsia="nl-BE"/>
              </w:rPr>
            </w:pPr>
            <w:r w:rsidRPr="00724834">
              <w:rPr>
                <w:rFonts w:ascii="Garamond" w:eastAsia="Times New Roman" w:hAnsi="Garamond" w:cs="Calibri"/>
                <w:i/>
                <w:iCs/>
                <w:lang w:val="en-US" w:eastAsia="nl-BE"/>
              </w:rPr>
              <w:t>Model A9</w:t>
            </w:r>
          </w:p>
        </w:tc>
        <w:tc>
          <w:tcPr>
            <w:tcW w:w="0" w:type="auto"/>
            <w:gridSpan w:val="3"/>
            <w:tcBorders>
              <w:top w:val="single" w:sz="4" w:space="0" w:color="FFFFFF" w:themeColor="background1"/>
              <w:left w:val="nil"/>
              <w:bottom w:val="single" w:sz="4" w:space="0" w:color="auto"/>
              <w:right w:val="nil"/>
            </w:tcBorders>
            <w:shd w:val="clear" w:color="000000" w:fill="FFFFFF"/>
            <w:vAlign w:val="bottom"/>
          </w:tcPr>
          <w:p w:rsidR="007F1075" w:rsidRPr="00724834" w:rsidRDefault="007F1075" w:rsidP="00F77C0F">
            <w:pPr>
              <w:spacing w:after="0" w:line="240" w:lineRule="auto"/>
              <w:jc w:val="center"/>
              <w:rPr>
                <w:rFonts w:ascii="Garamond" w:eastAsia="Times New Roman" w:hAnsi="Garamond" w:cs="Calibri"/>
                <w:i/>
                <w:iCs/>
                <w:lang w:val="en-US" w:eastAsia="nl-BE"/>
              </w:rPr>
            </w:pPr>
            <w:r w:rsidRPr="00724834">
              <w:rPr>
                <w:rFonts w:ascii="Garamond" w:eastAsia="Times New Roman" w:hAnsi="Garamond" w:cs="Calibri"/>
                <w:i/>
                <w:iCs/>
                <w:lang w:val="en-US" w:eastAsia="nl-BE"/>
              </w:rPr>
              <w:t>Model A10</w:t>
            </w:r>
          </w:p>
        </w:tc>
      </w:tr>
      <w:tr w:rsidR="00724834" w:rsidRPr="00724834" w:rsidTr="00F77C0F">
        <w:trPr>
          <w:trHeight w:val="217"/>
        </w:trPr>
        <w:tc>
          <w:tcPr>
            <w:tcW w:w="0" w:type="auto"/>
            <w:tcBorders>
              <w:top w:val="double" w:sz="6" w:space="0" w:color="auto"/>
              <w:left w:val="nil"/>
              <w:bottom w:val="single" w:sz="4" w:space="0" w:color="auto"/>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i/>
                <w:iCs/>
                <w:lang w:val="en-US" w:eastAsia="nl-BE"/>
              </w:rPr>
            </w:pPr>
            <w:r w:rsidRPr="00724834" w:rsidDel="0089728F">
              <w:rPr>
                <w:rFonts w:ascii="Garamond" w:eastAsia="Times New Roman" w:hAnsi="Garamond" w:cs="Calibri"/>
                <w:i/>
                <w:iCs/>
                <w:lang w:val="en-US"/>
              </w:rPr>
              <w:t xml:space="preserve"> </w:t>
            </w:r>
            <w:r w:rsidRPr="00724834">
              <w:rPr>
                <w:rFonts w:ascii="Garamond" w:eastAsia="Times New Roman" w:hAnsi="Garamond" w:cs="Calibri"/>
                <w:i/>
                <w:iCs/>
                <w:lang w:val="en-US" w:eastAsia="nl-BE"/>
              </w:rPr>
              <w:t xml:space="preserve">Main effects </w:t>
            </w:r>
          </w:p>
        </w:tc>
        <w:tc>
          <w:tcPr>
            <w:tcW w:w="0" w:type="auto"/>
            <w:tcBorders>
              <w:top w:val="double" w:sz="6" w:space="0" w:color="auto"/>
              <w:left w:val="nil"/>
              <w:bottom w:val="single" w:sz="4" w:space="0" w:color="auto"/>
              <w:right w:val="nil"/>
            </w:tcBorders>
            <w:shd w:val="clear" w:color="000000" w:fill="FFFFFF"/>
            <w:noWrap/>
            <w:vAlign w:val="bottom"/>
            <w:hideMark/>
          </w:tcPr>
          <w:p w:rsidR="007F1075" w:rsidRPr="00724834" w:rsidRDefault="007F1075" w:rsidP="00F77C0F">
            <w:pPr>
              <w:spacing w:after="0" w:line="240" w:lineRule="auto"/>
              <w:jc w:val="right"/>
              <w:rPr>
                <w:rFonts w:ascii="Calibri" w:eastAsia="Times New Roman" w:hAnsi="Calibri" w:cs="Calibri"/>
                <w:i/>
                <w:iCs/>
                <w:lang w:val="en-US" w:eastAsia="nl-BE"/>
              </w:rPr>
            </w:pPr>
            <w:r w:rsidRPr="00724834">
              <w:rPr>
                <w:rFonts w:ascii="Calibri" w:eastAsia="Times New Roman" w:hAnsi="Calibri" w:cs="Calibri"/>
                <w:i/>
                <w:iCs/>
                <w:lang w:val="en-US" w:eastAsia="nl-BE"/>
              </w:rPr>
              <w:t>β</w:t>
            </w:r>
          </w:p>
        </w:tc>
        <w:tc>
          <w:tcPr>
            <w:tcW w:w="0" w:type="auto"/>
            <w:tcBorders>
              <w:top w:val="double" w:sz="6" w:space="0" w:color="auto"/>
              <w:left w:val="nil"/>
              <w:bottom w:val="single" w:sz="4" w:space="0" w:color="auto"/>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i/>
                <w:iCs/>
                <w:lang w:val="en-US" w:eastAsia="nl-BE"/>
              </w:rPr>
            </w:pPr>
            <w:r w:rsidRPr="00724834">
              <w:rPr>
                <w:rFonts w:ascii="Garamond" w:eastAsia="Times New Roman" w:hAnsi="Garamond" w:cs="Calibri"/>
                <w:i/>
                <w:iCs/>
                <w:lang w:val="en-US" w:eastAsia="nl-BE"/>
              </w:rPr>
              <w:t> </w:t>
            </w:r>
          </w:p>
        </w:tc>
        <w:tc>
          <w:tcPr>
            <w:tcW w:w="0" w:type="auto"/>
            <w:tcBorders>
              <w:top w:val="double" w:sz="6" w:space="0" w:color="auto"/>
              <w:left w:val="nil"/>
              <w:bottom w:val="single" w:sz="4" w:space="0" w:color="auto"/>
              <w:right w:val="nil"/>
            </w:tcBorders>
            <w:shd w:val="clear" w:color="000000" w:fill="FFFFFF"/>
            <w:noWrap/>
            <w:vAlign w:val="center"/>
            <w:hideMark/>
          </w:tcPr>
          <w:p w:rsidR="007F1075" w:rsidRPr="00724834" w:rsidRDefault="007F1075" w:rsidP="00F77C0F">
            <w:pPr>
              <w:spacing w:after="0" w:line="240" w:lineRule="auto"/>
              <w:rPr>
                <w:rFonts w:ascii="Garamond" w:eastAsia="Times New Roman" w:hAnsi="Garamond" w:cs="Calibri"/>
                <w:i/>
                <w:iCs/>
                <w:lang w:val="en-US" w:eastAsia="nl-BE"/>
              </w:rPr>
            </w:pPr>
            <w:r w:rsidRPr="00724834">
              <w:rPr>
                <w:rFonts w:ascii="Garamond" w:eastAsia="Times New Roman" w:hAnsi="Garamond" w:cs="Calibri"/>
                <w:i/>
                <w:iCs/>
                <w:lang w:val="en-US" w:eastAsia="nl-BE"/>
              </w:rPr>
              <w:t>S.E.</w:t>
            </w:r>
          </w:p>
        </w:tc>
        <w:tc>
          <w:tcPr>
            <w:tcW w:w="0" w:type="auto"/>
            <w:tcBorders>
              <w:top w:val="double" w:sz="6" w:space="0" w:color="auto"/>
              <w:left w:val="nil"/>
              <w:bottom w:val="single" w:sz="4" w:space="0" w:color="auto"/>
              <w:right w:val="nil"/>
            </w:tcBorders>
            <w:shd w:val="clear" w:color="000000" w:fill="FFFFFF"/>
            <w:vAlign w:val="bottom"/>
          </w:tcPr>
          <w:p w:rsidR="007F1075" w:rsidRPr="00724834" w:rsidRDefault="007F1075" w:rsidP="00F77C0F">
            <w:pPr>
              <w:spacing w:after="0" w:line="240" w:lineRule="auto"/>
              <w:jc w:val="right"/>
              <w:rPr>
                <w:rFonts w:ascii="Garamond" w:eastAsia="Times New Roman" w:hAnsi="Garamond" w:cs="Calibri"/>
                <w:i/>
                <w:iCs/>
                <w:lang w:val="en-US" w:eastAsia="nl-BE"/>
              </w:rPr>
            </w:pPr>
            <w:r w:rsidRPr="00724834">
              <w:rPr>
                <w:rFonts w:ascii="Calibri" w:eastAsia="Times New Roman" w:hAnsi="Calibri" w:cs="Calibri"/>
                <w:i/>
                <w:iCs/>
                <w:lang w:val="en-US" w:eastAsia="nl-BE"/>
              </w:rPr>
              <w:t xml:space="preserve"> β </w:t>
            </w:r>
          </w:p>
        </w:tc>
        <w:tc>
          <w:tcPr>
            <w:tcW w:w="0" w:type="auto"/>
            <w:tcBorders>
              <w:top w:val="double" w:sz="6" w:space="0" w:color="auto"/>
              <w:left w:val="nil"/>
              <w:bottom w:val="single" w:sz="4" w:space="0" w:color="auto"/>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i/>
                <w:iCs/>
                <w:lang w:val="en-US" w:eastAsia="nl-BE"/>
              </w:rPr>
            </w:pPr>
            <w:r w:rsidRPr="00724834">
              <w:rPr>
                <w:rFonts w:ascii="Garamond" w:eastAsia="Times New Roman" w:hAnsi="Garamond" w:cs="Calibri"/>
                <w:i/>
                <w:iCs/>
                <w:lang w:val="en-US" w:eastAsia="nl-BE"/>
              </w:rPr>
              <w:t> </w:t>
            </w:r>
          </w:p>
        </w:tc>
        <w:tc>
          <w:tcPr>
            <w:tcW w:w="0" w:type="auto"/>
            <w:tcBorders>
              <w:top w:val="double" w:sz="6" w:space="0" w:color="auto"/>
              <w:left w:val="nil"/>
              <w:bottom w:val="single" w:sz="4" w:space="0" w:color="auto"/>
              <w:right w:val="nil"/>
            </w:tcBorders>
            <w:shd w:val="clear" w:color="000000" w:fill="FFFFFF"/>
          </w:tcPr>
          <w:p w:rsidR="007F1075" w:rsidRPr="00724834" w:rsidRDefault="007F1075" w:rsidP="00F77C0F">
            <w:pPr>
              <w:spacing w:after="0" w:line="240" w:lineRule="auto"/>
              <w:rPr>
                <w:rFonts w:ascii="Garamond" w:eastAsia="Times New Roman" w:hAnsi="Garamond" w:cs="Calibri"/>
                <w:i/>
                <w:iCs/>
                <w:lang w:val="en-US" w:eastAsia="nl-BE"/>
              </w:rPr>
            </w:pPr>
            <w:r w:rsidRPr="00724834">
              <w:rPr>
                <w:rFonts w:ascii="Garamond" w:eastAsia="Times New Roman" w:hAnsi="Garamond" w:cs="Calibri"/>
                <w:i/>
                <w:iCs/>
                <w:lang w:val="en-US" w:eastAsia="nl-BE"/>
              </w:rPr>
              <w:t>S.E.</w:t>
            </w: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Intercept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-1.58</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(2.02)</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5.11</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(7.04)</w:t>
            </w: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Financial resources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08"/>
        </w:trPr>
        <w:tc>
          <w:tcPr>
            <w:tcW w:w="0" w:type="auto"/>
            <w:tcBorders>
              <w:top w:val="nil"/>
              <w:left w:val="nil"/>
              <w:bottom w:val="nil"/>
              <w:right w:val="nil"/>
            </w:tcBorders>
            <w:shd w:val="clear" w:color="000000" w:fill="FFFFFF"/>
            <w:noWrap/>
          </w:tcPr>
          <w:p w:rsidR="007F1075" w:rsidRPr="00724834" w:rsidRDefault="007F1075" w:rsidP="00F77C0F">
            <w:pPr>
              <w:pStyle w:val="ListParagraph"/>
              <w:numPr>
                <w:ilvl w:val="0"/>
                <w:numId w:val="23"/>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High (more than 1 million)</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5.74</w:t>
            </w: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(2.37)</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-8.54</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(12.79)</w:t>
            </w:r>
          </w:p>
        </w:tc>
      </w:tr>
      <w:tr w:rsidR="00724834" w:rsidRPr="00724834" w:rsidTr="00F77C0F">
        <w:trPr>
          <w:trHeight w:val="208"/>
        </w:trPr>
        <w:tc>
          <w:tcPr>
            <w:tcW w:w="0" w:type="auto"/>
            <w:tcBorders>
              <w:top w:val="nil"/>
              <w:left w:val="nil"/>
              <w:bottom w:val="nil"/>
              <w:right w:val="nil"/>
            </w:tcBorders>
            <w:shd w:val="clear" w:color="000000" w:fill="FFFFFF"/>
            <w:noWrap/>
          </w:tcPr>
          <w:p w:rsidR="007F1075" w:rsidRPr="00724834" w:rsidRDefault="007F1075" w:rsidP="00F77C0F">
            <w:pPr>
              <w:pStyle w:val="ListParagraph"/>
              <w:numPr>
                <w:ilvl w:val="0"/>
                <w:numId w:val="23"/>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Middle (100,000 – 1 million)</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2.39</w:t>
            </w: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(1.84)</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-8.39</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(9.26)</w:t>
            </w:r>
          </w:p>
        </w:tc>
      </w:tr>
      <w:tr w:rsidR="00724834" w:rsidRPr="00724834" w:rsidTr="00F77C0F">
        <w:trPr>
          <w:trHeight w:val="208"/>
        </w:trPr>
        <w:tc>
          <w:tcPr>
            <w:tcW w:w="0" w:type="auto"/>
            <w:tcBorders>
              <w:top w:val="nil"/>
              <w:left w:val="nil"/>
              <w:bottom w:val="nil"/>
              <w:right w:val="nil"/>
            </w:tcBorders>
            <w:shd w:val="clear" w:color="000000" w:fill="FFFFFF"/>
            <w:noWrap/>
          </w:tcPr>
          <w:p w:rsidR="007F1075" w:rsidRPr="00724834" w:rsidRDefault="007F1075" w:rsidP="00F77C0F">
            <w:pPr>
              <w:pStyle w:val="ListParagraph"/>
              <w:numPr>
                <w:ilvl w:val="0"/>
                <w:numId w:val="23"/>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Low (up to 100,000) (ref.)</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Public congruence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0.65</w:t>
            </w: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(0.18)</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0.49</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(0.22)</w:t>
            </w: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Position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pStyle w:val="ListParagraph"/>
              <w:numPr>
                <w:ilvl w:val="0"/>
                <w:numId w:val="18"/>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Support policy change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-19.48</w:t>
            </w: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(6.75)</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-19.19</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(5.97)</w:t>
            </w: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pStyle w:val="ListParagraph"/>
              <w:numPr>
                <w:ilvl w:val="0"/>
                <w:numId w:val="18"/>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Oppose policy change (ref.)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Media access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-4.04</w:t>
            </w: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(1.55)</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-3.47</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sz w:val="20"/>
                <w:szCs w:val="20"/>
                <w:lang w:val="en-US" w:eastAsia="nl-BE"/>
              </w:rPr>
              <w:t>†</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(1.88)</w:t>
            </w: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Media salience (logged)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3.21</w:t>
            </w: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(2.07)</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5.66</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sz w:val="20"/>
                <w:szCs w:val="20"/>
                <w:lang w:val="en-US" w:eastAsia="nl-BE"/>
              </w:rPr>
              <w:t>†</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(1.13)</w:t>
            </w: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Level of mobilization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pStyle w:val="ListParagraph"/>
              <w:numPr>
                <w:ilvl w:val="0"/>
                <w:numId w:val="17"/>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International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-2.67</w:t>
            </w:r>
          </w:p>
        </w:tc>
        <w:tc>
          <w:tcPr>
            <w:tcW w:w="0" w:type="auto"/>
            <w:tcBorders>
              <w:top w:val="nil"/>
              <w:left w:val="nil"/>
              <w:bottom w:val="nil"/>
              <w:right w:val="nil"/>
            </w:tcBorders>
            <w:shd w:val="clear" w:color="auto" w:fill="auto"/>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(2.45)</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-1.98</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(2.27)</w:t>
            </w: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pStyle w:val="ListParagraph"/>
              <w:numPr>
                <w:ilvl w:val="0"/>
                <w:numId w:val="17"/>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EU-level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-3.23</w:t>
            </w: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(2.16)</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-2.87</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(2.46)</w:t>
            </w: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pStyle w:val="ListParagraph"/>
              <w:numPr>
                <w:ilvl w:val="0"/>
                <w:numId w:val="17"/>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National (ref.)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Group type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pStyle w:val="ListParagraph"/>
              <w:numPr>
                <w:ilvl w:val="0"/>
                <w:numId w:val="16"/>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Business encompassing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-14.06</w:t>
            </w: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(4.25)</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-13.27</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(3.89)</w:t>
            </w: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pStyle w:val="ListParagraph"/>
              <w:numPr>
                <w:ilvl w:val="0"/>
                <w:numId w:val="16"/>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Business specific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-6.84</w:t>
            </w: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(2.72)</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-6.46</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(2.25)</w:t>
            </w:r>
          </w:p>
        </w:tc>
      </w:tr>
      <w:tr w:rsidR="00724834" w:rsidRPr="00724834" w:rsidTr="00F77C0F">
        <w:trPr>
          <w:trHeight w:val="208"/>
        </w:trPr>
        <w:tc>
          <w:tcPr>
            <w:tcW w:w="0" w:type="auto"/>
            <w:tcBorders>
              <w:top w:val="nil"/>
              <w:left w:val="nil"/>
              <w:bottom w:val="nil"/>
              <w:right w:val="nil"/>
            </w:tcBorders>
            <w:shd w:val="clear" w:color="000000" w:fill="FFFFFF"/>
            <w:noWrap/>
            <w:hideMark/>
          </w:tcPr>
          <w:p w:rsidR="007F1075" w:rsidRPr="00724834" w:rsidRDefault="007F1075" w:rsidP="00F77C0F">
            <w:pPr>
              <w:pStyle w:val="ListParagraph"/>
              <w:numPr>
                <w:ilvl w:val="0"/>
                <w:numId w:val="16"/>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Firm </w:t>
            </w:r>
          </w:p>
        </w:tc>
        <w:tc>
          <w:tcPr>
            <w:tcW w:w="0" w:type="auto"/>
            <w:tcBorders>
              <w:top w:val="nil"/>
              <w:left w:val="nil"/>
              <w:bottom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-9.29</w:t>
            </w:r>
          </w:p>
        </w:tc>
        <w:tc>
          <w:tcPr>
            <w:tcW w:w="0" w:type="auto"/>
            <w:tcBorders>
              <w:top w:val="nil"/>
              <w:left w:val="nil"/>
              <w:bottom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(2.92)</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-8.86</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(2.92)</w:t>
            </w:r>
          </w:p>
        </w:tc>
      </w:tr>
      <w:tr w:rsidR="00724834" w:rsidRPr="00724834" w:rsidTr="00F77C0F">
        <w:trPr>
          <w:trHeight w:val="208"/>
        </w:trPr>
        <w:tc>
          <w:tcPr>
            <w:tcW w:w="0" w:type="auto"/>
            <w:tcBorders>
              <w:top w:val="nil"/>
              <w:left w:val="nil"/>
              <w:right w:val="nil"/>
            </w:tcBorders>
            <w:shd w:val="clear" w:color="000000" w:fill="FFFFFF"/>
            <w:noWrap/>
            <w:hideMark/>
          </w:tcPr>
          <w:p w:rsidR="007F1075" w:rsidRPr="00724834" w:rsidRDefault="007F1075" w:rsidP="00F77C0F">
            <w:pPr>
              <w:pStyle w:val="ListParagraph"/>
              <w:numPr>
                <w:ilvl w:val="0"/>
                <w:numId w:val="16"/>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Civil society (ref.) </w:t>
            </w:r>
          </w:p>
        </w:tc>
        <w:tc>
          <w:tcPr>
            <w:tcW w:w="0" w:type="auto"/>
            <w:tcBorders>
              <w:top w:val="nil"/>
              <w:left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08"/>
        </w:trPr>
        <w:tc>
          <w:tcPr>
            <w:tcW w:w="0" w:type="auto"/>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Mobilization density (logged)</w:t>
            </w:r>
          </w:p>
        </w:tc>
        <w:tc>
          <w:tcPr>
            <w:tcW w:w="0" w:type="auto"/>
            <w:tcBorders>
              <w:top w:val="nil"/>
              <w:left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-3.15</w:t>
            </w:r>
          </w:p>
        </w:tc>
        <w:tc>
          <w:tcPr>
            <w:tcW w:w="0" w:type="auto"/>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(1.10)</w:t>
            </w:r>
          </w:p>
        </w:tc>
        <w:tc>
          <w:tcPr>
            <w:tcW w:w="0" w:type="auto"/>
            <w:tcBorders>
              <w:top w:val="nil"/>
              <w:left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-3.82</w:t>
            </w: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(1.13)</w:t>
            </w:r>
          </w:p>
        </w:tc>
      </w:tr>
      <w:tr w:rsidR="00724834" w:rsidRPr="00724834" w:rsidTr="00F77C0F">
        <w:trPr>
          <w:trHeight w:val="208"/>
        </w:trPr>
        <w:tc>
          <w:tcPr>
            <w:tcW w:w="0" w:type="auto"/>
            <w:tcBorders>
              <w:top w:val="nil"/>
              <w:left w:val="nil"/>
              <w:bottom w:val="single" w:sz="4" w:space="0" w:color="auto"/>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Coalition </w:t>
            </w:r>
          </w:p>
        </w:tc>
        <w:tc>
          <w:tcPr>
            <w:tcW w:w="0" w:type="auto"/>
            <w:tcBorders>
              <w:top w:val="nil"/>
              <w:left w:val="nil"/>
              <w:bottom w:val="single" w:sz="4" w:space="0" w:color="auto"/>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-6.08</w:t>
            </w:r>
          </w:p>
        </w:tc>
        <w:tc>
          <w:tcPr>
            <w:tcW w:w="0" w:type="auto"/>
            <w:tcBorders>
              <w:top w:val="nil"/>
              <w:left w:val="nil"/>
              <w:bottom w:val="single" w:sz="4" w:space="0" w:color="auto"/>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single" w:sz="4" w:space="0" w:color="auto"/>
              <w:right w:val="nil"/>
            </w:tcBorders>
            <w:shd w:val="clear" w:color="000000" w:fill="FFFFFF"/>
            <w:noWrap/>
            <w:vAlign w:val="center"/>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(1.88)</w:t>
            </w:r>
          </w:p>
        </w:tc>
        <w:tc>
          <w:tcPr>
            <w:tcW w:w="0" w:type="auto"/>
            <w:tcBorders>
              <w:top w:val="nil"/>
              <w:left w:val="nil"/>
              <w:bottom w:val="single" w:sz="4" w:space="0" w:color="auto"/>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-6.13</w:t>
            </w:r>
          </w:p>
        </w:tc>
        <w:tc>
          <w:tcPr>
            <w:tcW w:w="0" w:type="auto"/>
            <w:tcBorders>
              <w:top w:val="nil"/>
              <w:left w:val="nil"/>
              <w:bottom w:val="single" w:sz="4" w:space="0" w:color="auto"/>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t>
            </w:r>
          </w:p>
        </w:tc>
        <w:tc>
          <w:tcPr>
            <w:tcW w:w="0" w:type="auto"/>
            <w:tcBorders>
              <w:top w:val="nil"/>
              <w:left w:val="nil"/>
              <w:bottom w:val="single" w:sz="4" w:space="0" w:color="auto"/>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(1.63)</w:t>
            </w:r>
          </w:p>
        </w:tc>
      </w:tr>
      <w:tr w:rsidR="00724834" w:rsidRPr="00724834" w:rsidTr="00F77C0F">
        <w:trPr>
          <w:trHeight w:val="208"/>
        </w:trPr>
        <w:tc>
          <w:tcPr>
            <w:tcW w:w="0" w:type="auto"/>
            <w:tcBorders>
              <w:top w:val="single" w:sz="4" w:space="0" w:color="auto"/>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i/>
                <w:iCs/>
                <w:lang w:val="en-US" w:eastAsia="nl-BE"/>
              </w:rPr>
            </w:pPr>
            <w:r w:rsidRPr="00724834">
              <w:rPr>
                <w:rFonts w:ascii="Garamond" w:eastAsia="Times New Roman" w:hAnsi="Garamond" w:cs="Calibri"/>
                <w:i/>
                <w:iCs/>
                <w:lang w:val="en-US" w:eastAsia="nl-BE"/>
              </w:rPr>
              <w:t>Interaction effects</w:t>
            </w:r>
          </w:p>
        </w:tc>
        <w:tc>
          <w:tcPr>
            <w:tcW w:w="0" w:type="auto"/>
            <w:tcBorders>
              <w:top w:val="single" w:sz="4" w:space="0" w:color="auto"/>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single" w:sz="4" w:space="0" w:color="auto"/>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single" w:sz="4" w:space="0" w:color="auto"/>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single" w:sz="4" w:space="0" w:color="auto"/>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single" w:sz="4" w:space="0" w:color="auto"/>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single" w:sz="4" w:space="0" w:color="auto"/>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08"/>
        </w:trPr>
        <w:tc>
          <w:tcPr>
            <w:tcW w:w="0" w:type="auto"/>
            <w:tcBorders>
              <w:top w:val="nil"/>
              <w:left w:val="nil"/>
              <w:right w:val="nil"/>
            </w:tcBorders>
            <w:shd w:val="clear" w:color="000000" w:fill="FFFFFF"/>
            <w:noWrap/>
          </w:tcPr>
          <w:p w:rsidR="007F1075" w:rsidRPr="00724834" w:rsidRDefault="007F1075" w:rsidP="00F77C0F">
            <w:pPr>
              <w:pStyle w:val="ListParagraph"/>
              <w:numPr>
                <w:ilvl w:val="0"/>
                <w:numId w:val="16"/>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High resources x congruence</w:t>
            </w:r>
          </w:p>
        </w:tc>
        <w:tc>
          <w:tcPr>
            <w:tcW w:w="0" w:type="auto"/>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noWrap/>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0.31</w:t>
            </w: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(0.26)</w:t>
            </w:r>
          </w:p>
        </w:tc>
      </w:tr>
      <w:tr w:rsidR="00724834" w:rsidRPr="00724834" w:rsidTr="00F77C0F">
        <w:trPr>
          <w:trHeight w:val="208"/>
        </w:trPr>
        <w:tc>
          <w:tcPr>
            <w:tcW w:w="0" w:type="auto"/>
            <w:tcBorders>
              <w:top w:val="nil"/>
              <w:left w:val="nil"/>
              <w:right w:val="nil"/>
            </w:tcBorders>
            <w:shd w:val="clear" w:color="000000" w:fill="FFFFFF"/>
            <w:noWrap/>
          </w:tcPr>
          <w:p w:rsidR="007F1075" w:rsidRPr="00724834" w:rsidRDefault="007F1075" w:rsidP="00F77C0F">
            <w:pPr>
              <w:pStyle w:val="ListParagraph"/>
              <w:numPr>
                <w:ilvl w:val="0"/>
                <w:numId w:val="16"/>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Medium resources x congruence</w:t>
            </w:r>
          </w:p>
        </w:tc>
        <w:tc>
          <w:tcPr>
            <w:tcW w:w="0" w:type="auto"/>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noWrap/>
          </w:tcPr>
          <w:p w:rsidR="007F1075" w:rsidRPr="00724834" w:rsidRDefault="007F1075" w:rsidP="00F77C0F">
            <w:pPr>
              <w:spacing w:after="0" w:line="240" w:lineRule="auto"/>
              <w:jc w:val="right"/>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0.18</w:t>
            </w: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(0.14)</w:t>
            </w:r>
          </w:p>
        </w:tc>
      </w:tr>
      <w:tr w:rsidR="00724834" w:rsidRPr="00724834" w:rsidTr="00F77C0F">
        <w:trPr>
          <w:trHeight w:val="208"/>
        </w:trPr>
        <w:tc>
          <w:tcPr>
            <w:tcW w:w="0" w:type="auto"/>
            <w:tcBorders>
              <w:top w:val="nil"/>
              <w:left w:val="nil"/>
              <w:bottom w:val="single" w:sz="4" w:space="0" w:color="auto"/>
              <w:right w:val="nil"/>
            </w:tcBorders>
            <w:shd w:val="clear" w:color="000000" w:fill="FFFFFF"/>
            <w:noWrap/>
          </w:tcPr>
          <w:p w:rsidR="007F1075" w:rsidRPr="00724834" w:rsidRDefault="007F1075" w:rsidP="00F77C0F">
            <w:pPr>
              <w:pStyle w:val="ListParagraph"/>
              <w:numPr>
                <w:ilvl w:val="0"/>
                <w:numId w:val="16"/>
              </w:num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Low resources x congruence (ref.)</w:t>
            </w:r>
          </w:p>
        </w:tc>
        <w:tc>
          <w:tcPr>
            <w:tcW w:w="0" w:type="auto"/>
            <w:tcBorders>
              <w:top w:val="nil"/>
              <w:left w:val="nil"/>
              <w:bottom w:val="single" w:sz="4" w:space="0" w:color="auto"/>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single" w:sz="4" w:space="0" w:color="auto"/>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single" w:sz="4" w:space="0" w:color="auto"/>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single" w:sz="4" w:space="0" w:color="auto"/>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single" w:sz="4" w:space="0" w:color="auto"/>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bottom w:val="single" w:sz="4" w:space="0" w:color="auto"/>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08"/>
        </w:trPr>
        <w:tc>
          <w:tcPr>
            <w:tcW w:w="0" w:type="auto"/>
            <w:tcBorders>
              <w:top w:val="single" w:sz="4" w:space="0" w:color="auto"/>
              <w:left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b/>
                <w:bCs/>
                <w:lang w:val="en-US" w:eastAsia="nl-BE"/>
              </w:rPr>
            </w:pPr>
            <w:r w:rsidRPr="00724834">
              <w:rPr>
                <w:rFonts w:ascii="Garamond" w:eastAsia="Times New Roman" w:hAnsi="Garamond" w:cs="Calibri"/>
                <w:b/>
                <w:bCs/>
                <w:lang w:val="en-US" w:eastAsia="nl-BE"/>
              </w:rPr>
              <w:t xml:space="preserve"> </w:t>
            </w:r>
            <w:r w:rsidRPr="00724834">
              <w:rPr>
                <w:rFonts w:ascii="Garamond" w:eastAsia="Times New Roman" w:hAnsi="Garamond" w:cs="Calibri"/>
                <w:i/>
                <w:iCs/>
                <w:lang w:val="en-US" w:eastAsia="nl-BE"/>
              </w:rPr>
              <w:t>Model fit</w:t>
            </w:r>
            <w:r w:rsidRPr="00724834">
              <w:rPr>
                <w:rFonts w:ascii="Garamond" w:eastAsia="Times New Roman" w:hAnsi="Garamond" w:cs="Calibri"/>
                <w:b/>
                <w:bCs/>
                <w:lang w:val="en-US" w:eastAsia="nl-BE"/>
              </w:rPr>
              <w:t xml:space="preserve"> </w:t>
            </w:r>
          </w:p>
        </w:tc>
        <w:tc>
          <w:tcPr>
            <w:tcW w:w="0" w:type="auto"/>
            <w:tcBorders>
              <w:top w:val="single" w:sz="4" w:space="0" w:color="auto"/>
              <w:left w:val="nil"/>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w:t>
            </w:r>
          </w:p>
        </w:tc>
        <w:tc>
          <w:tcPr>
            <w:tcW w:w="0" w:type="auto"/>
            <w:tcBorders>
              <w:top w:val="single" w:sz="4" w:space="0" w:color="auto"/>
              <w:left w:val="nil"/>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w:t>
            </w:r>
          </w:p>
        </w:tc>
        <w:tc>
          <w:tcPr>
            <w:tcW w:w="0" w:type="auto"/>
            <w:tcBorders>
              <w:top w:val="single" w:sz="4" w:space="0" w:color="auto"/>
              <w:left w:val="nil"/>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w:t>
            </w:r>
          </w:p>
        </w:tc>
        <w:tc>
          <w:tcPr>
            <w:tcW w:w="0" w:type="auto"/>
            <w:tcBorders>
              <w:top w:val="single" w:sz="4" w:space="0" w:color="auto"/>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single" w:sz="4" w:space="0" w:color="auto"/>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single" w:sz="4" w:space="0" w:color="auto"/>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77"/>
        </w:trPr>
        <w:tc>
          <w:tcPr>
            <w:tcW w:w="0" w:type="auto"/>
            <w:tcBorders>
              <w:top w:val="nil"/>
              <w:left w:val="nil"/>
              <w:bottom w:val="nil"/>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N </w:t>
            </w:r>
          </w:p>
        </w:tc>
        <w:tc>
          <w:tcPr>
            <w:tcW w:w="0" w:type="auto"/>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105</w:t>
            </w:r>
          </w:p>
        </w:tc>
        <w:tc>
          <w:tcPr>
            <w:tcW w:w="0" w:type="auto"/>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w:t>
            </w:r>
          </w:p>
        </w:tc>
        <w:tc>
          <w:tcPr>
            <w:tcW w:w="0" w:type="auto"/>
            <w:tcBorders>
              <w:top w:val="nil"/>
              <w:left w:val="nil"/>
              <w:bottom w:val="nil"/>
              <w:right w:val="nil"/>
            </w:tcBorders>
            <w:shd w:val="clear" w:color="000000" w:fill="FFFFFF"/>
            <w:noWrap/>
            <w:vAlign w:val="bottom"/>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105</w:t>
            </w:r>
          </w:p>
        </w:tc>
        <w:tc>
          <w:tcPr>
            <w:tcW w:w="0" w:type="auto"/>
            <w:tcBorders>
              <w:top w:val="nil"/>
              <w:left w:val="nil"/>
              <w:bottom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17"/>
        </w:trPr>
        <w:tc>
          <w:tcPr>
            <w:tcW w:w="0" w:type="auto"/>
            <w:tcBorders>
              <w:top w:val="nil"/>
              <w:left w:val="nil"/>
              <w:right w:val="nil"/>
            </w:tcBorders>
            <w:shd w:val="clear" w:color="000000" w:fill="FFFFFF"/>
            <w:noWrap/>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Wald Chi 2</w:t>
            </w:r>
          </w:p>
        </w:tc>
        <w:tc>
          <w:tcPr>
            <w:tcW w:w="0" w:type="auto"/>
            <w:tcBorders>
              <w:top w:val="nil"/>
              <w:left w:val="nil"/>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30.15</w:t>
            </w:r>
          </w:p>
        </w:tc>
        <w:tc>
          <w:tcPr>
            <w:tcW w:w="0" w:type="auto"/>
            <w:tcBorders>
              <w:top w:val="nil"/>
              <w:left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70.87</w:t>
            </w: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top w:val="nil"/>
              <w:left w:val="nil"/>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17"/>
        </w:trPr>
        <w:tc>
          <w:tcPr>
            <w:tcW w:w="0" w:type="auto"/>
            <w:tcBorders>
              <w:left w:val="nil"/>
              <w:bottom w:val="double" w:sz="6" w:space="0" w:color="auto"/>
              <w:right w:val="nil"/>
            </w:tcBorders>
            <w:shd w:val="clear" w:color="000000" w:fill="FFFFFF"/>
            <w:noWrap/>
            <w:hideMark/>
          </w:tcPr>
          <w:p w:rsidR="007F1075" w:rsidRPr="00724834" w:rsidRDefault="007F1075" w:rsidP="00F77C0F">
            <w:pPr>
              <w:spacing w:after="0" w:line="240" w:lineRule="auto"/>
              <w:rPr>
                <w:rFonts w:ascii="Garamond" w:eastAsia="Times New Roman" w:hAnsi="Garamond" w:cs="Calibri"/>
                <w:lang w:val="en-US" w:eastAsia="nl-BE"/>
              </w:rPr>
            </w:pPr>
            <w:r w:rsidRPr="00724834">
              <w:rPr>
                <w:rFonts w:ascii="Garamond" w:eastAsia="Times New Roman" w:hAnsi="Garamond" w:cs="Calibri"/>
                <w:lang w:val="en-US" w:eastAsia="nl-BE"/>
              </w:rPr>
              <w:t xml:space="preserve"> Pseudo R2 </w:t>
            </w:r>
          </w:p>
        </w:tc>
        <w:tc>
          <w:tcPr>
            <w:tcW w:w="0" w:type="auto"/>
            <w:tcBorders>
              <w:left w:val="nil"/>
              <w:bottom w:val="double" w:sz="6" w:space="0" w:color="auto"/>
              <w:right w:val="nil"/>
            </w:tcBorders>
            <w:shd w:val="clear" w:color="000000" w:fill="FFFFFF"/>
            <w:noWrap/>
            <w:vAlign w:val="bottom"/>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0.74</w:t>
            </w:r>
          </w:p>
        </w:tc>
        <w:tc>
          <w:tcPr>
            <w:tcW w:w="0" w:type="auto"/>
            <w:tcBorders>
              <w:left w:val="nil"/>
              <w:bottom w:val="double" w:sz="6" w:space="0" w:color="auto"/>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left w:val="nil"/>
              <w:bottom w:val="double" w:sz="6" w:space="0" w:color="auto"/>
              <w:right w:val="nil"/>
            </w:tcBorders>
            <w:shd w:val="clear" w:color="000000" w:fill="FFFFFF"/>
            <w:noWrap/>
            <w:vAlign w:val="bottom"/>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left w:val="nil"/>
              <w:bottom w:val="double" w:sz="6" w:space="0" w:color="auto"/>
              <w:right w:val="nil"/>
            </w:tcBorders>
            <w:shd w:val="clear" w:color="000000" w:fill="FFFFFF"/>
          </w:tcPr>
          <w:p w:rsidR="007F1075" w:rsidRPr="00724834" w:rsidRDefault="007F1075" w:rsidP="00F77C0F">
            <w:pPr>
              <w:spacing w:after="0" w:line="240" w:lineRule="auto"/>
              <w:jc w:val="right"/>
              <w:rPr>
                <w:rFonts w:ascii="Garamond" w:eastAsia="Times New Roman" w:hAnsi="Garamond" w:cs="Calibri"/>
                <w:lang w:val="en-US" w:eastAsia="nl-BE"/>
              </w:rPr>
            </w:pPr>
            <w:r w:rsidRPr="00724834">
              <w:rPr>
                <w:rFonts w:ascii="Garamond" w:eastAsia="Times New Roman" w:hAnsi="Garamond" w:cs="Calibri"/>
                <w:lang w:val="en-US" w:eastAsia="nl-BE"/>
              </w:rPr>
              <w:t>0.75</w:t>
            </w:r>
          </w:p>
        </w:tc>
        <w:tc>
          <w:tcPr>
            <w:tcW w:w="0" w:type="auto"/>
            <w:tcBorders>
              <w:left w:val="nil"/>
              <w:bottom w:val="double" w:sz="6" w:space="0" w:color="auto"/>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c>
          <w:tcPr>
            <w:tcW w:w="0" w:type="auto"/>
            <w:tcBorders>
              <w:left w:val="nil"/>
              <w:bottom w:val="double" w:sz="6" w:space="0" w:color="auto"/>
              <w:right w:val="nil"/>
            </w:tcBorders>
            <w:shd w:val="clear" w:color="000000" w:fill="FFFFFF"/>
          </w:tcPr>
          <w:p w:rsidR="007F1075" w:rsidRPr="00724834" w:rsidRDefault="007F1075" w:rsidP="00F77C0F">
            <w:pPr>
              <w:spacing w:after="0" w:line="240" w:lineRule="auto"/>
              <w:rPr>
                <w:rFonts w:ascii="Garamond" w:eastAsia="Times New Roman" w:hAnsi="Garamond" w:cs="Calibri"/>
                <w:lang w:val="en-US" w:eastAsia="nl-BE"/>
              </w:rPr>
            </w:pPr>
          </w:p>
        </w:tc>
      </w:tr>
      <w:tr w:rsidR="00724834" w:rsidRPr="00724834" w:rsidTr="00F77C0F">
        <w:trPr>
          <w:trHeight w:val="217"/>
        </w:trPr>
        <w:tc>
          <w:tcPr>
            <w:tcW w:w="0" w:type="auto"/>
            <w:gridSpan w:val="7"/>
            <w:tcBorders>
              <w:top w:val="double" w:sz="6" w:space="0" w:color="auto"/>
              <w:left w:val="nil"/>
              <w:bottom w:val="nil"/>
              <w:right w:val="nil"/>
            </w:tcBorders>
            <w:shd w:val="clear" w:color="000000" w:fill="FFFFFF"/>
            <w:noWrap/>
            <w:vAlign w:val="bottom"/>
            <w:hideMark/>
          </w:tcPr>
          <w:p w:rsidR="007F1075" w:rsidRPr="00724834" w:rsidRDefault="007F1075" w:rsidP="00F77C0F">
            <w:pPr>
              <w:spacing w:after="0" w:line="240" w:lineRule="auto"/>
              <w:jc w:val="center"/>
              <w:rPr>
                <w:rFonts w:ascii="Garamond" w:eastAsia="Times New Roman" w:hAnsi="Garamond" w:cs="Calibri"/>
                <w:sz w:val="20"/>
                <w:szCs w:val="20"/>
                <w:lang w:val="en-US" w:eastAsia="nl-BE"/>
              </w:rPr>
            </w:pPr>
            <w:r w:rsidRPr="00724834">
              <w:rPr>
                <w:rFonts w:ascii="Garamond" w:eastAsia="Times New Roman" w:hAnsi="Garamond" w:cs="Calibri"/>
                <w:sz w:val="20"/>
                <w:szCs w:val="20"/>
                <w:lang w:val="en-US" w:eastAsia="nl-BE"/>
              </w:rPr>
              <w:t xml:space="preserve"> Robust standard errors in parentheses with significance levels indicated by † P&lt;0.10, *P&lt;0.05 and **P&lt;0.01 </w:t>
            </w:r>
          </w:p>
        </w:tc>
      </w:tr>
    </w:tbl>
    <w:p w:rsidR="007F1075" w:rsidRPr="00724834" w:rsidRDefault="007F1075" w:rsidP="007F1075">
      <w:pPr>
        <w:rPr>
          <w:noProof/>
          <w:lang w:val="en-US"/>
        </w:rPr>
      </w:pPr>
    </w:p>
    <w:p w:rsidR="007F1075" w:rsidRPr="00724834" w:rsidRDefault="007F1075" w:rsidP="007F1075">
      <w:pPr>
        <w:rPr>
          <w:lang w:val="en-US"/>
        </w:rPr>
      </w:pPr>
      <w:r w:rsidRPr="00724834">
        <w:rPr>
          <w:lang w:val="en-US"/>
        </w:rPr>
        <w:br w:type="page"/>
      </w:r>
    </w:p>
    <w:p w:rsidR="007F1075" w:rsidRPr="00724834" w:rsidRDefault="007F1075" w:rsidP="007F1075">
      <w:pPr>
        <w:pStyle w:val="Heading1"/>
      </w:pPr>
      <w:bookmarkStart w:id="12" w:name="_Toc132807395"/>
      <w:r w:rsidRPr="00724834">
        <w:lastRenderedPageBreak/>
        <w:t>References</w:t>
      </w:r>
      <w:bookmarkEnd w:id="12"/>
      <w:r w:rsidRPr="00724834">
        <w:t xml:space="preserve"> </w:t>
      </w:r>
    </w:p>
    <w:p w:rsidR="007F1075" w:rsidRPr="00724834" w:rsidRDefault="007F1075" w:rsidP="007F1075">
      <w:pPr>
        <w:pStyle w:val="EndNoteBibliography"/>
        <w:spacing w:before="240" w:after="0" w:line="480" w:lineRule="auto"/>
        <w:ind w:left="720" w:hanging="720"/>
        <w:rPr>
          <w:rFonts w:ascii="Garamond" w:hAnsi="Garamond" w:cs="Times New Roman"/>
        </w:rPr>
      </w:pPr>
      <w:r w:rsidRPr="00724834">
        <w:rPr>
          <w:rFonts w:ascii="Garamond" w:eastAsiaTheme="majorEastAsia" w:hAnsi="Garamond" w:cs="Times New Roman"/>
          <w:b/>
        </w:rPr>
        <w:fldChar w:fldCharType="begin"/>
      </w:r>
      <w:r w:rsidRPr="00724834">
        <w:rPr>
          <w:rFonts w:ascii="Garamond" w:eastAsiaTheme="majorEastAsia" w:hAnsi="Garamond" w:cs="Times New Roman"/>
          <w:b/>
        </w:rPr>
        <w:instrText xml:space="preserve"> ADDIN EN.REFLIST </w:instrText>
      </w:r>
      <w:r w:rsidRPr="00724834">
        <w:rPr>
          <w:rFonts w:ascii="Garamond" w:eastAsiaTheme="majorEastAsia" w:hAnsi="Garamond" w:cs="Times New Roman"/>
          <w:b/>
        </w:rPr>
        <w:fldChar w:fldCharType="separate"/>
      </w:r>
      <w:r w:rsidRPr="00724834">
        <w:rPr>
          <w:rFonts w:ascii="Garamond" w:hAnsi="Garamond" w:cs="Times New Roman"/>
        </w:rPr>
        <w:t xml:space="preserve">Burstein P. (2014) </w:t>
      </w:r>
      <w:r w:rsidRPr="00724834">
        <w:rPr>
          <w:rFonts w:ascii="Garamond" w:hAnsi="Garamond" w:cs="Times New Roman"/>
          <w:i/>
        </w:rPr>
        <w:t>American public opinion, advocacy, and policy in congress: What the public wants and what it gets</w:t>
      </w:r>
      <w:r w:rsidRPr="00724834">
        <w:rPr>
          <w:rFonts w:ascii="Garamond" w:hAnsi="Garamond" w:cs="Times New Roman"/>
        </w:rPr>
        <w:t>: Cambridge University Press.</w:t>
      </w:r>
    </w:p>
    <w:p w:rsidR="007F1075" w:rsidRPr="00724834" w:rsidRDefault="007F1075" w:rsidP="007F1075">
      <w:pPr>
        <w:pStyle w:val="EndNoteBibliography"/>
        <w:spacing w:after="0" w:line="480" w:lineRule="auto"/>
        <w:ind w:left="720" w:hanging="720"/>
        <w:rPr>
          <w:rFonts w:ascii="Garamond" w:hAnsi="Garamond" w:cs="Times New Roman"/>
        </w:rPr>
      </w:pPr>
      <w:r w:rsidRPr="00724834">
        <w:rPr>
          <w:rFonts w:ascii="Garamond" w:hAnsi="Garamond" w:cs="Times New Roman"/>
        </w:rPr>
        <w:t xml:space="preserve">Chalmers, A. W. (2013). Trading information for access: informational lobbying strategies and interest group access to the European Union. </w:t>
      </w:r>
      <w:r w:rsidRPr="00724834">
        <w:rPr>
          <w:rFonts w:ascii="Garamond" w:hAnsi="Garamond" w:cs="Times New Roman"/>
          <w:i/>
        </w:rPr>
        <w:t>Journal of European Public Policy,</w:t>
      </w:r>
      <w:r w:rsidRPr="00724834">
        <w:rPr>
          <w:rFonts w:ascii="Garamond" w:hAnsi="Garamond" w:cs="Times New Roman"/>
        </w:rPr>
        <w:t xml:space="preserve"> 20(1), 39-58.</w:t>
      </w:r>
    </w:p>
    <w:p w:rsidR="007F1075" w:rsidRPr="00724834" w:rsidRDefault="007F1075" w:rsidP="007F1075">
      <w:pPr>
        <w:pStyle w:val="EndNoteBibliography"/>
        <w:spacing w:after="0" w:line="480" w:lineRule="auto"/>
        <w:ind w:left="720" w:hanging="720"/>
        <w:rPr>
          <w:rFonts w:ascii="Garamond" w:hAnsi="Garamond" w:cs="Times New Roman"/>
        </w:rPr>
      </w:pPr>
      <w:r w:rsidRPr="00724834">
        <w:rPr>
          <w:rFonts w:ascii="Garamond" w:hAnsi="Garamond" w:cs="Times New Roman"/>
        </w:rPr>
        <w:t xml:space="preserve">Crepaz, M., &amp; Hanegraaff, M. (2019). The funding of interest groups in the EU: are the rich getting richer? </w:t>
      </w:r>
      <w:r w:rsidRPr="00724834">
        <w:rPr>
          <w:rFonts w:ascii="Garamond" w:hAnsi="Garamond" w:cs="Times New Roman"/>
          <w:i/>
        </w:rPr>
        <w:t>Journal of European Public Policy</w:t>
      </w:r>
      <w:r w:rsidRPr="00724834">
        <w:rPr>
          <w:rFonts w:ascii="Garamond" w:hAnsi="Garamond" w:cs="Times New Roman"/>
        </w:rPr>
        <w:t>, 1-20.</w:t>
      </w:r>
    </w:p>
    <w:p w:rsidR="007F1075" w:rsidRPr="00724834" w:rsidRDefault="007F1075" w:rsidP="007F1075">
      <w:pPr>
        <w:pStyle w:val="EndNoteBibliography"/>
        <w:spacing w:after="0" w:line="480" w:lineRule="auto"/>
        <w:ind w:left="720" w:hanging="720"/>
        <w:rPr>
          <w:rFonts w:ascii="Garamond" w:hAnsi="Garamond" w:cs="Times New Roman"/>
        </w:rPr>
      </w:pPr>
      <w:r w:rsidRPr="00724834">
        <w:rPr>
          <w:rFonts w:ascii="Garamond" w:hAnsi="Garamond" w:cs="Times New Roman"/>
        </w:rPr>
        <w:t xml:space="preserve">De Bruycker I and Beyers J. (2015) Balanced or biased? Interest groups and legislative lobbying in the European news media. </w:t>
      </w:r>
      <w:r w:rsidRPr="00724834">
        <w:rPr>
          <w:rFonts w:ascii="Garamond" w:hAnsi="Garamond" w:cs="Times New Roman"/>
          <w:i/>
        </w:rPr>
        <w:t>Political Communication</w:t>
      </w:r>
      <w:r w:rsidRPr="00724834">
        <w:rPr>
          <w:rFonts w:ascii="Garamond" w:hAnsi="Garamond" w:cs="Times New Roman"/>
        </w:rPr>
        <w:t xml:space="preserve"> 32: 453-474.</w:t>
      </w:r>
    </w:p>
    <w:p w:rsidR="007F1075" w:rsidRPr="00724834" w:rsidRDefault="007F1075" w:rsidP="007F1075">
      <w:pPr>
        <w:pStyle w:val="EndNoteBibliography"/>
        <w:spacing w:after="0" w:line="480" w:lineRule="auto"/>
        <w:ind w:left="720" w:hanging="720"/>
        <w:rPr>
          <w:rFonts w:ascii="Garamond" w:hAnsi="Garamond" w:cs="Times New Roman"/>
        </w:rPr>
      </w:pPr>
      <w:r w:rsidRPr="00724834">
        <w:rPr>
          <w:rFonts w:ascii="Garamond" w:hAnsi="Garamond" w:cs="Times New Roman"/>
        </w:rPr>
        <w:t xml:space="preserve">Page BI and Shapiro RY. (1983) Effects of public opinion on policy. </w:t>
      </w:r>
      <w:r w:rsidRPr="00724834">
        <w:rPr>
          <w:rFonts w:ascii="Garamond" w:hAnsi="Garamond" w:cs="Times New Roman"/>
          <w:i/>
        </w:rPr>
        <w:t>American Political Science Review</w:t>
      </w:r>
      <w:r w:rsidRPr="00724834">
        <w:rPr>
          <w:rFonts w:ascii="Garamond" w:hAnsi="Garamond" w:cs="Times New Roman"/>
        </w:rPr>
        <w:t xml:space="preserve"> 77: 175-190.</w:t>
      </w:r>
    </w:p>
    <w:p w:rsidR="007F1075" w:rsidRPr="00724834" w:rsidRDefault="007F1075" w:rsidP="007F1075">
      <w:pPr>
        <w:pStyle w:val="EndNoteBibliography"/>
        <w:spacing w:after="0" w:line="480" w:lineRule="auto"/>
        <w:ind w:left="720" w:hanging="720"/>
        <w:rPr>
          <w:rFonts w:ascii="Garamond" w:hAnsi="Garamond" w:cs="Times New Roman"/>
        </w:rPr>
      </w:pPr>
      <w:r w:rsidRPr="00724834">
        <w:rPr>
          <w:rFonts w:ascii="Garamond" w:hAnsi="Garamond" w:cs="Times New Roman"/>
        </w:rPr>
        <w:t xml:space="preserve">Rasmussen A, Mäder LK and Reher S. (2018) With a Little Help From The People? The Role of Public Opinion in Advocacy Success. </w:t>
      </w:r>
      <w:r w:rsidRPr="00724834">
        <w:rPr>
          <w:rFonts w:ascii="Garamond" w:hAnsi="Garamond" w:cs="Times New Roman"/>
          <w:i/>
        </w:rPr>
        <w:t>Comparative Political Studies</w:t>
      </w:r>
      <w:r w:rsidRPr="00724834">
        <w:rPr>
          <w:rFonts w:ascii="Garamond" w:hAnsi="Garamond" w:cs="Times New Roman"/>
        </w:rPr>
        <w:t>. 51(2):</w:t>
      </w:r>
      <w:r w:rsidRPr="00724834">
        <w:rPr>
          <w:rFonts w:ascii="Garamond" w:hAnsi="Garamond"/>
        </w:rPr>
        <w:t xml:space="preserve"> </w:t>
      </w:r>
      <w:r w:rsidRPr="00724834">
        <w:rPr>
          <w:rFonts w:ascii="Garamond" w:hAnsi="Garamond" w:cs="Times New Roman"/>
        </w:rPr>
        <w:t>139-164.</w:t>
      </w:r>
    </w:p>
    <w:p w:rsidR="007F1075" w:rsidRPr="00724834" w:rsidRDefault="007F1075" w:rsidP="007F1075">
      <w:pPr>
        <w:pStyle w:val="EndNoteBibliography"/>
        <w:spacing w:line="480" w:lineRule="auto"/>
        <w:ind w:left="720" w:hanging="720"/>
        <w:rPr>
          <w:rFonts w:ascii="Garamond" w:hAnsi="Garamond" w:cs="Times New Roman"/>
        </w:rPr>
      </w:pPr>
      <w:r w:rsidRPr="00724834">
        <w:rPr>
          <w:rFonts w:ascii="Garamond" w:hAnsi="Garamond" w:cs="Times New Roman"/>
        </w:rPr>
        <w:t xml:space="preserve">Wlezien C. (2004) Patterns of representation: Dynamics of public preferences and policy. </w:t>
      </w:r>
      <w:r w:rsidRPr="00724834">
        <w:rPr>
          <w:rFonts w:ascii="Garamond" w:hAnsi="Garamond" w:cs="Times New Roman"/>
          <w:i/>
        </w:rPr>
        <w:t>Journal of Politics</w:t>
      </w:r>
      <w:r w:rsidRPr="00724834">
        <w:rPr>
          <w:rFonts w:ascii="Garamond" w:hAnsi="Garamond" w:cs="Times New Roman"/>
        </w:rPr>
        <w:t xml:space="preserve"> 66: 1-24.</w:t>
      </w:r>
    </w:p>
    <w:p w:rsidR="007F1075" w:rsidRPr="00724834" w:rsidRDefault="007F1075" w:rsidP="007F1075">
      <w:r w:rsidRPr="00724834">
        <w:rPr>
          <w:rFonts w:ascii="Garamond" w:eastAsiaTheme="majorEastAsia" w:hAnsi="Garamond" w:cs="Times New Roman"/>
          <w:b/>
          <w:lang w:val="en-US"/>
        </w:rPr>
        <w:fldChar w:fldCharType="end"/>
      </w:r>
    </w:p>
    <w:bookmarkEnd w:id="0"/>
    <w:p w:rsidR="00537569" w:rsidRPr="00724834" w:rsidRDefault="00537569"/>
    <w:sectPr w:rsidR="00537569" w:rsidRPr="00724834">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DF9" w:rsidRDefault="00996DF9" w:rsidP="007F1075">
      <w:pPr>
        <w:spacing w:after="0" w:line="240" w:lineRule="auto"/>
      </w:pPr>
      <w:r>
        <w:separator/>
      </w:r>
    </w:p>
  </w:endnote>
  <w:endnote w:type="continuationSeparator" w:id="0">
    <w:p w:rsidR="00996DF9" w:rsidRDefault="00996DF9" w:rsidP="007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0573121"/>
      <w:docPartObj>
        <w:docPartGallery w:val="Page Numbers (Bottom of Page)"/>
        <w:docPartUnique/>
      </w:docPartObj>
    </w:sdtPr>
    <w:sdtContent>
      <w:p w:rsidR="007F1075" w:rsidRPr="000406E4" w:rsidRDefault="007F1075">
        <w:pPr>
          <w:pStyle w:val="Footer"/>
          <w:jc w:val="center"/>
          <w:rPr>
            <w:rFonts w:ascii="Times New Roman" w:hAnsi="Times New Roman" w:cs="Times New Roman"/>
          </w:rPr>
        </w:pPr>
        <w:r w:rsidRPr="000406E4">
          <w:rPr>
            <w:rFonts w:ascii="Times New Roman" w:hAnsi="Times New Roman" w:cs="Times New Roman"/>
          </w:rPr>
          <w:fldChar w:fldCharType="begin"/>
        </w:r>
        <w:r w:rsidRPr="000406E4">
          <w:rPr>
            <w:rFonts w:ascii="Times New Roman" w:hAnsi="Times New Roman" w:cs="Times New Roman"/>
          </w:rPr>
          <w:instrText>PAGE   \* MERGEFORMAT</w:instrText>
        </w:r>
        <w:r w:rsidRPr="000406E4">
          <w:rPr>
            <w:rFonts w:ascii="Times New Roman" w:hAnsi="Times New Roman" w:cs="Times New Roman"/>
          </w:rPr>
          <w:fldChar w:fldCharType="separate"/>
        </w:r>
        <w:r w:rsidR="00724834" w:rsidRPr="00724834">
          <w:rPr>
            <w:rFonts w:ascii="Times New Roman" w:hAnsi="Times New Roman" w:cs="Times New Roman"/>
            <w:noProof/>
            <w:lang w:val="nl-NL"/>
          </w:rPr>
          <w:t>2</w:t>
        </w:r>
        <w:r w:rsidRPr="000406E4">
          <w:rPr>
            <w:rFonts w:ascii="Times New Roman" w:hAnsi="Times New Roman" w:cs="Times New Roman"/>
          </w:rPr>
          <w:fldChar w:fldCharType="end"/>
        </w:r>
      </w:p>
    </w:sdtContent>
  </w:sdt>
  <w:p w:rsidR="007F1075" w:rsidRDefault="007F1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905294963"/>
      <w:docPartObj>
        <w:docPartGallery w:val="Page Numbers (Bottom of Page)"/>
        <w:docPartUnique/>
      </w:docPartObj>
    </w:sdtPr>
    <w:sdtEndPr/>
    <w:sdtContent>
      <w:p w:rsidR="002B5FD9" w:rsidRPr="002D2434" w:rsidRDefault="00996DF9">
        <w:pPr>
          <w:pStyle w:val="Footer"/>
          <w:jc w:val="center"/>
          <w:rPr>
            <w:rFonts w:ascii="Garamond" w:hAnsi="Garamond"/>
          </w:rPr>
        </w:pPr>
        <w:r w:rsidRPr="002D2434">
          <w:rPr>
            <w:rFonts w:ascii="Garamond" w:hAnsi="Garamond"/>
          </w:rPr>
          <w:fldChar w:fldCharType="begin"/>
        </w:r>
        <w:r w:rsidRPr="002D2434">
          <w:rPr>
            <w:rFonts w:ascii="Garamond" w:hAnsi="Garamond"/>
          </w:rPr>
          <w:instrText>PAGE   \* MERGEFORMAT</w:instrText>
        </w:r>
        <w:r w:rsidRPr="002D2434">
          <w:rPr>
            <w:rFonts w:ascii="Garamond" w:hAnsi="Garamond"/>
          </w:rPr>
          <w:fldChar w:fldCharType="separate"/>
        </w:r>
        <w:r w:rsidR="00724834" w:rsidRPr="00724834">
          <w:rPr>
            <w:rFonts w:ascii="Garamond" w:hAnsi="Garamond"/>
            <w:noProof/>
            <w:lang w:val="nl-NL"/>
          </w:rPr>
          <w:t>13</w:t>
        </w:r>
        <w:r w:rsidRPr="002D2434">
          <w:rPr>
            <w:rFonts w:ascii="Garamond" w:hAnsi="Garamond"/>
          </w:rPr>
          <w:fldChar w:fldCharType="end"/>
        </w:r>
      </w:p>
    </w:sdtContent>
  </w:sdt>
  <w:p w:rsidR="002B5FD9" w:rsidRDefault="00996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DF9" w:rsidRDefault="00996DF9" w:rsidP="007F1075">
      <w:pPr>
        <w:spacing w:after="0" w:line="240" w:lineRule="auto"/>
      </w:pPr>
      <w:r>
        <w:separator/>
      </w:r>
    </w:p>
  </w:footnote>
  <w:footnote w:type="continuationSeparator" w:id="0">
    <w:p w:rsidR="00996DF9" w:rsidRDefault="00996DF9" w:rsidP="007F1075">
      <w:pPr>
        <w:spacing w:after="0" w:line="240" w:lineRule="auto"/>
      </w:pPr>
      <w:r>
        <w:continuationSeparator/>
      </w:r>
    </w:p>
  </w:footnote>
  <w:footnote w:id="1">
    <w:p w:rsidR="007F1075" w:rsidRPr="00FE6C21" w:rsidRDefault="007F1075" w:rsidP="007F1075">
      <w:pPr>
        <w:pStyle w:val="FootnoteText"/>
        <w:jc w:val="both"/>
        <w:rPr>
          <w:rFonts w:ascii="Garamond" w:eastAsia="Cambria" w:hAnsi="Garamond" w:cs="Times New Roman"/>
          <w:sz w:val="16"/>
        </w:rPr>
      </w:pPr>
      <w:r w:rsidRPr="00FE6C21">
        <w:rPr>
          <w:rStyle w:val="FootnoteReference"/>
          <w:rFonts w:ascii="Garamond" w:hAnsi="Garamond"/>
        </w:rPr>
        <w:footnoteRef/>
      </w:r>
      <w:r w:rsidRPr="00FE6C21">
        <w:rPr>
          <w:rFonts w:ascii="Garamond" w:hAnsi="Garamond" w:cs="Times New Roman"/>
        </w:rPr>
        <w:t xml:space="preserve"> </w:t>
      </w:r>
      <w:r w:rsidRPr="00FE6C21">
        <w:rPr>
          <w:rFonts w:ascii="Garamond" w:eastAsia="Cambria" w:hAnsi="Garamond" w:cs="Times New Roman"/>
          <w:sz w:val="16"/>
        </w:rPr>
        <w:t xml:space="preserve">In the survey project we define interest groups as all organizations with a political objective and which aggregate political preferences, such as business associations, labor unions, civil society organizations and social movement organizations. We approached individual firms only if we were unable to contact their respective sectoral association or when the association refused to cooperate.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492"/>
    <w:multiLevelType w:val="hybridMultilevel"/>
    <w:tmpl w:val="B968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B39EC"/>
    <w:multiLevelType w:val="hybridMultilevel"/>
    <w:tmpl w:val="884ADE9E"/>
    <w:lvl w:ilvl="0" w:tplc="3AC04F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483663"/>
    <w:multiLevelType w:val="hybridMultilevel"/>
    <w:tmpl w:val="5A9A522C"/>
    <w:lvl w:ilvl="0" w:tplc="927292B2">
      <w:numFmt w:val="bullet"/>
      <w:lvlText w:val="-"/>
      <w:lvlJc w:val="left"/>
      <w:pPr>
        <w:ind w:left="1080" w:hanging="360"/>
      </w:pPr>
      <w:rPr>
        <w:rFonts w:ascii="Garamond" w:eastAsiaTheme="minorHAnsi" w:hAnsi="Garamond"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DC217D"/>
    <w:multiLevelType w:val="hybridMultilevel"/>
    <w:tmpl w:val="019C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E4BFD"/>
    <w:multiLevelType w:val="hybridMultilevel"/>
    <w:tmpl w:val="201E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F5D06"/>
    <w:multiLevelType w:val="hybridMultilevel"/>
    <w:tmpl w:val="EF0AF208"/>
    <w:lvl w:ilvl="0" w:tplc="3AC04F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213642"/>
    <w:multiLevelType w:val="hybridMultilevel"/>
    <w:tmpl w:val="9DA8DDAE"/>
    <w:lvl w:ilvl="0" w:tplc="0409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16B3EE7"/>
    <w:multiLevelType w:val="hybridMultilevel"/>
    <w:tmpl w:val="066E0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E20C71"/>
    <w:multiLevelType w:val="hybridMultilevel"/>
    <w:tmpl w:val="3DEACB7E"/>
    <w:lvl w:ilvl="0" w:tplc="499C4BE8">
      <w:start w:val="2"/>
      <w:numFmt w:val="bullet"/>
      <w:lvlText w:val="-"/>
      <w:lvlJc w:val="left"/>
      <w:pPr>
        <w:ind w:left="360" w:hanging="360"/>
      </w:pPr>
      <w:rPr>
        <w:rFonts w:ascii="Garamond" w:eastAsia="Times New Roman" w:hAnsi="Garamond"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153B5E"/>
    <w:multiLevelType w:val="hybridMultilevel"/>
    <w:tmpl w:val="050E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D36E3"/>
    <w:multiLevelType w:val="hybridMultilevel"/>
    <w:tmpl w:val="A7CEF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544F02"/>
    <w:multiLevelType w:val="hybridMultilevel"/>
    <w:tmpl w:val="774E6FB4"/>
    <w:lvl w:ilvl="0" w:tplc="499C4BE8">
      <w:start w:val="2"/>
      <w:numFmt w:val="bullet"/>
      <w:lvlText w:val="-"/>
      <w:lvlJc w:val="left"/>
      <w:pPr>
        <w:ind w:left="360" w:hanging="360"/>
      </w:pPr>
      <w:rPr>
        <w:rFonts w:ascii="Garamond" w:eastAsia="Times New Roman" w:hAnsi="Garamond"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6CF7D34"/>
    <w:multiLevelType w:val="hybridMultilevel"/>
    <w:tmpl w:val="9E68ABCC"/>
    <w:lvl w:ilvl="0" w:tplc="4A1A1C18">
      <w:start w:val="1"/>
      <w:numFmt w:val="decimal"/>
      <w:pStyle w:val="Heading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B547F"/>
    <w:multiLevelType w:val="hybridMultilevel"/>
    <w:tmpl w:val="BB1233D8"/>
    <w:lvl w:ilvl="0" w:tplc="499C4BE8">
      <w:start w:val="2"/>
      <w:numFmt w:val="bullet"/>
      <w:lvlText w:val="-"/>
      <w:lvlJc w:val="left"/>
      <w:pPr>
        <w:ind w:left="360" w:hanging="360"/>
      </w:pPr>
      <w:rPr>
        <w:rFonts w:ascii="Garamond" w:eastAsia="Times New Roman" w:hAnsi="Garamond"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2E177198"/>
    <w:multiLevelType w:val="hybridMultilevel"/>
    <w:tmpl w:val="E5269A2E"/>
    <w:lvl w:ilvl="0" w:tplc="41549A80">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21AC8"/>
    <w:multiLevelType w:val="hybridMultilevel"/>
    <w:tmpl w:val="2AD2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F4D98"/>
    <w:multiLevelType w:val="hybridMultilevel"/>
    <w:tmpl w:val="8F94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044B6"/>
    <w:multiLevelType w:val="hybridMultilevel"/>
    <w:tmpl w:val="6C36AB80"/>
    <w:lvl w:ilvl="0" w:tplc="499C4BE8">
      <w:start w:val="2"/>
      <w:numFmt w:val="bullet"/>
      <w:lvlText w:val="-"/>
      <w:lvlJc w:val="left"/>
      <w:pPr>
        <w:ind w:left="360" w:hanging="360"/>
      </w:pPr>
      <w:rPr>
        <w:rFonts w:ascii="Garamond" w:eastAsia="Times New Roman" w:hAnsi="Garamond"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CE5B0E"/>
    <w:multiLevelType w:val="hybridMultilevel"/>
    <w:tmpl w:val="E0E0A8D6"/>
    <w:lvl w:ilvl="0" w:tplc="3AC04F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951814"/>
    <w:multiLevelType w:val="hybridMultilevel"/>
    <w:tmpl w:val="1862E6A2"/>
    <w:lvl w:ilvl="0" w:tplc="3AC04F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8D3EED"/>
    <w:multiLevelType w:val="hybridMultilevel"/>
    <w:tmpl w:val="8794C202"/>
    <w:lvl w:ilvl="0" w:tplc="499C4BE8">
      <w:start w:val="2"/>
      <w:numFmt w:val="bullet"/>
      <w:lvlText w:val="-"/>
      <w:lvlJc w:val="left"/>
      <w:pPr>
        <w:ind w:left="720" w:hanging="360"/>
      </w:pPr>
      <w:rPr>
        <w:rFonts w:ascii="Garamond" w:eastAsia="Times New Roman" w:hAnsi="Garam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73F82"/>
    <w:multiLevelType w:val="hybridMultilevel"/>
    <w:tmpl w:val="4912B342"/>
    <w:lvl w:ilvl="0" w:tplc="499C4BE8">
      <w:start w:val="2"/>
      <w:numFmt w:val="bullet"/>
      <w:lvlText w:val="-"/>
      <w:lvlJc w:val="left"/>
      <w:pPr>
        <w:ind w:left="360" w:hanging="360"/>
      </w:pPr>
      <w:rPr>
        <w:rFonts w:ascii="Garamond" w:eastAsia="Times New Roman" w:hAnsi="Garamond"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41B03EAD"/>
    <w:multiLevelType w:val="hybridMultilevel"/>
    <w:tmpl w:val="D07E1192"/>
    <w:lvl w:ilvl="0" w:tplc="499C4BE8">
      <w:start w:val="2"/>
      <w:numFmt w:val="bullet"/>
      <w:lvlText w:val="-"/>
      <w:lvlJc w:val="left"/>
      <w:pPr>
        <w:ind w:left="360" w:hanging="360"/>
      </w:pPr>
      <w:rPr>
        <w:rFonts w:ascii="Garamond" w:eastAsia="Times New Roman" w:hAnsi="Garamond" w:cs="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BA65E00"/>
    <w:multiLevelType w:val="hybridMultilevel"/>
    <w:tmpl w:val="CAB40FDE"/>
    <w:lvl w:ilvl="0" w:tplc="499C4BE8">
      <w:start w:val="2"/>
      <w:numFmt w:val="bullet"/>
      <w:lvlText w:val="-"/>
      <w:lvlJc w:val="left"/>
      <w:pPr>
        <w:ind w:left="360" w:hanging="360"/>
      </w:pPr>
      <w:rPr>
        <w:rFonts w:ascii="Garamond" w:eastAsia="Times New Roman" w:hAnsi="Garamond"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560A176C"/>
    <w:multiLevelType w:val="hybridMultilevel"/>
    <w:tmpl w:val="6860A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386077"/>
    <w:multiLevelType w:val="hybridMultilevel"/>
    <w:tmpl w:val="95845D0C"/>
    <w:lvl w:ilvl="0" w:tplc="499C4BE8">
      <w:start w:val="2"/>
      <w:numFmt w:val="bullet"/>
      <w:lvlText w:val="-"/>
      <w:lvlJc w:val="left"/>
      <w:pPr>
        <w:ind w:left="720" w:hanging="360"/>
      </w:pPr>
      <w:rPr>
        <w:rFonts w:ascii="Garamond" w:eastAsia="Times New Roman" w:hAnsi="Garam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C21C5B"/>
    <w:multiLevelType w:val="hybridMultilevel"/>
    <w:tmpl w:val="1D4410DE"/>
    <w:lvl w:ilvl="0" w:tplc="499C4BE8">
      <w:start w:val="2"/>
      <w:numFmt w:val="bullet"/>
      <w:lvlText w:val="-"/>
      <w:lvlJc w:val="left"/>
      <w:pPr>
        <w:ind w:left="360" w:hanging="360"/>
      </w:pPr>
      <w:rPr>
        <w:rFonts w:ascii="Garamond" w:eastAsia="Times New Roman" w:hAnsi="Garamond"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5F3547FF"/>
    <w:multiLevelType w:val="hybridMultilevel"/>
    <w:tmpl w:val="8A928EA4"/>
    <w:lvl w:ilvl="0" w:tplc="AEDEED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C719E"/>
    <w:multiLevelType w:val="hybridMultilevel"/>
    <w:tmpl w:val="0A9C4E18"/>
    <w:lvl w:ilvl="0" w:tplc="499C4BE8">
      <w:start w:val="2"/>
      <w:numFmt w:val="bullet"/>
      <w:lvlText w:val="-"/>
      <w:lvlJc w:val="left"/>
      <w:pPr>
        <w:ind w:left="360" w:hanging="360"/>
      </w:pPr>
      <w:rPr>
        <w:rFonts w:ascii="Garamond" w:eastAsia="Times New Roman" w:hAnsi="Garamond"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A053AC"/>
    <w:multiLevelType w:val="hybridMultilevel"/>
    <w:tmpl w:val="49B63870"/>
    <w:lvl w:ilvl="0" w:tplc="499C4BE8">
      <w:start w:val="2"/>
      <w:numFmt w:val="bullet"/>
      <w:lvlText w:val="-"/>
      <w:lvlJc w:val="left"/>
      <w:pPr>
        <w:ind w:left="360" w:hanging="360"/>
      </w:pPr>
      <w:rPr>
        <w:rFonts w:ascii="Garamond" w:eastAsia="Times New Roman" w:hAnsi="Garamond"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A76212"/>
    <w:multiLevelType w:val="hybridMultilevel"/>
    <w:tmpl w:val="19CE79E4"/>
    <w:lvl w:ilvl="0" w:tplc="AB52E08A">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74023F"/>
    <w:multiLevelType w:val="hybridMultilevel"/>
    <w:tmpl w:val="8E34E4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AC340C"/>
    <w:multiLevelType w:val="hybridMultilevel"/>
    <w:tmpl w:val="6430E292"/>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CC1F10"/>
    <w:multiLevelType w:val="hybridMultilevel"/>
    <w:tmpl w:val="09E4E11C"/>
    <w:lvl w:ilvl="0" w:tplc="499C4BE8">
      <w:start w:val="2"/>
      <w:numFmt w:val="bullet"/>
      <w:lvlText w:val="-"/>
      <w:lvlJc w:val="left"/>
      <w:pPr>
        <w:ind w:left="360" w:hanging="360"/>
      </w:pPr>
      <w:rPr>
        <w:rFonts w:ascii="Garamond" w:eastAsia="Times New Roman" w:hAnsi="Garamond"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74454532"/>
    <w:multiLevelType w:val="hybridMultilevel"/>
    <w:tmpl w:val="5FA248A6"/>
    <w:lvl w:ilvl="0" w:tplc="499C4BE8">
      <w:start w:val="2"/>
      <w:numFmt w:val="bullet"/>
      <w:lvlText w:val="-"/>
      <w:lvlJc w:val="left"/>
      <w:pPr>
        <w:ind w:left="360" w:hanging="360"/>
      </w:pPr>
      <w:rPr>
        <w:rFonts w:ascii="Garamond" w:eastAsia="Times New Roman" w:hAnsi="Garam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7F419D"/>
    <w:multiLevelType w:val="hybridMultilevel"/>
    <w:tmpl w:val="D814198E"/>
    <w:lvl w:ilvl="0" w:tplc="499C4BE8">
      <w:start w:val="2"/>
      <w:numFmt w:val="bullet"/>
      <w:lvlText w:val="-"/>
      <w:lvlJc w:val="left"/>
      <w:pPr>
        <w:ind w:left="360" w:hanging="360"/>
      </w:pPr>
      <w:rPr>
        <w:rFonts w:ascii="Garamond" w:eastAsia="Times New Roman" w:hAnsi="Garamond"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4A2BC5"/>
    <w:multiLevelType w:val="hybridMultilevel"/>
    <w:tmpl w:val="45D6A300"/>
    <w:lvl w:ilvl="0" w:tplc="E2965666">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7773B6"/>
    <w:multiLevelType w:val="hybridMultilevel"/>
    <w:tmpl w:val="DB003DCC"/>
    <w:lvl w:ilvl="0" w:tplc="499C4BE8">
      <w:start w:val="2"/>
      <w:numFmt w:val="bullet"/>
      <w:lvlText w:val="-"/>
      <w:lvlJc w:val="left"/>
      <w:pPr>
        <w:ind w:left="360" w:hanging="360"/>
      </w:pPr>
      <w:rPr>
        <w:rFonts w:ascii="Garamond" w:eastAsia="Times New Roman" w:hAnsi="Garamond"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5"/>
  </w:num>
  <w:num w:numId="3">
    <w:abstractNumId w:val="20"/>
  </w:num>
  <w:num w:numId="4">
    <w:abstractNumId w:val="18"/>
  </w:num>
  <w:num w:numId="5">
    <w:abstractNumId w:val="5"/>
  </w:num>
  <w:num w:numId="6">
    <w:abstractNumId w:val="3"/>
  </w:num>
  <w:num w:numId="7">
    <w:abstractNumId w:val="1"/>
  </w:num>
  <w:num w:numId="8">
    <w:abstractNumId w:val="37"/>
  </w:num>
  <w:num w:numId="9">
    <w:abstractNumId w:val="17"/>
  </w:num>
  <w:num w:numId="10">
    <w:abstractNumId w:val="28"/>
  </w:num>
  <w:num w:numId="11">
    <w:abstractNumId w:val="31"/>
  </w:num>
  <w:num w:numId="12">
    <w:abstractNumId w:val="8"/>
  </w:num>
  <w:num w:numId="13">
    <w:abstractNumId w:val="33"/>
  </w:num>
  <w:num w:numId="14">
    <w:abstractNumId w:val="26"/>
  </w:num>
  <w:num w:numId="15">
    <w:abstractNumId w:val="13"/>
  </w:num>
  <w:num w:numId="16">
    <w:abstractNumId w:val="11"/>
  </w:num>
  <w:num w:numId="17">
    <w:abstractNumId w:val="21"/>
  </w:num>
  <w:num w:numId="18">
    <w:abstractNumId w:val="23"/>
  </w:num>
  <w:num w:numId="19">
    <w:abstractNumId w:val="10"/>
  </w:num>
  <w:num w:numId="20">
    <w:abstractNumId w:val="24"/>
  </w:num>
  <w:num w:numId="21">
    <w:abstractNumId w:val="6"/>
  </w:num>
  <w:num w:numId="22">
    <w:abstractNumId w:val="12"/>
  </w:num>
  <w:num w:numId="23">
    <w:abstractNumId w:val="35"/>
  </w:num>
  <w:num w:numId="24">
    <w:abstractNumId w:val="2"/>
  </w:num>
  <w:num w:numId="25">
    <w:abstractNumId w:val="15"/>
  </w:num>
  <w:num w:numId="26">
    <w:abstractNumId w:val="16"/>
  </w:num>
  <w:num w:numId="27">
    <w:abstractNumId w:val="30"/>
  </w:num>
  <w:num w:numId="28">
    <w:abstractNumId w:val="27"/>
  </w:num>
  <w:num w:numId="29">
    <w:abstractNumId w:val="0"/>
  </w:num>
  <w:num w:numId="30">
    <w:abstractNumId w:val="36"/>
  </w:num>
  <w:num w:numId="31">
    <w:abstractNumId w:val="14"/>
  </w:num>
  <w:num w:numId="32">
    <w:abstractNumId w:val="32"/>
  </w:num>
  <w:num w:numId="33">
    <w:abstractNumId w:val="9"/>
  </w:num>
  <w:num w:numId="34">
    <w:abstractNumId w:val="4"/>
  </w:num>
  <w:num w:numId="35">
    <w:abstractNumId w:val="7"/>
  </w:num>
  <w:num w:numId="36">
    <w:abstractNumId w:val="29"/>
  </w:num>
  <w:num w:numId="37">
    <w:abstractNumId w:val="3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75"/>
    <w:rsid w:val="00537569"/>
    <w:rsid w:val="00724834"/>
    <w:rsid w:val="007F1075"/>
    <w:rsid w:val="009164E2"/>
    <w:rsid w:val="0099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9654"/>
  <w15:chartTrackingRefBased/>
  <w15:docId w15:val="{83F5BE30-E192-4CE7-B2D9-C648B252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075"/>
    <w:rPr>
      <w:lang w:val="nl-BE"/>
    </w:rPr>
  </w:style>
  <w:style w:type="paragraph" w:styleId="Heading1">
    <w:name w:val="heading 1"/>
    <w:basedOn w:val="Normal"/>
    <w:next w:val="Normal"/>
    <w:link w:val="Heading1Char"/>
    <w:uiPriority w:val="9"/>
    <w:qFormat/>
    <w:rsid w:val="007F1075"/>
    <w:pPr>
      <w:keepNext/>
      <w:keepLines/>
      <w:numPr>
        <w:numId w:val="22"/>
      </w:numPr>
      <w:spacing w:before="240" w:after="0"/>
      <w:outlineLvl w:val="0"/>
    </w:pPr>
    <w:rPr>
      <w:rFonts w:ascii="Garamond" w:eastAsiaTheme="majorEastAsia" w:hAnsi="Garamond" w:cstheme="majorBidi"/>
      <w:b/>
      <w:sz w:val="24"/>
      <w:szCs w:val="32"/>
      <w:lang w:val="en-US"/>
    </w:rPr>
  </w:style>
  <w:style w:type="paragraph" w:styleId="Heading3">
    <w:name w:val="heading 3"/>
    <w:basedOn w:val="Normal"/>
    <w:next w:val="Normal"/>
    <w:link w:val="Heading3Char"/>
    <w:uiPriority w:val="9"/>
    <w:semiHidden/>
    <w:unhideWhenUsed/>
    <w:qFormat/>
    <w:rsid w:val="007F10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075"/>
    <w:rPr>
      <w:rFonts w:ascii="Garamond" w:eastAsiaTheme="majorEastAsia" w:hAnsi="Garamond" w:cstheme="majorBidi"/>
      <w:b/>
      <w:sz w:val="24"/>
      <w:szCs w:val="32"/>
    </w:rPr>
  </w:style>
  <w:style w:type="character" w:customStyle="1" w:styleId="Heading3Char">
    <w:name w:val="Heading 3 Char"/>
    <w:basedOn w:val="DefaultParagraphFont"/>
    <w:link w:val="Heading3"/>
    <w:uiPriority w:val="9"/>
    <w:semiHidden/>
    <w:rsid w:val="007F1075"/>
    <w:rPr>
      <w:rFonts w:asciiTheme="majorHAnsi" w:eastAsiaTheme="majorEastAsia" w:hAnsiTheme="majorHAnsi" w:cstheme="majorBidi"/>
      <w:color w:val="1F4D78" w:themeColor="accent1" w:themeShade="7F"/>
      <w:sz w:val="24"/>
      <w:szCs w:val="24"/>
      <w:lang w:val="nl-BE"/>
    </w:rPr>
  </w:style>
  <w:style w:type="character" w:styleId="Hyperlink">
    <w:name w:val="Hyperlink"/>
    <w:basedOn w:val="DefaultParagraphFont"/>
    <w:uiPriority w:val="99"/>
    <w:unhideWhenUsed/>
    <w:rsid w:val="007F1075"/>
    <w:rPr>
      <w:color w:val="0563C1" w:themeColor="hyperlink"/>
      <w:u w:val="single"/>
    </w:rPr>
  </w:style>
  <w:style w:type="paragraph" w:styleId="FootnoteText">
    <w:name w:val="footnote text"/>
    <w:basedOn w:val="Normal"/>
    <w:link w:val="FootnoteTextChar"/>
    <w:uiPriority w:val="99"/>
    <w:semiHidden/>
    <w:unhideWhenUsed/>
    <w:rsid w:val="007F1075"/>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7F1075"/>
    <w:rPr>
      <w:sz w:val="20"/>
      <w:szCs w:val="20"/>
    </w:rPr>
  </w:style>
  <w:style w:type="character" w:styleId="FootnoteReference">
    <w:name w:val="footnote reference"/>
    <w:basedOn w:val="DefaultParagraphFont"/>
    <w:uiPriority w:val="99"/>
    <w:semiHidden/>
    <w:unhideWhenUsed/>
    <w:rsid w:val="007F1075"/>
    <w:rPr>
      <w:vertAlign w:val="superscript"/>
    </w:rPr>
  </w:style>
  <w:style w:type="paragraph" w:styleId="Header">
    <w:name w:val="header"/>
    <w:basedOn w:val="Normal"/>
    <w:link w:val="HeaderChar"/>
    <w:uiPriority w:val="99"/>
    <w:unhideWhenUsed/>
    <w:rsid w:val="007F1075"/>
    <w:pPr>
      <w:tabs>
        <w:tab w:val="center" w:pos="4703"/>
        <w:tab w:val="right" w:pos="9406"/>
      </w:tabs>
      <w:spacing w:after="0" w:line="240" w:lineRule="auto"/>
    </w:pPr>
  </w:style>
  <w:style w:type="character" w:customStyle="1" w:styleId="HeaderChar">
    <w:name w:val="Header Char"/>
    <w:basedOn w:val="DefaultParagraphFont"/>
    <w:link w:val="Header"/>
    <w:uiPriority w:val="99"/>
    <w:rsid w:val="007F1075"/>
    <w:rPr>
      <w:lang w:val="nl-BE"/>
    </w:rPr>
  </w:style>
  <w:style w:type="paragraph" w:styleId="Footer">
    <w:name w:val="footer"/>
    <w:basedOn w:val="Normal"/>
    <w:link w:val="FooterChar"/>
    <w:uiPriority w:val="99"/>
    <w:unhideWhenUsed/>
    <w:rsid w:val="007F1075"/>
    <w:pPr>
      <w:tabs>
        <w:tab w:val="center" w:pos="4703"/>
        <w:tab w:val="right" w:pos="9406"/>
      </w:tabs>
      <w:spacing w:after="0" w:line="240" w:lineRule="auto"/>
    </w:pPr>
  </w:style>
  <w:style w:type="character" w:customStyle="1" w:styleId="FooterChar">
    <w:name w:val="Footer Char"/>
    <w:basedOn w:val="DefaultParagraphFont"/>
    <w:link w:val="Footer"/>
    <w:uiPriority w:val="99"/>
    <w:rsid w:val="007F1075"/>
    <w:rPr>
      <w:lang w:val="nl-BE"/>
    </w:rPr>
  </w:style>
  <w:style w:type="paragraph" w:styleId="ListParagraph">
    <w:name w:val="List Paragraph"/>
    <w:basedOn w:val="Normal"/>
    <w:uiPriority w:val="34"/>
    <w:qFormat/>
    <w:rsid w:val="007F1075"/>
    <w:pPr>
      <w:ind w:left="720"/>
      <w:contextualSpacing/>
    </w:pPr>
  </w:style>
  <w:style w:type="character" w:styleId="CommentReference">
    <w:name w:val="annotation reference"/>
    <w:basedOn w:val="DefaultParagraphFont"/>
    <w:uiPriority w:val="99"/>
    <w:semiHidden/>
    <w:unhideWhenUsed/>
    <w:rsid w:val="007F1075"/>
    <w:rPr>
      <w:sz w:val="16"/>
      <w:szCs w:val="16"/>
    </w:rPr>
  </w:style>
  <w:style w:type="paragraph" w:styleId="CommentText">
    <w:name w:val="annotation text"/>
    <w:basedOn w:val="Normal"/>
    <w:link w:val="CommentTextChar"/>
    <w:uiPriority w:val="99"/>
    <w:unhideWhenUsed/>
    <w:rsid w:val="007F1075"/>
    <w:pPr>
      <w:spacing w:line="240" w:lineRule="auto"/>
    </w:pPr>
    <w:rPr>
      <w:sz w:val="20"/>
      <w:szCs w:val="20"/>
    </w:rPr>
  </w:style>
  <w:style w:type="character" w:customStyle="1" w:styleId="CommentTextChar">
    <w:name w:val="Comment Text Char"/>
    <w:basedOn w:val="DefaultParagraphFont"/>
    <w:link w:val="CommentText"/>
    <w:uiPriority w:val="99"/>
    <w:rsid w:val="007F1075"/>
    <w:rPr>
      <w:sz w:val="20"/>
      <w:szCs w:val="20"/>
      <w:lang w:val="nl-BE"/>
    </w:rPr>
  </w:style>
  <w:style w:type="paragraph" w:styleId="BalloonText">
    <w:name w:val="Balloon Text"/>
    <w:basedOn w:val="Normal"/>
    <w:link w:val="BalloonTextChar"/>
    <w:uiPriority w:val="99"/>
    <w:semiHidden/>
    <w:unhideWhenUsed/>
    <w:rsid w:val="007F1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075"/>
    <w:rPr>
      <w:rFonts w:ascii="Segoe UI" w:hAnsi="Segoe UI" w:cs="Segoe UI"/>
      <w:sz w:val="18"/>
      <w:szCs w:val="18"/>
      <w:lang w:val="nl-BE"/>
    </w:rPr>
  </w:style>
  <w:style w:type="paragraph" w:styleId="CommentSubject">
    <w:name w:val="annotation subject"/>
    <w:basedOn w:val="CommentText"/>
    <w:next w:val="CommentText"/>
    <w:link w:val="CommentSubjectChar"/>
    <w:uiPriority w:val="99"/>
    <w:semiHidden/>
    <w:unhideWhenUsed/>
    <w:rsid w:val="007F1075"/>
    <w:rPr>
      <w:b/>
      <w:bCs/>
    </w:rPr>
  </w:style>
  <w:style w:type="character" w:customStyle="1" w:styleId="CommentSubjectChar">
    <w:name w:val="Comment Subject Char"/>
    <w:basedOn w:val="CommentTextChar"/>
    <w:link w:val="CommentSubject"/>
    <w:uiPriority w:val="99"/>
    <w:semiHidden/>
    <w:rsid w:val="007F1075"/>
    <w:rPr>
      <w:b/>
      <w:bCs/>
      <w:sz w:val="20"/>
      <w:szCs w:val="20"/>
      <w:lang w:val="nl-BE"/>
    </w:rPr>
  </w:style>
  <w:style w:type="character" w:customStyle="1" w:styleId="apple-converted-space">
    <w:name w:val="apple-converted-space"/>
    <w:basedOn w:val="DefaultParagraphFont"/>
    <w:rsid w:val="007F1075"/>
  </w:style>
  <w:style w:type="character" w:customStyle="1" w:styleId="UnresolvedMention1">
    <w:name w:val="Unresolved Mention1"/>
    <w:basedOn w:val="DefaultParagraphFont"/>
    <w:uiPriority w:val="99"/>
    <w:semiHidden/>
    <w:unhideWhenUsed/>
    <w:rsid w:val="007F1075"/>
    <w:rPr>
      <w:color w:val="605E5C"/>
      <w:shd w:val="clear" w:color="auto" w:fill="E1DFDD"/>
    </w:rPr>
  </w:style>
  <w:style w:type="paragraph" w:styleId="Revision">
    <w:name w:val="Revision"/>
    <w:hidden/>
    <w:uiPriority w:val="99"/>
    <w:semiHidden/>
    <w:rsid w:val="007F1075"/>
    <w:pPr>
      <w:spacing w:after="0" w:line="240" w:lineRule="auto"/>
    </w:pPr>
    <w:rPr>
      <w:lang w:val="nl-BE"/>
    </w:rPr>
  </w:style>
  <w:style w:type="paragraph" w:styleId="NormalWeb">
    <w:name w:val="Normal (Web)"/>
    <w:basedOn w:val="Normal"/>
    <w:uiPriority w:val="99"/>
    <w:semiHidden/>
    <w:unhideWhenUsed/>
    <w:rsid w:val="007F10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F1075"/>
    <w:rPr>
      <w:color w:val="954F72" w:themeColor="followedHyperlink"/>
      <w:u w:val="single"/>
    </w:rPr>
  </w:style>
  <w:style w:type="paragraph" w:customStyle="1" w:styleId="EndNoteBibliography">
    <w:name w:val="EndNote Bibliography"/>
    <w:basedOn w:val="Normal"/>
    <w:link w:val="EndNoteBibliographyChar"/>
    <w:rsid w:val="007F1075"/>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7F1075"/>
    <w:rPr>
      <w:rFonts w:ascii="Calibri" w:hAnsi="Calibri" w:cs="Calibri"/>
      <w:noProof/>
    </w:rPr>
  </w:style>
  <w:style w:type="paragraph" w:styleId="TOCHeading">
    <w:name w:val="TOC Heading"/>
    <w:basedOn w:val="Heading1"/>
    <w:next w:val="Normal"/>
    <w:uiPriority w:val="39"/>
    <w:unhideWhenUsed/>
    <w:qFormat/>
    <w:rsid w:val="007F1075"/>
    <w:pPr>
      <w:numPr>
        <w:numId w:val="0"/>
      </w:num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7F1075"/>
    <w:pPr>
      <w:tabs>
        <w:tab w:val="left" w:pos="440"/>
        <w:tab w:val="right" w:leader="dot" w:pos="9350"/>
      </w:tabs>
      <w:spacing w:after="100"/>
    </w:pPr>
    <w:rPr>
      <w:rFonts w:ascii="Cambria" w:hAnsi="Cambria"/>
      <w:noProof/>
      <w:lang w:val="en-US"/>
    </w:rPr>
  </w:style>
  <w:style w:type="table" w:customStyle="1" w:styleId="Tabelraster1">
    <w:name w:val="Tabelraster1"/>
    <w:basedOn w:val="TableNormal"/>
    <w:next w:val="TableGrid"/>
    <w:uiPriority w:val="39"/>
    <w:rsid w:val="007F1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F1075"/>
    <w:pPr>
      <w:spacing w:after="200" w:line="240" w:lineRule="auto"/>
    </w:pPr>
    <w:rPr>
      <w:rFonts w:ascii="Garamond" w:hAnsi="Garamond"/>
      <w:i/>
      <w:iCs/>
      <w:color w:val="44546A" w:themeColor="text2"/>
      <w:sz w:val="18"/>
      <w:szCs w:val="18"/>
      <w:lang w:val="en-US"/>
    </w:rPr>
  </w:style>
  <w:style w:type="table" w:styleId="TableGrid">
    <w:name w:val="Table Grid"/>
    <w:basedOn w:val="TableNormal"/>
    <w:uiPriority w:val="39"/>
    <w:rsid w:val="007F1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7F1075"/>
    <w:rPr>
      <w:vertAlign w:val="superscript"/>
    </w:rPr>
  </w:style>
  <w:style w:type="paragraph" w:styleId="Bibliography">
    <w:name w:val="Bibliography"/>
    <w:basedOn w:val="Normal"/>
    <w:next w:val="Normal"/>
    <w:uiPriority w:val="37"/>
    <w:unhideWhenUsed/>
    <w:rsid w:val="007F1075"/>
  </w:style>
  <w:style w:type="character" w:customStyle="1" w:styleId="UnresolvedMention2">
    <w:name w:val="Unresolved Mention2"/>
    <w:basedOn w:val="DefaultParagraphFont"/>
    <w:uiPriority w:val="99"/>
    <w:semiHidden/>
    <w:unhideWhenUsed/>
    <w:rsid w:val="007F1075"/>
    <w:rPr>
      <w:color w:val="605E5C"/>
      <w:shd w:val="clear" w:color="auto" w:fill="E1DFDD"/>
    </w:rPr>
  </w:style>
  <w:style w:type="paragraph" w:customStyle="1" w:styleId="c-bibliographic-informationcitation">
    <w:name w:val="c-bibliographic-information__citation"/>
    <w:basedOn w:val="Normal"/>
    <w:rsid w:val="007F10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7F1075"/>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7F1075"/>
    <w:rPr>
      <w:rFonts w:ascii="Calibri" w:hAnsi="Calibri"/>
      <w:szCs w:val="21"/>
    </w:rPr>
  </w:style>
  <w:style w:type="character" w:customStyle="1" w:styleId="UnresolvedMention">
    <w:name w:val="Unresolved Mention"/>
    <w:basedOn w:val="DefaultParagraphFont"/>
    <w:uiPriority w:val="99"/>
    <w:semiHidden/>
    <w:unhideWhenUsed/>
    <w:rsid w:val="007F1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4.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hyperlink" Target="http://www.intereuro.eu"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gsurvey.eu"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Map2"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idbruyck\Dropbox\WERK\PUBLICEREN\Rhetorical%20responsiveness\Tables%20&amp;%20figures\ANNEX%20figures%20230518.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Map4"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SArras\Dropbox\Lobbying%20for%20the%20people%20(coding)\Sarah\Rapport\Graphs%20repor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ebruiker\Dropbox\Lobbying%20for%20the%20people%20(coding)\Sarah\Rapport\Graphs%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Blad3!$J$1</c:f>
              <c:strCache>
                <c:ptCount val="1"/>
                <c:pt idx="0">
                  <c:v>article</c:v>
                </c:pt>
              </c:strCache>
            </c:strRef>
          </c:tx>
          <c:spPr>
            <a:ln w="28575" cap="rnd">
              <a:solidFill>
                <a:schemeClr val="tx1"/>
              </a:solidFill>
              <a:round/>
            </a:ln>
            <a:effectLst/>
          </c:spPr>
          <c:marker>
            <c:symbol val="none"/>
          </c:marker>
          <c:val>
            <c:numRef>
              <c:f>Blad3!$J$2:$J$42</c:f>
              <c:numCache>
                <c:formatCode>General</c:formatCode>
                <c:ptCount val="41"/>
                <c:pt idx="0">
                  <c:v>451</c:v>
                </c:pt>
                <c:pt idx="1">
                  <c:v>266</c:v>
                </c:pt>
                <c:pt idx="2">
                  <c:v>247</c:v>
                </c:pt>
                <c:pt idx="3">
                  <c:v>103</c:v>
                </c:pt>
                <c:pt idx="4">
                  <c:v>92</c:v>
                </c:pt>
                <c:pt idx="5">
                  <c:v>80</c:v>
                </c:pt>
                <c:pt idx="6">
                  <c:v>73</c:v>
                </c:pt>
                <c:pt idx="7">
                  <c:v>73</c:v>
                </c:pt>
                <c:pt idx="8">
                  <c:v>68</c:v>
                </c:pt>
                <c:pt idx="9">
                  <c:v>65</c:v>
                </c:pt>
                <c:pt idx="10">
                  <c:v>46</c:v>
                </c:pt>
                <c:pt idx="11">
                  <c:v>40</c:v>
                </c:pt>
                <c:pt idx="12">
                  <c:v>39</c:v>
                </c:pt>
                <c:pt idx="13">
                  <c:v>38</c:v>
                </c:pt>
                <c:pt idx="14">
                  <c:v>34</c:v>
                </c:pt>
                <c:pt idx="15">
                  <c:v>31</c:v>
                </c:pt>
                <c:pt idx="16">
                  <c:v>31</c:v>
                </c:pt>
                <c:pt idx="17">
                  <c:v>30</c:v>
                </c:pt>
                <c:pt idx="18">
                  <c:v>27</c:v>
                </c:pt>
                <c:pt idx="19">
                  <c:v>25</c:v>
                </c:pt>
                <c:pt idx="20">
                  <c:v>24</c:v>
                </c:pt>
                <c:pt idx="21">
                  <c:v>20</c:v>
                </c:pt>
                <c:pt idx="22">
                  <c:v>19</c:v>
                </c:pt>
                <c:pt idx="23">
                  <c:v>18</c:v>
                </c:pt>
                <c:pt idx="24">
                  <c:v>17</c:v>
                </c:pt>
                <c:pt idx="25">
                  <c:v>16</c:v>
                </c:pt>
                <c:pt idx="26">
                  <c:v>15</c:v>
                </c:pt>
                <c:pt idx="27">
                  <c:v>13</c:v>
                </c:pt>
                <c:pt idx="28">
                  <c:v>12</c:v>
                </c:pt>
                <c:pt idx="29">
                  <c:v>11</c:v>
                </c:pt>
                <c:pt idx="30">
                  <c:v>11</c:v>
                </c:pt>
                <c:pt idx="31">
                  <c:v>10</c:v>
                </c:pt>
                <c:pt idx="32">
                  <c:v>8</c:v>
                </c:pt>
                <c:pt idx="33">
                  <c:v>6</c:v>
                </c:pt>
                <c:pt idx="34">
                  <c:v>5</c:v>
                </c:pt>
                <c:pt idx="35">
                  <c:v>5</c:v>
                </c:pt>
                <c:pt idx="36">
                  <c:v>4</c:v>
                </c:pt>
                <c:pt idx="37">
                  <c:v>4</c:v>
                </c:pt>
                <c:pt idx="38">
                  <c:v>4</c:v>
                </c:pt>
                <c:pt idx="39">
                  <c:v>3</c:v>
                </c:pt>
                <c:pt idx="40">
                  <c:v>1</c:v>
                </c:pt>
              </c:numCache>
            </c:numRef>
          </c:val>
          <c:smooth val="0"/>
          <c:extLst>
            <c:ext xmlns:c16="http://schemas.microsoft.com/office/drawing/2014/chart" uri="{C3380CC4-5D6E-409C-BE32-E72D297353CC}">
              <c16:uniqueId val="{00000000-4428-42A7-B96A-AB124447EA22}"/>
            </c:ext>
          </c:extLst>
        </c:ser>
        <c:dLbls>
          <c:showLegendKey val="0"/>
          <c:showVal val="0"/>
          <c:showCatName val="0"/>
          <c:showSerName val="0"/>
          <c:showPercent val="0"/>
          <c:showBubbleSize val="0"/>
        </c:dLbls>
        <c:smooth val="0"/>
        <c:axId val="166292480"/>
        <c:axId val="166327040"/>
      </c:lineChart>
      <c:catAx>
        <c:axId val="16629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mn-ea"/>
                <a:cs typeface="+mn-cs"/>
              </a:defRPr>
            </a:pPr>
            <a:endParaRPr lang="en-US"/>
          </a:p>
        </c:txPr>
        <c:crossAx val="166327040"/>
        <c:crosses val="autoZero"/>
        <c:auto val="1"/>
        <c:lblAlgn val="ctr"/>
        <c:lblOffset val="100"/>
        <c:noMultiLvlLbl val="0"/>
      </c:catAx>
      <c:valAx>
        <c:axId val="1663270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mn-ea"/>
                <a:cs typeface="+mn-cs"/>
              </a:defRPr>
            </a:pPr>
            <a:endParaRPr lang="en-US"/>
          </a:p>
        </c:txPr>
        <c:crossAx val="166292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c:spPr>
          <c:invertIfNegative val="0"/>
          <c:cat>
            <c:strRef>
              <c:f>Blad1!$D$1:$D$16</c:f>
              <c:strCache>
                <c:ptCount val="16"/>
                <c:pt idx="0">
                  <c:v>ENV</c:v>
                </c:pt>
                <c:pt idx="1">
                  <c:v>MARKT</c:v>
                </c:pt>
                <c:pt idx="2">
                  <c:v>TAXUD</c:v>
                </c:pt>
                <c:pt idx="3">
                  <c:v>SANCO</c:v>
                </c:pt>
                <c:pt idx="4">
                  <c:v>DEVCO</c:v>
                </c:pt>
                <c:pt idx="5">
                  <c:v>TRADE</c:v>
                </c:pt>
                <c:pt idx="6">
                  <c:v>HOME</c:v>
                </c:pt>
                <c:pt idx="7">
                  <c:v>ENER</c:v>
                </c:pt>
                <c:pt idx="8">
                  <c:v>EEAS</c:v>
                </c:pt>
                <c:pt idx="9">
                  <c:v>ECHO </c:v>
                </c:pt>
                <c:pt idx="10">
                  <c:v>ECFIN</c:v>
                </c:pt>
                <c:pt idx="11">
                  <c:v>AGRI</c:v>
                </c:pt>
                <c:pt idx="12">
                  <c:v>REGIO</c:v>
                </c:pt>
                <c:pt idx="13">
                  <c:v>MOVE</c:v>
                </c:pt>
                <c:pt idx="14">
                  <c:v>EMPL</c:v>
                </c:pt>
                <c:pt idx="15">
                  <c:v>CLIMA</c:v>
                </c:pt>
              </c:strCache>
            </c:strRef>
          </c:cat>
          <c:val>
            <c:numRef>
              <c:f>Blad1!$E$1:$E$16</c:f>
              <c:numCache>
                <c:formatCode>General</c:formatCode>
                <c:ptCount val="16"/>
                <c:pt idx="0">
                  <c:v>8</c:v>
                </c:pt>
                <c:pt idx="1">
                  <c:v>5</c:v>
                </c:pt>
                <c:pt idx="2">
                  <c:v>4</c:v>
                </c:pt>
                <c:pt idx="3">
                  <c:v>4</c:v>
                </c:pt>
                <c:pt idx="4">
                  <c:v>3</c:v>
                </c:pt>
                <c:pt idx="5">
                  <c:v>2</c:v>
                </c:pt>
                <c:pt idx="6">
                  <c:v>2</c:v>
                </c:pt>
                <c:pt idx="7">
                  <c:v>2</c:v>
                </c:pt>
                <c:pt idx="8">
                  <c:v>2</c:v>
                </c:pt>
                <c:pt idx="9">
                  <c:v>2</c:v>
                </c:pt>
                <c:pt idx="10">
                  <c:v>2</c:v>
                </c:pt>
                <c:pt idx="11">
                  <c:v>1</c:v>
                </c:pt>
                <c:pt idx="12">
                  <c:v>1</c:v>
                </c:pt>
                <c:pt idx="13">
                  <c:v>1</c:v>
                </c:pt>
                <c:pt idx="14">
                  <c:v>1</c:v>
                </c:pt>
                <c:pt idx="15">
                  <c:v>1</c:v>
                </c:pt>
              </c:numCache>
            </c:numRef>
          </c:val>
          <c:extLst>
            <c:ext xmlns:c16="http://schemas.microsoft.com/office/drawing/2014/chart" uri="{C3380CC4-5D6E-409C-BE32-E72D297353CC}">
              <c16:uniqueId val="{00000000-6238-4B40-A1B8-1015B0F8D6D0}"/>
            </c:ext>
          </c:extLst>
        </c:ser>
        <c:dLbls>
          <c:showLegendKey val="0"/>
          <c:showVal val="0"/>
          <c:showCatName val="0"/>
          <c:showSerName val="0"/>
          <c:showPercent val="0"/>
          <c:showBubbleSize val="0"/>
        </c:dLbls>
        <c:gapWidth val="219"/>
        <c:overlap val="-27"/>
        <c:axId val="576551984"/>
        <c:axId val="576551328"/>
      </c:barChart>
      <c:catAx>
        <c:axId val="576551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76551328"/>
        <c:crosses val="autoZero"/>
        <c:auto val="1"/>
        <c:lblAlgn val="ctr"/>
        <c:lblOffset val="100"/>
        <c:noMultiLvlLbl val="0"/>
      </c:catAx>
      <c:valAx>
        <c:axId val="5765513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76551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stacked"/>
        <c:varyColors val="0"/>
        <c:ser>
          <c:idx val="0"/>
          <c:order val="0"/>
          <c:tx>
            <c:strRef>
              <c:f>Blad2!$B$25</c:f>
              <c:strCache>
                <c:ptCount val="1"/>
                <c:pt idx="0">
                  <c:v>Oppose</c:v>
                </c:pt>
              </c:strCache>
            </c:strRef>
          </c:tx>
          <c:spPr>
            <a:solidFill>
              <a:schemeClr val="dk1">
                <a:tint val="88500"/>
              </a:schemeClr>
            </a:solidFill>
            <a:ln>
              <a:noFill/>
            </a:ln>
            <a:effectLst/>
          </c:spPr>
          <c:invertIfNegative val="0"/>
          <c:cat>
            <c:strRef>
              <c:f>Blad2!$A$26:$A$32</c:f>
              <c:strCache>
                <c:ptCount val="7"/>
                <c:pt idx="0">
                  <c:v>European Commission </c:v>
                </c:pt>
                <c:pt idx="1">
                  <c:v>Other </c:v>
                </c:pt>
                <c:pt idx="2">
                  <c:v>National Parliaments</c:v>
                </c:pt>
                <c:pt idx="3">
                  <c:v>European Parliament </c:v>
                </c:pt>
                <c:pt idx="4">
                  <c:v>Interest groups </c:v>
                </c:pt>
                <c:pt idx="5">
                  <c:v>Council and member states </c:v>
                </c:pt>
                <c:pt idx="6">
                  <c:v>Public opinion (Eurobarometer)</c:v>
                </c:pt>
              </c:strCache>
            </c:strRef>
          </c:cat>
          <c:val>
            <c:numRef>
              <c:f>Blad2!$B$26:$B$32</c:f>
              <c:numCache>
                <c:formatCode>0%</c:formatCode>
                <c:ptCount val="7"/>
                <c:pt idx="0">
                  <c:v>3.0303030303030304E-2</c:v>
                </c:pt>
                <c:pt idx="1">
                  <c:v>6.5217391304347824E-2</c:v>
                </c:pt>
                <c:pt idx="2">
                  <c:v>0.125</c:v>
                </c:pt>
                <c:pt idx="3">
                  <c:v>0.19047619047619047</c:v>
                </c:pt>
                <c:pt idx="4">
                  <c:v>0.20118343195266272</c:v>
                </c:pt>
                <c:pt idx="5">
                  <c:v>0.2087912087912088</c:v>
                </c:pt>
                <c:pt idx="6">
                  <c:v>0.25</c:v>
                </c:pt>
              </c:numCache>
            </c:numRef>
          </c:val>
          <c:extLst>
            <c:ext xmlns:c16="http://schemas.microsoft.com/office/drawing/2014/chart" uri="{C3380CC4-5D6E-409C-BE32-E72D297353CC}">
              <c16:uniqueId val="{00000000-705A-4240-9113-9F96309F5D19}"/>
            </c:ext>
          </c:extLst>
        </c:ser>
        <c:ser>
          <c:idx val="1"/>
          <c:order val="1"/>
          <c:tx>
            <c:strRef>
              <c:f>Blad2!$C$25</c:f>
              <c:strCache>
                <c:ptCount val="1"/>
                <c:pt idx="0">
                  <c:v>Support</c:v>
                </c:pt>
              </c:strCache>
            </c:strRef>
          </c:tx>
          <c:spPr>
            <a:solidFill>
              <a:schemeClr val="dk1">
                <a:tint val="55000"/>
              </a:schemeClr>
            </a:solidFill>
            <a:ln>
              <a:noFill/>
            </a:ln>
            <a:effectLst/>
          </c:spPr>
          <c:invertIfNegative val="0"/>
          <c:cat>
            <c:strRef>
              <c:f>Blad2!$A$26:$A$32</c:f>
              <c:strCache>
                <c:ptCount val="7"/>
                <c:pt idx="0">
                  <c:v>European Commission </c:v>
                </c:pt>
                <c:pt idx="1">
                  <c:v>Other </c:v>
                </c:pt>
                <c:pt idx="2">
                  <c:v>National Parliaments</c:v>
                </c:pt>
                <c:pt idx="3">
                  <c:v>European Parliament </c:v>
                </c:pt>
                <c:pt idx="4">
                  <c:v>Interest groups </c:v>
                </c:pt>
                <c:pt idx="5">
                  <c:v>Council and member states </c:v>
                </c:pt>
                <c:pt idx="6">
                  <c:v>Public opinion (Eurobarometer)</c:v>
                </c:pt>
              </c:strCache>
            </c:strRef>
          </c:cat>
          <c:val>
            <c:numRef>
              <c:f>Blad2!$C$26:$C$32</c:f>
              <c:numCache>
                <c:formatCode>0%</c:formatCode>
                <c:ptCount val="7"/>
                <c:pt idx="0">
                  <c:v>0.96969696969696972</c:v>
                </c:pt>
                <c:pt idx="1">
                  <c:v>0.93478260869565222</c:v>
                </c:pt>
                <c:pt idx="2">
                  <c:v>0.875</c:v>
                </c:pt>
                <c:pt idx="3">
                  <c:v>0.80952380952380953</c:v>
                </c:pt>
                <c:pt idx="4">
                  <c:v>0.79881656804733725</c:v>
                </c:pt>
                <c:pt idx="5">
                  <c:v>0.79120879120879117</c:v>
                </c:pt>
                <c:pt idx="6">
                  <c:v>0.75</c:v>
                </c:pt>
              </c:numCache>
            </c:numRef>
          </c:val>
          <c:extLst>
            <c:ext xmlns:c16="http://schemas.microsoft.com/office/drawing/2014/chart" uri="{C3380CC4-5D6E-409C-BE32-E72D297353CC}">
              <c16:uniqueId val="{00000001-705A-4240-9113-9F96309F5D19}"/>
            </c:ext>
          </c:extLst>
        </c:ser>
        <c:dLbls>
          <c:showLegendKey val="0"/>
          <c:showVal val="0"/>
          <c:showCatName val="0"/>
          <c:showSerName val="0"/>
          <c:showPercent val="0"/>
          <c:showBubbleSize val="0"/>
        </c:dLbls>
        <c:gapWidth val="150"/>
        <c:overlap val="100"/>
        <c:axId val="594065168"/>
        <c:axId val="594065824"/>
      </c:barChart>
      <c:catAx>
        <c:axId val="594065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94065824"/>
        <c:crosses val="autoZero"/>
        <c:auto val="1"/>
        <c:lblAlgn val="ctr"/>
        <c:lblOffset val="100"/>
        <c:noMultiLvlLbl val="0"/>
      </c:catAx>
      <c:valAx>
        <c:axId val="594065824"/>
        <c:scaling>
          <c:orientation val="minMax"/>
          <c:max val="1"/>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94065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panose="02020404030301010803"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dPt>
            <c:idx val="0"/>
            <c:bubble3D val="0"/>
            <c:spPr>
              <a:solidFill>
                <a:schemeClr val="dk1">
                  <a:tint val="885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A3B-4AF7-B005-799B34590570}"/>
              </c:ext>
            </c:extLst>
          </c:dPt>
          <c:dPt>
            <c:idx val="1"/>
            <c:bubble3D val="0"/>
            <c:spPr>
              <a:solidFill>
                <a:schemeClr val="dk1">
                  <a:tint val="5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A3B-4AF7-B005-799B34590570}"/>
              </c:ext>
            </c:extLst>
          </c:dPt>
          <c:dPt>
            <c:idx val="2"/>
            <c:bubble3D val="0"/>
            <c:spPr>
              <a:solidFill>
                <a:schemeClr val="dk1">
                  <a:tint val="7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0A3B-4AF7-B005-799B34590570}"/>
              </c:ext>
            </c:extLst>
          </c:dPt>
          <c:dLbls>
            <c:dLbl>
              <c:idx val="1"/>
              <c:spPr>
                <a:solidFill>
                  <a:schemeClr val="lt1"/>
                </a:solidFill>
                <a:ln>
                  <a:solidFill>
                    <a:schemeClr val="bg1"/>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dk1">
                          <a:tint val="55000"/>
                        </a:schemeClr>
                      </a:solidFill>
                      <a:latin typeface="Garamond" panose="02020404030301010803" pitchFamily="18" charset="0"/>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0A3B-4AF7-B005-799B34590570}"/>
                </c:ext>
              </c:extLst>
            </c:dLbl>
            <c:dLbl>
              <c:idx val="2"/>
              <c:tx>
                <c:rich>
                  <a:bodyPr/>
                  <a:lstStyle/>
                  <a:p>
                    <a:fld id="{03C814D8-85D6-47B1-80F9-E41B02932D96}" type="CATEGORYNAME">
                      <a:rPr lang="en-US">
                        <a:latin typeface="Garamond" panose="02020404030301010803" pitchFamily="18" charset="0"/>
                      </a:rPr>
                      <a:pPr/>
                      <a:t>[CATEGORY NAME]</a:t>
                    </a:fld>
                    <a:r>
                      <a:rPr lang="en-US">
                        <a:latin typeface="Garamond" panose="02020404030301010803" pitchFamily="18" charset="0"/>
                      </a:rPr>
                      <a:t> </a:t>
                    </a:r>
                    <a:fld id="{7D93EFF6-58D9-406D-AF46-B6681EFBA221}" type="PERCENTAGE">
                      <a:rPr lang="en-US">
                        <a:latin typeface="Garamond" panose="02020404030301010803" pitchFamily="18" charset="0"/>
                      </a:rPr>
                      <a:pPr/>
                      <a:t>[PERCENTAGE]</a:t>
                    </a:fld>
                    <a:endParaRPr lang="en-US">
                      <a:latin typeface="Garamond" panose="02020404030301010803" pitchFamily="18" charset="0"/>
                    </a:endParaRP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A3B-4AF7-B005-799B34590570}"/>
                </c:ext>
              </c:extLst>
            </c:dLbl>
            <c:spPr>
              <a:noFill/>
              <a:ln>
                <a:solidFill>
                  <a:schemeClr val="bg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dk1">
                        <a:tint val="88500"/>
                      </a:schemeClr>
                    </a:solidFill>
                    <a:latin typeface="Garamond" panose="02020404030301010803" pitchFamily="18" charset="0"/>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'Group type actor list'!$F$3:$F$5</c:f>
              <c:strCache>
                <c:ptCount val="3"/>
                <c:pt idx="0">
                  <c:v>Business</c:v>
                </c:pt>
                <c:pt idx="1">
                  <c:v>Civil society</c:v>
                </c:pt>
                <c:pt idx="2">
                  <c:v>Other</c:v>
                </c:pt>
              </c:strCache>
            </c:strRef>
          </c:cat>
          <c:val>
            <c:numRef>
              <c:f>'Group type actor list'!$G$3:$G$5</c:f>
              <c:numCache>
                <c:formatCode>General</c:formatCode>
                <c:ptCount val="3"/>
                <c:pt idx="0">
                  <c:v>0.47</c:v>
                </c:pt>
                <c:pt idx="1">
                  <c:v>0.48</c:v>
                </c:pt>
                <c:pt idx="2">
                  <c:v>0.05</c:v>
                </c:pt>
              </c:numCache>
            </c:numRef>
          </c:val>
          <c:extLst>
            <c:ext xmlns:c16="http://schemas.microsoft.com/office/drawing/2014/chart" uri="{C3380CC4-5D6E-409C-BE32-E72D297353CC}">
              <c16:uniqueId val="{00000006-0A3B-4AF7-B005-799B34590570}"/>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dPt>
            <c:idx val="0"/>
            <c:bubble3D val="0"/>
            <c:spPr>
              <a:solidFill>
                <a:schemeClr val="dk1">
                  <a:tint val="885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8952-41E6-A3B9-360FE88FB3FE}"/>
              </c:ext>
            </c:extLst>
          </c:dPt>
          <c:dPt>
            <c:idx val="1"/>
            <c:bubble3D val="0"/>
            <c:spPr>
              <a:solidFill>
                <a:schemeClr val="dk1">
                  <a:tint val="5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8952-41E6-A3B9-360FE88FB3FE}"/>
              </c:ext>
            </c:extLst>
          </c:dPt>
          <c:dPt>
            <c:idx val="2"/>
            <c:bubble3D val="0"/>
            <c:spPr>
              <a:solidFill>
                <a:schemeClr val="dk1">
                  <a:tint val="7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8952-41E6-A3B9-360FE88FB3FE}"/>
              </c:ext>
            </c:extLst>
          </c:dPt>
          <c:dLbls>
            <c:dLbl>
              <c:idx val="1"/>
              <c:layout>
                <c:manualLayout>
                  <c:x val="-1.3306719893546261E-2"/>
                  <c:y val="-6.122448979591842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dk1">
                          <a:tint val="55000"/>
                        </a:schemeClr>
                      </a:solidFill>
                      <a:latin typeface="Garamond" panose="02020404030301010803" pitchFamily="18" charset="0"/>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952-41E6-A3B9-360FE88FB3FE}"/>
                </c:ext>
              </c:extLst>
            </c:dLbl>
            <c:dLbl>
              <c:idx val="2"/>
              <c:tx>
                <c:rich>
                  <a:bodyPr/>
                  <a:lstStyle/>
                  <a:p>
                    <a:fld id="{FA92A5DC-A23F-44AE-A1A2-AC53AF315CEE}" type="CATEGORYNAME">
                      <a:rPr lang="en-US">
                        <a:latin typeface="Garamond" panose="02020404030301010803" pitchFamily="18" charset="0"/>
                      </a:rPr>
                      <a:pPr/>
                      <a:t>[CATEGORY NAME]</a:t>
                    </a:fld>
                    <a:r>
                      <a:rPr lang="en-US">
                        <a:latin typeface="Garamond" panose="02020404030301010803" pitchFamily="18" charset="0"/>
                      </a:rPr>
                      <a:t> </a:t>
                    </a:r>
                    <a:fld id="{90094F97-3454-4191-A567-1F6C95B33354}" type="PERCENTAGE">
                      <a:rPr lang="en-US">
                        <a:latin typeface="Garamond" panose="02020404030301010803" pitchFamily="18" charset="0"/>
                      </a:rPr>
                      <a:pPr/>
                      <a:t>[PERCENTAGE]</a:t>
                    </a:fld>
                    <a:endParaRPr lang="en-US">
                      <a:latin typeface="Garamond" panose="02020404030301010803" pitchFamily="18" charset="0"/>
                    </a:endParaRP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952-41E6-A3B9-360FE88FB3F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dk1">
                        <a:tint val="88500"/>
                      </a:schemeClr>
                    </a:solidFill>
                    <a:latin typeface="Garamond" panose="02020404030301010803" pitchFamily="18" charset="0"/>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'Respondents type'!$G$3:$G$5</c:f>
              <c:strCache>
                <c:ptCount val="3"/>
                <c:pt idx="0">
                  <c:v>Business</c:v>
                </c:pt>
                <c:pt idx="1">
                  <c:v>Civil society</c:v>
                </c:pt>
                <c:pt idx="2">
                  <c:v>Other</c:v>
                </c:pt>
              </c:strCache>
            </c:strRef>
          </c:cat>
          <c:val>
            <c:numRef>
              <c:f>'Respondents type'!$H$3:$H$5</c:f>
              <c:numCache>
                <c:formatCode>General</c:formatCode>
                <c:ptCount val="3"/>
                <c:pt idx="0">
                  <c:v>40</c:v>
                </c:pt>
                <c:pt idx="1">
                  <c:v>57</c:v>
                </c:pt>
                <c:pt idx="2">
                  <c:v>3</c:v>
                </c:pt>
              </c:numCache>
            </c:numRef>
          </c:val>
          <c:extLst>
            <c:ext xmlns:c16="http://schemas.microsoft.com/office/drawing/2014/chart" uri="{C3380CC4-5D6E-409C-BE32-E72D297353CC}">
              <c16:uniqueId val="{00000006-8952-41E6-A3B9-360FE88FB3FE}"/>
            </c:ext>
          </c:extLst>
        </c:ser>
        <c:dLbls>
          <c:dLblPos val="outEnd"/>
          <c:showLegendKey val="0"/>
          <c:showVal val="0"/>
          <c:showCatName val="0"/>
          <c:showSerName val="0"/>
          <c:showPercent val="1"/>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5152</Words>
  <Characters>29373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Maastricht University</Company>
  <LinksUpToDate>false</LinksUpToDate>
  <CharactersWithSpaces>34457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Bruycker, Iskander (POLITICS)</dc:creator>
  <cp:keywords/>
  <dc:description/>
  <cp:lastModifiedBy>de Bruycker, Iskander (POLITICS)</cp:lastModifiedBy>
  <cp:revision>2</cp:revision>
  <dcterms:created xsi:type="dcterms:W3CDTF">2023-04-19T12:34:00Z</dcterms:created>
  <dcterms:modified xsi:type="dcterms:W3CDTF">2023-04-19T12:38:00Z</dcterms:modified>
</cp:coreProperties>
</file>