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AF0" w14:textId="71D01883" w:rsidR="006A58CB" w:rsidRDefault="006A58CB" w:rsidP="003D794D">
      <w:pPr>
        <w:spacing w:line="480" w:lineRule="auto"/>
        <w:jc w:val="center"/>
        <w:outlineLvl w:val="0"/>
        <w:rPr>
          <w:rFonts w:ascii="Sabon Next LT" w:eastAsia="Times New Roman" w:hAnsi="Sabon Next LT" w:cs="Sabon Next LT"/>
          <w:b/>
          <w:bCs/>
        </w:rPr>
      </w:pPr>
      <w:r>
        <w:rPr>
          <w:rFonts w:ascii="Sabon Next LT" w:eastAsia="Times New Roman" w:hAnsi="Sabon Next LT" w:cs="Sabon Next LT"/>
          <w:b/>
          <w:bCs/>
        </w:rPr>
        <w:t xml:space="preserve">Appendices </w:t>
      </w:r>
    </w:p>
    <w:p w14:paraId="2F4324BB" w14:textId="4888BA29" w:rsidR="003D794D" w:rsidRPr="006A58CB" w:rsidRDefault="003D794D" w:rsidP="003D794D">
      <w:pPr>
        <w:spacing w:line="480" w:lineRule="auto"/>
        <w:jc w:val="center"/>
        <w:outlineLvl w:val="0"/>
        <w:rPr>
          <w:rFonts w:ascii="Sabon Next LT" w:eastAsia="Times New Roman" w:hAnsi="Sabon Next LT" w:cs="Sabon Next LT"/>
          <w:b/>
          <w:bCs/>
        </w:rPr>
      </w:pPr>
      <w:r w:rsidRPr="006A58CB">
        <w:rPr>
          <w:rFonts w:ascii="Sabon Next LT" w:eastAsia="Times New Roman" w:hAnsi="Sabon Next LT" w:cs="Sabon Next LT"/>
          <w:b/>
          <w:bCs/>
        </w:rPr>
        <w:t>Appendix 1.</w:t>
      </w:r>
      <w:r w:rsidR="006A58CB">
        <w:rPr>
          <w:rFonts w:ascii="Sabon Next LT" w:eastAsia="Times New Roman" w:hAnsi="Sabon Next LT" w:cs="Sabon Next LT"/>
          <w:b/>
          <w:bCs/>
        </w:rPr>
        <w:t xml:space="preserve"> Final</w:t>
      </w:r>
      <w:r w:rsidRPr="006A58CB">
        <w:rPr>
          <w:rFonts w:ascii="Sabon Next LT" w:eastAsia="Times New Roman" w:hAnsi="Sabon Next LT" w:cs="Sabon Next LT"/>
          <w:b/>
          <w:bCs/>
        </w:rPr>
        <w:t xml:space="preserve"> population of fracking policy network (2014)</w:t>
      </w: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6447"/>
        <w:gridCol w:w="2694"/>
      </w:tblGrid>
      <w:tr w:rsidR="003D794D" w:rsidRPr="006A58CB" w14:paraId="439446A3" w14:textId="77777777" w:rsidTr="00C1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7" w:type="dxa"/>
            <w:noWrap/>
            <w:vAlign w:val="center"/>
          </w:tcPr>
          <w:p w14:paraId="3DE4DFB1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Actor typologies</w:t>
            </w:r>
          </w:p>
        </w:tc>
        <w:tc>
          <w:tcPr>
            <w:tcW w:w="2694" w:type="dxa"/>
            <w:noWrap/>
            <w:vAlign w:val="center"/>
          </w:tcPr>
          <w:p w14:paraId="10666744" w14:textId="77777777" w:rsidR="003D794D" w:rsidRPr="006A58CB" w:rsidRDefault="003D794D" w:rsidP="00C10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 xml:space="preserve">      Number of actors</w:t>
            </w:r>
          </w:p>
        </w:tc>
      </w:tr>
      <w:tr w:rsidR="003D794D" w:rsidRPr="006A58CB" w14:paraId="506C21AD" w14:textId="77777777" w:rsidTr="00C1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7" w:type="dxa"/>
            <w:noWrap/>
            <w:hideMark/>
          </w:tcPr>
          <w:p w14:paraId="2A66B821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 xml:space="preserve">Landowners’ </w:t>
            </w:r>
            <w:r w:rsidRPr="006A58CB">
              <w:rPr>
                <w:rFonts w:ascii="Sabon Next LT" w:eastAsiaTheme="minorHAnsi" w:hAnsi="Sabon Next LT" w:cs="Sabon Next LT"/>
                <w:b w:val="0"/>
                <w:bCs w:val="0"/>
                <w:lang w:eastAsia="en-US"/>
              </w:rPr>
              <w:t>associations</w:t>
            </w:r>
          </w:p>
          <w:p w14:paraId="41B28675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Media organization</w:t>
            </w:r>
          </w:p>
          <w:p w14:paraId="78DD0061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Oil and gas associations</w:t>
            </w:r>
          </w:p>
          <w:p w14:paraId="51648D30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Business associations</w:t>
            </w:r>
          </w:p>
          <w:p w14:paraId="19893F55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 xml:space="preserve">Environmental legal organization  </w:t>
            </w:r>
          </w:p>
          <w:p w14:paraId="414F7200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Environmental civic organizations</w:t>
            </w:r>
          </w:p>
          <w:p w14:paraId="1FD546D7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Environmental anti-fracking grassroots organizations</w:t>
            </w:r>
          </w:p>
          <w:p w14:paraId="540B5B9A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City agencies</w:t>
            </w:r>
          </w:p>
          <w:p w14:paraId="52C6174F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City council</w:t>
            </w:r>
          </w:p>
          <w:p w14:paraId="14790EEA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County government agency</w:t>
            </w:r>
          </w:p>
          <w:p w14:paraId="033DD8FD" w14:textId="77777777" w:rsidR="003D794D" w:rsidRPr="006A58CB" w:rsidRDefault="003D794D" w:rsidP="00C109F2">
            <w:pPr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  <w:b w:val="0"/>
                <w:bCs w:val="0"/>
              </w:rPr>
              <w:t>Legal organizations</w:t>
            </w:r>
          </w:p>
        </w:tc>
        <w:tc>
          <w:tcPr>
            <w:tcW w:w="2694" w:type="dxa"/>
            <w:noWrap/>
            <w:hideMark/>
          </w:tcPr>
          <w:p w14:paraId="76BA1B4D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4</w:t>
            </w:r>
          </w:p>
          <w:p w14:paraId="5CB65E6C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1</w:t>
            </w:r>
          </w:p>
          <w:p w14:paraId="5B5132F8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2</w:t>
            </w:r>
          </w:p>
          <w:p w14:paraId="551D36D9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3</w:t>
            </w:r>
          </w:p>
          <w:p w14:paraId="5CCE0C1B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1</w:t>
            </w:r>
          </w:p>
          <w:p w14:paraId="67B34983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3</w:t>
            </w:r>
          </w:p>
          <w:p w14:paraId="64182165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3</w:t>
            </w:r>
          </w:p>
          <w:p w14:paraId="0CC614BC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4</w:t>
            </w:r>
          </w:p>
          <w:p w14:paraId="26161922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1</w:t>
            </w:r>
          </w:p>
          <w:p w14:paraId="38CF06F7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1</w:t>
            </w:r>
          </w:p>
          <w:p w14:paraId="794B14DC" w14:textId="77777777" w:rsidR="003D794D" w:rsidRPr="006A58CB" w:rsidRDefault="003D794D" w:rsidP="00C1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2</w:t>
            </w:r>
          </w:p>
        </w:tc>
      </w:tr>
      <w:tr w:rsidR="003D794D" w:rsidRPr="006A58CB" w14:paraId="55F5A46E" w14:textId="77777777" w:rsidTr="00C109F2">
        <w:trPr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7" w:type="dxa"/>
            <w:noWrap/>
            <w:vAlign w:val="center"/>
          </w:tcPr>
          <w:p w14:paraId="5F54B719" w14:textId="77777777" w:rsidR="003D794D" w:rsidRPr="006A58CB" w:rsidRDefault="003D794D" w:rsidP="00C109F2">
            <w:pPr>
              <w:rPr>
                <w:rFonts w:ascii="Sabon Next LT" w:hAnsi="Sabon Next LT" w:cs="Sabon Next LT"/>
              </w:rPr>
            </w:pPr>
            <w:r w:rsidRPr="006A58CB">
              <w:rPr>
                <w:rFonts w:ascii="Sabon Next LT" w:hAnsi="Sabon Next LT" w:cs="Sabon Next LT"/>
                <w:b w:val="0"/>
                <w:bCs w:val="0"/>
              </w:rPr>
              <w:t>Total number of actors</w:t>
            </w:r>
          </w:p>
        </w:tc>
        <w:tc>
          <w:tcPr>
            <w:tcW w:w="2694" w:type="dxa"/>
            <w:noWrap/>
            <w:vAlign w:val="center"/>
          </w:tcPr>
          <w:p w14:paraId="50011E56" w14:textId="77777777" w:rsidR="003D794D" w:rsidRPr="006A58CB" w:rsidRDefault="003D794D" w:rsidP="00C10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bon Next LT" w:eastAsia="Malgun Gothic" w:hAnsi="Sabon Next LT" w:cs="Sabon Next LT"/>
              </w:rPr>
            </w:pPr>
            <w:r w:rsidRPr="006A58CB">
              <w:rPr>
                <w:rFonts w:ascii="Sabon Next LT" w:eastAsia="Malgun Gothic" w:hAnsi="Sabon Next LT" w:cs="Sabon Next LT"/>
              </w:rPr>
              <w:t>25</w:t>
            </w:r>
          </w:p>
        </w:tc>
      </w:tr>
    </w:tbl>
    <w:p w14:paraId="4BB1EBF9" w14:textId="77777777" w:rsidR="003D794D" w:rsidRPr="001C5995" w:rsidRDefault="003D794D" w:rsidP="003D794D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</w:p>
    <w:p w14:paraId="7AC9EAD7" w14:textId="1ABCB42B" w:rsidR="003D794D" w:rsidRDefault="003D794D" w:rsidP="00627FE7">
      <w:pPr>
        <w:jc w:val="center"/>
        <w:rPr>
          <w:rFonts w:ascii="Times" w:eastAsia="Times New Roman" w:hAnsi="Times" w:cs="Times New Roman"/>
          <w:b/>
          <w:bCs/>
          <w:color w:val="000000" w:themeColor="text1"/>
        </w:rPr>
      </w:pPr>
      <w:r>
        <w:rPr>
          <w:rFonts w:ascii="Times" w:eastAsia="Times New Roman" w:hAnsi="Times" w:cs="Times New Roman"/>
          <w:b/>
          <w:bCs/>
          <w:color w:val="000000" w:themeColor="text1"/>
        </w:rPr>
        <w:br w:type="page"/>
      </w:r>
    </w:p>
    <w:p w14:paraId="212B90FA" w14:textId="1B20D4F8" w:rsidR="00627FE7" w:rsidRPr="006A58CB" w:rsidRDefault="00627FE7" w:rsidP="00627FE7">
      <w:pPr>
        <w:jc w:val="center"/>
        <w:rPr>
          <w:rFonts w:ascii="Sabon Next LT" w:eastAsia="Times New Roman" w:hAnsi="Sabon Next LT" w:cs="Sabon Next LT"/>
          <w:b/>
          <w:bCs/>
          <w:color w:val="000000" w:themeColor="text1"/>
        </w:rPr>
      </w:pPr>
      <w:r w:rsidRPr="006A58CB">
        <w:rPr>
          <w:rFonts w:ascii="Sabon Next LT" w:eastAsia="Times New Roman" w:hAnsi="Sabon Next LT" w:cs="Sabon Next LT"/>
          <w:b/>
          <w:bCs/>
          <w:color w:val="000000" w:themeColor="text1"/>
        </w:rPr>
        <w:lastRenderedPageBreak/>
        <w:t xml:space="preserve">Appendix </w:t>
      </w:r>
      <w:r w:rsidR="003D794D" w:rsidRPr="006A58CB">
        <w:rPr>
          <w:rFonts w:ascii="Sabon Next LT" w:eastAsia="Times New Roman" w:hAnsi="Sabon Next LT" w:cs="Sabon Next LT"/>
          <w:b/>
          <w:bCs/>
          <w:color w:val="000000" w:themeColor="text1"/>
        </w:rPr>
        <w:t>2</w:t>
      </w:r>
      <w:r w:rsidRPr="006A58CB">
        <w:rPr>
          <w:rFonts w:ascii="Sabon Next LT" w:eastAsia="Times New Roman" w:hAnsi="Sabon Next LT" w:cs="Sabon Next LT"/>
          <w:b/>
          <w:bCs/>
          <w:color w:val="000000" w:themeColor="text1"/>
        </w:rPr>
        <w:t>. QAP correlation</w:t>
      </w:r>
    </w:p>
    <w:p w14:paraId="1F658863" w14:textId="77777777" w:rsidR="00627FE7" w:rsidRPr="006735F3" w:rsidRDefault="00627FE7" w:rsidP="00627FE7">
      <w:pPr>
        <w:jc w:val="center"/>
        <w:rPr>
          <w:rFonts w:ascii="Times" w:hAnsi="Times"/>
          <w:color w:val="000000" w:themeColor="text1"/>
        </w:rPr>
      </w:pPr>
    </w:p>
    <w:tbl>
      <w:tblPr>
        <w:tblStyle w:val="TableGrid"/>
        <w:tblW w:w="126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95"/>
        <w:gridCol w:w="1109"/>
        <w:gridCol w:w="1110"/>
        <w:gridCol w:w="1110"/>
        <w:gridCol w:w="1109"/>
        <w:gridCol w:w="1110"/>
        <w:gridCol w:w="1110"/>
        <w:gridCol w:w="1109"/>
        <w:gridCol w:w="1110"/>
        <w:gridCol w:w="1110"/>
      </w:tblGrid>
      <w:tr w:rsidR="00627FE7" w:rsidRPr="006A58CB" w14:paraId="3D231C0F" w14:textId="77777777" w:rsidTr="006A58CB">
        <w:trPr>
          <w:trHeight w:val="562"/>
        </w:trPr>
        <w:tc>
          <w:tcPr>
            <w:tcW w:w="2695" w:type="dxa"/>
            <w:tcBorders>
              <w:left w:val="nil"/>
            </w:tcBorders>
            <w:noWrap/>
            <w:vAlign w:val="center"/>
            <w:hideMark/>
          </w:tcPr>
          <w:p w14:paraId="152DEEF9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center"/>
            <w:hideMark/>
          </w:tcPr>
          <w:p w14:paraId="1E3571FE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110" w:type="dxa"/>
            <w:noWrap/>
            <w:vAlign w:val="center"/>
            <w:hideMark/>
          </w:tcPr>
          <w:p w14:paraId="0362E535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110" w:type="dxa"/>
            <w:noWrap/>
            <w:vAlign w:val="center"/>
            <w:hideMark/>
          </w:tcPr>
          <w:p w14:paraId="03FFE41F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109" w:type="dxa"/>
            <w:noWrap/>
            <w:vAlign w:val="center"/>
            <w:hideMark/>
          </w:tcPr>
          <w:p w14:paraId="0ADF1FC7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110" w:type="dxa"/>
            <w:noWrap/>
            <w:vAlign w:val="center"/>
            <w:hideMark/>
          </w:tcPr>
          <w:p w14:paraId="2CD2D6B5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110" w:type="dxa"/>
            <w:noWrap/>
            <w:vAlign w:val="center"/>
            <w:hideMark/>
          </w:tcPr>
          <w:p w14:paraId="2F83A72F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109" w:type="dxa"/>
            <w:noWrap/>
            <w:vAlign w:val="center"/>
            <w:hideMark/>
          </w:tcPr>
          <w:p w14:paraId="68B19036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110" w:type="dxa"/>
            <w:noWrap/>
            <w:vAlign w:val="center"/>
            <w:hideMark/>
          </w:tcPr>
          <w:p w14:paraId="7EF65529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4B2DF52A" w14:textId="77777777" w:rsidR="00627FE7" w:rsidRPr="006A58CB" w:rsidRDefault="00627FE7" w:rsidP="002F66D4">
            <w:pPr>
              <w:jc w:val="center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(9)</w:t>
            </w:r>
          </w:p>
        </w:tc>
      </w:tr>
      <w:tr w:rsidR="00627FE7" w:rsidRPr="006A58CB" w14:paraId="2E42258F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06F83016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(1) Same sector</w:t>
            </w:r>
          </w:p>
        </w:tc>
        <w:tc>
          <w:tcPr>
            <w:tcW w:w="1109" w:type="dxa"/>
            <w:noWrap/>
            <w:hideMark/>
          </w:tcPr>
          <w:p w14:paraId="7A597E27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564986E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5DC9BCD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14:paraId="1F5D506E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59E34FC5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0078212C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14:paraId="1B9D37F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797944FD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nil"/>
            </w:tcBorders>
          </w:tcPr>
          <w:p w14:paraId="3C589B1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39BAADC3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3AA7A9E1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(2) Trust</w:t>
            </w:r>
          </w:p>
        </w:tc>
        <w:tc>
          <w:tcPr>
            <w:tcW w:w="1109" w:type="dxa"/>
            <w:noWrap/>
            <w:hideMark/>
          </w:tcPr>
          <w:p w14:paraId="4D2CE8C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0.639***</w:t>
            </w:r>
          </w:p>
        </w:tc>
        <w:tc>
          <w:tcPr>
            <w:tcW w:w="1110" w:type="dxa"/>
            <w:noWrap/>
            <w:hideMark/>
          </w:tcPr>
          <w:p w14:paraId="4EEB753C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39FD4F32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14:paraId="45D4072F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72245DA1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7828D53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14:paraId="5189406D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1979898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nil"/>
            </w:tcBorders>
          </w:tcPr>
          <w:p w14:paraId="669D405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52E5825A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49A8EF5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(3) Collaboration</w:t>
            </w:r>
          </w:p>
        </w:tc>
        <w:tc>
          <w:tcPr>
            <w:tcW w:w="1109" w:type="dxa"/>
            <w:noWrap/>
            <w:hideMark/>
          </w:tcPr>
          <w:p w14:paraId="70F31D8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0.533***</w:t>
            </w:r>
          </w:p>
        </w:tc>
        <w:tc>
          <w:tcPr>
            <w:tcW w:w="1110" w:type="dxa"/>
            <w:noWrap/>
            <w:hideMark/>
          </w:tcPr>
          <w:p w14:paraId="39C15322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0.662***</w:t>
            </w:r>
          </w:p>
        </w:tc>
        <w:tc>
          <w:tcPr>
            <w:tcW w:w="1110" w:type="dxa"/>
            <w:noWrap/>
            <w:hideMark/>
          </w:tcPr>
          <w:p w14:paraId="489F2015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1B9EB29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32358F4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4BC6D436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14:paraId="25C7FCA7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04344EC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nil"/>
            </w:tcBorders>
          </w:tcPr>
          <w:p w14:paraId="65BE5C3D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4776F1BE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49C689A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(4) Competition</w:t>
            </w:r>
          </w:p>
        </w:tc>
        <w:tc>
          <w:tcPr>
            <w:tcW w:w="1109" w:type="dxa"/>
            <w:noWrap/>
            <w:hideMark/>
          </w:tcPr>
          <w:p w14:paraId="609B3556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-0.435***</w:t>
            </w:r>
          </w:p>
        </w:tc>
        <w:tc>
          <w:tcPr>
            <w:tcW w:w="1110" w:type="dxa"/>
            <w:noWrap/>
          </w:tcPr>
          <w:p w14:paraId="3D5A1F8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-0.627***</w:t>
            </w:r>
          </w:p>
        </w:tc>
        <w:tc>
          <w:tcPr>
            <w:tcW w:w="1110" w:type="dxa"/>
            <w:noWrap/>
            <w:hideMark/>
          </w:tcPr>
          <w:p w14:paraId="4577439F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-0.273***</w:t>
            </w:r>
          </w:p>
        </w:tc>
        <w:tc>
          <w:tcPr>
            <w:tcW w:w="1109" w:type="dxa"/>
            <w:noWrap/>
            <w:hideMark/>
          </w:tcPr>
          <w:p w14:paraId="0B6A079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7DB25471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3D5E676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14:paraId="69B22AC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73208D0D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nil"/>
            </w:tcBorders>
          </w:tcPr>
          <w:p w14:paraId="42D02DB9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01CBBB73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</w:tcPr>
          <w:p w14:paraId="3924D034" w14:textId="54532253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(5) Different identity-based subgroups</w:t>
            </w:r>
          </w:p>
        </w:tc>
        <w:tc>
          <w:tcPr>
            <w:tcW w:w="1109" w:type="dxa"/>
            <w:noWrap/>
          </w:tcPr>
          <w:p w14:paraId="54542DFC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-0.549***</w:t>
            </w:r>
          </w:p>
        </w:tc>
        <w:tc>
          <w:tcPr>
            <w:tcW w:w="1110" w:type="dxa"/>
            <w:noWrap/>
          </w:tcPr>
          <w:p w14:paraId="3C75073F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-0.482***</w:t>
            </w:r>
          </w:p>
        </w:tc>
        <w:tc>
          <w:tcPr>
            <w:tcW w:w="1110" w:type="dxa"/>
            <w:noWrap/>
          </w:tcPr>
          <w:p w14:paraId="70A3C889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-0.430***</w:t>
            </w:r>
          </w:p>
        </w:tc>
        <w:tc>
          <w:tcPr>
            <w:tcW w:w="1109" w:type="dxa"/>
            <w:noWrap/>
          </w:tcPr>
          <w:p w14:paraId="56512901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0.269***</w:t>
            </w:r>
          </w:p>
        </w:tc>
        <w:tc>
          <w:tcPr>
            <w:tcW w:w="1110" w:type="dxa"/>
            <w:noWrap/>
          </w:tcPr>
          <w:p w14:paraId="029EE14F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</w:tcPr>
          <w:p w14:paraId="2436544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noWrap/>
          </w:tcPr>
          <w:p w14:paraId="534C646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14:paraId="34B42213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nil"/>
            </w:tcBorders>
          </w:tcPr>
          <w:p w14:paraId="7D8C1342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4DABBCBB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7FE2D09D" w14:textId="1458A74B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(6) Trust x Different identity-based subgroups</w:t>
            </w:r>
          </w:p>
        </w:tc>
        <w:tc>
          <w:tcPr>
            <w:tcW w:w="1109" w:type="dxa"/>
            <w:noWrap/>
            <w:hideMark/>
          </w:tcPr>
          <w:p w14:paraId="3B6A0CD3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-0.071</w:t>
            </w:r>
          </w:p>
        </w:tc>
        <w:tc>
          <w:tcPr>
            <w:tcW w:w="1110" w:type="dxa"/>
            <w:noWrap/>
            <w:hideMark/>
          </w:tcPr>
          <w:p w14:paraId="6E7AD9E2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0.305***</w:t>
            </w:r>
          </w:p>
        </w:tc>
        <w:tc>
          <w:tcPr>
            <w:tcW w:w="1110" w:type="dxa"/>
            <w:noWrap/>
            <w:hideMark/>
          </w:tcPr>
          <w:p w14:paraId="7A05AE21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0.097*</w:t>
            </w:r>
          </w:p>
        </w:tc>
        <w:tc>
          <w:tcPr>
            <w:tcW w:w="1109" w:type="dxa"/>
            <w:noWrap/>
            <w:hideMark/>
          </w:tcPr>
          <w:p w14:paraId="46F63215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-0.244***</w:t>
            </w:r>
          </w:p>
        </w:tc>
        <w:tc>
          <w:tcPr>
            <w:tcW w:w="1110" w:type="dxa"/>
            <w:noWrap/>
            <w:hideMark/>
          </w:tcPr>
          <w:p w14:paraId="6DEC2079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0.651***</w:t>
            </w:r>
          </w:p>
        </w:tc>
        <w:tc>
          <w:tcPr>
            <w:tcW w:w="1110" w:type="dxa"/>
            <w:noWrap/>
            <w:hideMark/>
          </w:tcPr>
          <w:p w14:paraId="16A6C1C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1665115E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14:paraId="3E57F25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nil"/>
            </w:tcBorders>
          </w:tcPr>
          <w:p w14:paraId="4EF9512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783D7C65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5074312B" w14:textId="28169342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(7) Collaboration x Different identity-based subgroups</w:t>
            </w:r>
          </w:p>
        </w:tc>
        <w:tc>
          <w:tcPr>
            <w:tcW w:w="1109" w:type="dxa"/>
            <w:noWrap/>
            <w:hideMark/>
          </w:tcPr>
          <w:p w14:paraId="148F134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0.173***</w:t>
            </w:r>
          </w:p>
        </w:tc>
        <w:tc>
          <w:tcPr>
            <w:tcW w:w="1110" w:type="dxa"/>
            <w:noWrap/>
            <w:hideMark/>
          </w:tcPr>
          <w:p w14:paraId="4FE3E176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0.360***</w:t>
            </w:r>
          </w:p>
        </w:tc>
        <w:tc>
          <w:tcPr>
            <w:tcW w:w="1110" w:type="dxa"/>
            <w:noWrap/>
            <w:hideMark/>
          </w:tcPr>
          <w:p w14:paraId="744D551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0.692***</w:t>
            </w:r>
          </w:p>
        </w:tc>
        <w:tc>
          <w:tcPr>
            <w:tcW w:w="1109" w:type="dxa"/>
            <w:noWrap/>
            <w:hideMark/>
          </w:tcPr>
          <w:p w14:paraId="55C547E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-0.087</w:t>
            </w:r>
          </w:p>
        </w:tc>
        <w:tc>
          <w:tcPr>
            <w:tcW w:w="1110" w:type="dxa"/>
            <w:noWrap/>
            <w:hideMark/>
          </w:tcPr>
          <w:p w14:paraId="0C64B4A7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0.260***</w:t>
            </w:r>
          </w:p>
        </w:tc>
        <w:tc>
          <w:tcPr>
            <w:tcW w:w="1110" w:type="dxa"/>
            <w:noWrap/>
            <w:hideMark/>
          </w:tcPr>
          <w:p w14:paraId="0E73199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0.618***</w:t>
            </w:r>
          </w:p>
        </w:tc>
        <w:tc>
          <w:tcPr>
            <w:tcW w:w="1109" w:type="dxa"/>
            <w:noWrap/>
            <w:hideMark/>
          </w:tcPr>
          <w:p w14:paraId="70A8EB0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1B4C4D99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nil"/>
            </w:tcBorders>
          </w:tcPr>
          <w:p w14:paraId="59499DF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35174E5C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69DA17F7" w14:textId="051C087F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(8) Competition x Different identity-based subgroups</w:t>
            </w:r>
          </w:p>
        </w:tc>
        <w:tc>
          <w:tcPr>
            <w:tcW w:w="1109" w:type="dxa"/>
            <w:noWrap/>
            <w:hideMark/>
          </w:tcPr>
          <w:p w14:paraId="6ED64082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-0.431***</w:t>
            </w:r>
          </w:p>
        </w:tc>
        <w:tc>
          <w:tcPr>
            <w:tcW w:w="1110" w:type="dxa"/>
            <w:noWrap/>
            <w:hideMark/>
          </w:tcPr>
          <w:p w14:paraId="2C75BD01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-0.624***</w:t>
            </w:r>
          </w:p>
        </w:tc>
        <w:tc>
          <w:tcPr>
            <w:tcW w:w="1110" w:type="dxa"/>
            <w:noWrap/>
            <w:hideMark/>
          </w:tcPr>
          <w:p w14:paraId="3BE099E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-0.267***</w:t>
            </w:r>
          </w:p>
        </w:tc>
        <w:tc>
          <w:tcPr>
            <w:tcW w:w="1109" w:type="dxa"/>
            <w:noWrap/>
            <w:hideMark/>
          </w:tcPr>
          <w:p w14:paraId="327D9BF2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0.991</w:t>
            </w:r>
          </w:p>
        </w:tc>
        <w:tc>
          <w:tcPr>
            <w:tcW w:w="1110" w:type="dxa"/>
            <w:noWrap/>
            <w:hideMark/>
          </w:tcPr>
          <w:p w14:paraId="17D46902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0.287***</w:t>
            </w:r>
          </w:p>
        </w:tc>
        <w:tc>
          <w:tcPr>
            <w:tcW w:w="1110" w:type="dxa"/>
            <w:noWrap/>
            <w:hideMark/>
          </w:tcPr>
          <w:p w14:paraId="4ACD404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-0.234***</w:t>
            </w:r>
          </w:p>
        </w:tc>
        <w:tc>
          <w:tcPr>
            <w:tcW w:w="1109" w:type="dxa"/>
            <w:noWrap/>
            <w:hideMark/>
          </w:tcPr>
          <w:p w14:paraId="3F26BEE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-0.082</w:t>
            </w:r>
          </w:p>
        </w:tc>
        <w:tc>
          <w:tcPr>
            <w:tcW w:w="1110" w:type="dxa"/>
            <w:noWrap/>
            <w:hideMark/>
          </w:tcPr>
          <w:p w14:paraId="4C75793B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right w:val="nil"/>
            </w:tcBorders>
          </w:tcPr>
          <w:p w14:paraId="51B8AED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</w:p>
        </w:tc>
      </w:tr>
      <w:tr w:rsidR="00627FE7" w:rsidRPr="006A58CB" w14:paraId="5B2EE86E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5A25EF5E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(9) Technical Information Exchange (</w:t>
            </w:r>
            <w:proofErr w:type="spellStart"/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DVa</w:t>
            </w:r>
            <w:proofErr w:type="spellEnd"/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09" w:type="dxa"/>
            <w:noWrap/>
            <w:hideMark/>
          </w:tcPr>
          <w:p w14:paraId="7C5CE21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0.505***</w:t>
            </w:r>
          </w:p>
        </w:tc>
        <w:tc>
          <w:tcPr>
            <w:tcW w:w="1110" w:type="dxa"/>
            <w:noWrap/>
            <w:hideMark/>
          </w:tcPr>
          <w:p w14:paraId="125A1FE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0.440***</w:t>
            </w:r>
          </w:p>
        </w:tc>
        <w:tc>
          <w:tcPr>
            <w:tcW w:w="1110" w:type="dxa"/>
            <w:noWrap/>
            <w:hideMark/>
          </w:tcPr>
          <w:p w14:paraId="26871738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0.449***</w:t>
            </w:r>
          </w:p>
        </w:tc>
        <w:tc>
          <w:tcPr>
            <w:tcW w:w="1109" w:type="dxa"/>
            <w:noWrap/>
            <w:hideMark/>
          </w:tcPr>
          <w:p w14:paraId="2792969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-0.302***</w:t>
            </w:r>
          </w:p>
        </w:tc>
        <w:tc>
          <w:tcPr>
            <w:tcW w:w="1110" w:type="dxa"/>
            <w:noWrap/>
            <w:hideMark/>
          </w:tcPr>
          <w:p w14:paraId="3DA6D646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-0.431***</w:t>
            </w:r>
          </w:p>
        </w:tc>
        <w:tc>
          <w:tcPr>
            <w:tcW w:w="1110" w:type="dxa"/>
            <w:noWrap/>
            <w:hideMark/>
          </w:tcPr>
          <w:p w14:paraId="44770B9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-0.122**</w:t>
            </w:r>
          </w:p>
        </w:tc>
        <w:tc>
          <w:tcPr>
            <w:tcW w:w="1109" w:type="dxa"/>
            <w:noWrap/>
            <w:hideMark/>
          </w:tcPr>
          <w:p w14:paraId="2604FA6C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0.143**</w:t>
            </w:r>
          </w:p>
        </w:tc>
        <w:tc>
          <w:tcPr>
            <w:tcW w:w="1110" w:type="dxa"/>
            <w:noWrap/>
            <w:hideMark/>
          </w:tcPr>
          <w:p w14:paraId="2807D528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-0.298***</w:t>
            </w:r>
          </w:p>
        </w:tc>
        <w:tc>
          <w:tcPr>
            <w:tcW w:w="1110" w:type="dxa"/>
            <w:tcBorders>
              <w:right w:val="nil"/>
            </w:tcBorders>
          </w:tcPr>
          <w:p w14:paraId="4F8923CA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1</w:t>
            </w:r>
          </w:p>
        </w:tc>
      </w:tr>
      <w:tr w:rsidR="00627FE7" w:rsidRPr="006A58CB" w14:paraId="58BC7EF6" w14:textId="77777777" w:rsidTr="006A58CB">
        <w:trPr>
          <w:trHeight w:val="703"/>
        </w:trPr>
        <w:tc>
          <w:tcPr>
            <w:tcW w:w="2695" w:type="dxa"/>
            <w:tcBorders>
              <w:left w:val="nil"/>
            </w:tcBorders>
            <w:noWrap/>
            <w:hideMark/>
          </w:tcPr>
          <w:p w14:paraId="31979AF4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(10) Political Information Exchange (</w:t>
            </w:r>
            <w:proofErr w:type="spellStart"/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DVb</w:t>
            </w:r>
            <w:proofErr w:type="spellEnd"/>
            <w:r w:rsidRPr="006A58C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109" w:type="dxa"/>
            <w:noWrap/>
            <w:hideMark/>
          </w:tcPr>
          <w:p w14:paraId="20205810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0.358***</w:t>
            </w:r>
          </w:p>
        </w:tc>
        <w:tc>
          <w:tcPr>
            <w:tcW w:w="1110" w:type="dxa"/>
            <w:noWrap/>
            <w:hideMark/>
          </w:tcPr>
          <w:p w14:paraId="13DF13FD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0.358***</w:t>
            </w:r>
          </w:p>
        </w:tc>
        <w:tc>
          <w:tcPr>
            <w:tcW w:w="1110" w:type="dxa"/>
            <w:noWrap/>
            <w:hideMark/>
          </w:tcPr>
          <w:p w14:paraId="700E90E5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0.453***</w:t>
            </w:r>
          </w:p>
        </w:tc>
        <w:tc>
          <w:tcPr>
            <w:tcW w:w="1109" w:type="dxa"/>
            <w:noWrap/>
            <w:hideMark/>
          </w:tcPr>
          <w:p w14:paraId="79D9A609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-0.189***</w:t>
            </w:r>
          </w:p>
        </w:tc>
        <w:tc>
          <w:tcPr>
            <w:tcW w:w="1110" w:type="dxa"/>
            <w:noWrap/>
            <w:hideMark/>
          </w:tcPr>
          <w:p w14:paraId="2DC3A96C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-0.347***</w:t>
            </w:r>
          </w:p>
        </w:tc>
        <w:tc>
          <w:tcPr>
            <w:tcW w:w="1110" w:type="dxa"/>
            <w:noWrap/>
            <w:hideMark/>
          </w:tcPr>
          <w:p w14:paraId="46475B57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-0.074</w:t>
            </w:r>
          </w:p>
        </w:tc>
        <w:tc>
          <w:tcPr>
            <w:tcW w:w="1109" w:type="dxa"/>
            <w:noWrap/>
            <w:hideMark/>
          </w:tcPr>
          <w:p w14:paraId="3A8800E8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0.215***</w:t>
            </w:r>
          </w:p>
        </w:tc>
        <w:tc>
          <w:tcPr>
            <w:tcW w:w="1110" w:type="dxa"/>
            <w:noWrap/>
            <w:hideMark/>
          </w:tcPr>
          <w:p w14:paraId="0E979821" w14:textId="77777777" w:rsidR="00627FE7" w:rsidRPr="006A58CB" w:rsidRDefault="00627FE7" w:rsidP="002F66D4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-0.200***</w:t>
            </w:r>
          </w:p>
        </w:tc>
        <w:tc>
          <w:tcPr>
            <w:tcW w:w="1110" w:type="dxa"/>
            <w:tcBorders>
              <w:right w:val="nil"/>
            </w:tcBorders>
          </w:tcPr>
          <w:p w14:paraId="68B3E747" w14:textId="77777777" w:rsidR="00627FE7" w:rsidRPr="006A58CB" w:rsidRDefault="00627FE7" w:rsidP="002F66D4">
            <w:pPr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</w:pPr>
            <w:r w:rsidRPr="006A58CB">
              <w:rPr>
                <w:rFonts w:ascii="Sabon Next LT" w:hAnsi="Sabon Next LT" w:cs="Sabon Next LT"/>
                <w:color w:val="000000" w:themeColor="text1"/>
                <w:sz w:val="20"/>
                <w:szCs w:val="20"/>
              </w:rPr>
              <w:t>0.526***</w:t>
            </w:r>
          </w:p>
        </w:tc>
      </w:tr>
    </w:tbl>
    <w:p w14:paraId="2D945B82" w14:textId="405A9E12" w:rsidR="000851A9" w:rsidRPr="006A58CB" w:rsidRDefault="006A58CB" w:rsidP="006A58CB">
      <w:pPr>
        <w:spacing w:line="480" w:lineRule="auto"/>
        <w:rPr>
          <w:rFonts w:ascii="Sabon Next LT" w:eastAsia="Times New Roman" w:hAnsi="Sabon Next LT" w:cs="Sabon Next LT"/>
          <w:color w:val="000000" w:themeColor="text1"/>
          <w:sz w:val="20"/>
          <w:szCs w:val="20"/>
          <w:lang w:eastAsia="en-US"/>
        </w:rPr>
      </w:pPr>
      <w:r>
        <w:rPr>
          <w:rFonts w:ascii="Sabon Next LT" w:eastAsia="Times New Roman" w:hAnsi="Sabon Next LT" w:cs="Sabon Next LT"/>
          <w:i/>
          <w:iCs/>
          <w:color w:val="000000" w:themeColor="text1"/>
          <w:sz w:val="20"/>
          <w:szCs w:val="20"/>
          <w:lang w:eastAsia="en-US"/>
        </w:rPr>
        <w:t>*</w:t>
      </w:r>
      <w:r w:rsidR="00D4424B" w:rsidRPr="006A58CB">
        <w:rPr>
          <w:rFonts w:ascii="Sabon Next LT" w:eastAsia="Times New Roman" w:hAnsi="Sabon Next LT" w:cs="Sabon Next LT"/>
          <w:i/>
          <w:iCs/>
          <w:color w:val="000000" w:themeColor="text1"/>
          <w:sz w:val="20"/>
          <w:szCs w:val="20"/>
          <w:lang w:eastAsia="en-US"/>
        </w:rPr>
        <w:t>p</w:t>
      </w:r>
      <w:r w:rsidR="00D4424B" w:rsidRPr="006A58CB">
        <w:rPr>
          <w:rFonts w:ascii="Sabon Next LT" w:eastAsia="Times New Roman" w:hAnsi="Sabon Next LT" w:cs="Sabon Next LT"/>
          <w:color w:val="000000" w:themeColor="text1"/>
          <w:sz w:val="20"/>
          <w:szCs w:val="20"/>
          <w:lang w:eastAsia="en-US"/>
        </w:rPr>
        <w:t>&lt;.10; **</w:t>
      </w:r>
      <w:r w:rsidR="00D4424B" w:rsidRPr="006A58CB">
        <w:rPr>
          <w:rFonts w:ascii="Sabon Next LT" w:eastAsia="Times New Roman" w:hAnsi="Sabon Next LT" w:cs="Sabon Next LT"/>
          <w:i/>
          <w:iCs/>
          <w:color w:val="000000" w:themeColor="text1"/>
          <w:sz w:val="20"/>
          <w:szCs w:val="20"/>
          <w:lang w:eastAsia="en-US"/>
        </w:rPr>
        <w:t>p</w:t>
      </w:r>
      <w:r w:rsidR="00D4424B" w:rsidRPr="006A58CB">
        <w:rPr>
          <w:rFonts w:ascii="Sabon Next LT" w:eastAsia="Times New Roman" w:hAnsi="Sabon Next LT" w:cs="Sabon Next LT"/>
          <w:color w:val="000000" w:themeColor="text1"/>
          <w:sz w:val="20"/>
          <w:szCs w:val="20"/>
          <w:lang w:eastAsia="en-US"/>
        </w:rPr>
        <w:t>&lt;.05; ***</w:t>
      </w:r>
      <w:r w:rsidR="00D4424B" w:rsidRPr="006A58CB">
        <w:rPr>
          <w:rFonts w:ascii="Sabon Next LT" w:eastAsia="Times New Roman" w:hAnsi="Sabon Next LT" w:cs="Sabon Next LT"/>
          <w:i/>
          <w:iCs/>
          <w:color w:val="000000" w:themeColor="text1"/>
          <w:sz w:val="20"/>
          <w:szCs w:val="20"/>
          <w:lang w:eastAsia="en-US"/>
        </w:rPr>
        <w:t>p</w:t>
      </w:r>
      <w:r w:rsidR="00D4424B" w:rsidRPr="006A58CB">
        <w:rPr>
          <w:rFonts w:ascii="Sabon Next LT" w:eastAsia="Times New Roman" w:hAnsi="Sabon Next LT" w:cs="Sabon Next LT"/>
          <w:color w:val="000000" w:themeColor="text1"/>
          <w:sz w:val="20"/>
          <w:szCs w:val="20"/>
          <w:lang w:eastAsia="en-US"/>
        </w:rPr>
        <w:t xml:space="preserve">&lt;.01 </w:t>
      </w:r>
    </w:p>
    <w:sectPr w:rsidR="000851A9" w:rsidRPr="006A58CB" w:rsidSect="00627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0MjE1NjcwNbA0sDBW0lEKTi0uzszPAykwNKgFAJwxS6gtAAAA"/>
  </w:docVars>
  <w:rsids>
    <w:rsidRoot w:val="00627FE7"/>
    <w:rsid w:val="000179AF"/>
    <w:rsid w:val="000710BB"/>
    <w:rsid w:val="000851A9"/>
    <w:rsid w:val="002B10CE"/>
    <w:rsid w:val="003267D5"/>
    <w:rsid w:val="003D794D"/>
    <w:rsid w:val="00591ADE"/>
    <w:rsid w:val="00627FE7"/>
    <w:rsid w:val="006A58CB"/>
    <w:rsid w:val="008910FF"/>
    <w:rsid w:val="009A6EC6"/>
    <w:rsid w:val="009D5405"/>
    <w:rsid w:val="00A42095"/>
    <w:rsid w:val="00D4424B"/>
    <w:rsid w:val="00E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FE77"/>
  <w15:chartTrackingRefBased/>
  <w15:docId w15:val="{BDDE7179-5448-4581-AFF9-79C48F3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3D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Jeongyoon</dc:creator>
  <cp:keywords/>
  <dc:description/>
  <cp:lastModifiedBy>Lee, Jeongyoon</cp:lastModifiedBy>
  <cp:revision>4</cp:revision>
  <dcterms:created xsi:type="dcterms:W3CDTF">2022-08-11T13:34:00Z</dcterms:created>
  <dcterms:modified xsi:type="dcterms:W3CDTF">2022-08-12T14:51:00Z</dcterms:modified>
</cp:coreProperties>
</file>