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14" w:rsidRPr="00811A25" w:rsidRDefault="008A2514" w:rsidP="008A2514">
      <w:pPr>
        <w:spacing w:line="480" w:lineRule="auto"/>
        <w:jc w:val="center"/>
        <w:rPr>
          <w:b/>
          <w:lang w:val="sv-SE"/>
        </w:rPr>
      </w:pPr>
      <w:r w:rsidRPr="00044B5B">
        <w:rPr>
          <w:b/>
          <w:lang w:val="sv-SE"/>
        </w:rPr>
        <w:t>Supplementary material</w:t>
      </w:r>
    </w:p>
    <w:p w:rsidR="008A2514" w:rsidRPr="00044B5B" w:rsidRDefault="008A2514" w:rsidP="008A2514">
      <w:pPr>
        <w:spacing w:line="480" w:lineRule="auto"/>
        <w:ind w:hanging="680"/>
        <w:jc w:val="both"/>
        <w:rPr>
          <w:lang w:val="sv-SE"/>
        </w:rPr>
      </w:pPr>
    </w:p>
    <w:p w:rsidR="008A2514" w:rsidRPr="00044B5B" w:rsidRDefault="008A2514" w:rsidP="008A2514">
      <w:pPr>
        <w:spacing w:line="480" w:lineRule="auto"/>
        <w:jc w:val="both"/>
      </w:pPr>
      <w:r w:rsidRPr="00044B5B">
        <w:t>Table S.1</w:t>
      </w:r>
    </w:p>
    <w:tbl>
      <w:tblPr>
        <w:tblStyle w:val="Tabellrutnt"/>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2388"/>
        <w:gridCol w:w="1576"/>
        <w:gridCol w:w="1576"/>
        <w:gridCol w:w="2043"/>
        <w:gridCol w:w="1443"/>
      </w:tblGrid>
      <w:tr w:rsidR="008A2514" w:rsidRPr="00044B5B" w:rsidTr="00BE6B9D">
        <w:tc>
          <w:tcPr>
            <w:tcW w:w="5000" w:type="pct"/>
            <w:gridSpan w:val="5"/>
            <w:tcBorders>
              <w:top w:val="single" w:sz="4" w:space="0" w:color="auto"/>
              <w:bottom w:val="single" w:sz="4" w:space="0" w:color="auto"/>
            </w:tcBorders>
            <w:vAlign w:val="center"/>
          </w:tcPr>
          <w:p w:rsidR="008A2514" w:rsidRPr="00044B5B" w:rsidRDefault="008A2514" w:rsidP="00BE6B9D">
            <w:pPr>
              <w:spacing w:line="480" w:lineRule="auto"/>
            </w:pPr>
            <w:r w:rsidRPr="00044B5B">
              <w:t>Rotated factor loadings (promax) and raw scores (</w:t>
            </w:r>
            <w:r w:rsidRPr="00044B5B">
              <w:rPr>
                <w:i/>
              </w:rPr>
              <w:t>M, SD</w:t>
            </w:r>
            <w:r w:rsidRPr="00044B5B">
              <w:t>) for 25-item scale</w:t>
            </w:r>
          </w:p>
        </w:tc>
      </w:tr>
      <w:tr w:rsidR="008A2514" w:rsidRPr="00044B5B" w:rsidTr="00BE6B9D">
        <w:tc>
          <w:tcPr>
            <w:tcW w:w="2259" w:type="pct"/>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526" w:type="pct"/>
            <w:tcBorders>
              <w:top w:val="single" w:sz="4" w:space="0" w:color="auto"/>
              <w:left w:val="nil"/>
              <w:bottom w:val="single" w:sz="4" w:space="0" w:color="auto"/>
              <w:right w:val="nil"/>
            </w:tcBorders>
            <w:vAlign w:val="center"/>
          </w:tcPr>
          <w:p w:rsidR="008A2514" w:rsidRPr="00044B5B" w:rsidRDefault="008A2514" w:rsidP="00BE6B9D">
            <w:pPr>
              <w:spacing w:line="480" w:lineRule="auto"/>
              <w:rPr>
                <w:b/>
              </w:rPr>
            </w:pPr>
            <w:r w:rsidRPr="00044B5B">
              <w:rPr>
                <w:b/>
              </w:rPr>
              <w:t>Factor 1</w:t>
            </w:r>
          </w:p>
          <w:p w:rsidR="008A2514" w:rsidRPr="00044B5B" w:rsidRDefault="008A2514" w:rsidP="00BE6B9D">
            <w:pPr>
              <w:spacing w:line="480" w:lineRule="auto"/>
            </w:pPr>
            <w:r w:rsidRPr="00044B5B">
              <w:t>Push policy</w:t>
            </w:r>
          </w:p>
        </w:tc>
        <w:tc>
          <w:tcPr>
            <w:tcW w:w="520" w:type="pct"/>
            <w:tcBorders>
              <w:top w:val="single" w:sz="4" w:space="0" w:color="auto"/>
              <w:left w:val="nil"/>
              <w:bottom w:val="single" w:sz="4" w:space="0" w:color="auto"/>
              <w:right w:val="nil"/>
            </w:tcBorders>
            <w:vAlign w:val="center"/>
          </w:tcPr>
          <w:p w:rsidR="008A2514" w:rsidRPr="00044B5B" w:rsidRDefault="008A2514" w:rsidP="00BE6B9D">
            <w:pPr>
              <w:spacing w:line="480" w:lineRule="auto"/>
              <w:rPr>
                <w:b/>
              </w:rPr>
            </w:pPr>
            <w:r w:rsidRPr="00044B5B">
              <w:rPr>
                <w:b/>
              </w:rPr>
              <w:t>Factor 2</w:t>
            </w:r>
          </w:p>
          <w:p w:rsidR="008A2514" w:rsidRPr="00044B5B" w:rsidRDefault="008A2514" w:rsidP="00BE6B9D">
            <w:pPr>
              <w:spacing w:line="480" w:lineRule="auto"/>
            </w:pPr>
            <w:r w:rsidRPr="00044B5B">
              <w:t>Pull policy</w:t>
            </w:r>
          </w:p>
        </w:tc>
        <w:tc>
          <w:tcPr>
            <w:tcW w:w="799" w:type="pct"/>
            <w:tcBorders>
              <w:top w:val="single" w:sz="4" w:space="0" w:color="auto"/>
              <w:left w:val="nil"/>
              <w:bottom w:val="single" w:sz="4" w:space="0" w:color="auto"/>
              <w:right w:val="nil"/>
            </w:tcBorders>
            <w:vAlign w:val="center"/>
          </w:tcPr>
          <w:p w:rsidR="008A2514" w:rsidRPr="00044B5B" w:rsidRDefault="008A2514" w:rsidP="00BE6B9D">
            <w:pPr>
              <w:spacing w:line="480" w:lineRule="auto"/>
              <w:rPr>
                <w:b/>
              </w:rPr>
            </w:pPr>
            <w:r w:rsidRPr="00044B5B">
              <w:rPr>
                <w:b/>
              </w:rPr>
              <w:t>Factor</w:t>
            </w:r>
          </w:p>
          <w:p w:rsidR="008A2514" w:rsidRPr="00044B5B" w:rsidRDefault="008A2514" w:rsidP="00BE6B9D">
            <w:pPr>
              <w:spacing w:line="480" w:lineRule="auto"/>
              <w:rPr>
                <w:b/>
              </w:rPr>
            </w:pPr>
            <w:r w:rsidRPr="00044B5B">
              <w:rPr>
                <w:b/>
              </w:rPr>
              <w:t>3</w:t>
            </w:r>
          </w:p>
          <w:p w:rsidR="008A2514" w:rsidRPr="00044B5B" w:rsidRDefault="008A2514" w:rsidP="00BE6B9D">
            <w:pPr>
              <w:spacing w:line="480" w:lineRule="auto"/>
            </w:pPr>
            <w:r w:rsidRPr="00044B5B">
              <w:t>Information policy</w:t>
            </w:r>
          </w:p>
        </w:tc>
        <w:tc>
          <w:tcPr>
            <w:tcW w:w="896" w:type="pct"/>
            <w:tcBorders>
              <w:top w:val="single" w:sz="4" w:space="0" w:color="auto"/>
              <w:left w:val="nil"/>
              <w:bottom w:val="single" w:sz="4" w:space="0" w:color="auto"/>
            </w:tcBorders>
          </w:tcPr>
          <w:p w:rsidR="008A2514" w:rsidRPr="00044B5B" w:rsidRDefault="008A2514" w:rsidP="00BE6B9D">
            <w:pPr>
              <w:spacing w:line="480" w:lineRule="auto"/>
            </w:pPr>
            <w:r w:rsidRPr="00044B5B">
              <w:rPr>
                <w:i/>
              </w:rPr>
              <w:t>M</w:t>
            </w:r>
            <w:r w:rsidRPr="00044B5B">
              <w:t xml:space="preserve"> (</w:t>
            </w:r>
            <w:r w:rsidRPr="00044B5B">
              <w:rPr>
                <w:i/>
              </w:rPr>
              <w:t>SD</w:t>
            </w:r>
            <w:r w:rsidRPr="00044B5B">
              <w:t>) acceptability rating</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 Local environmental zones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.45</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.17</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.26</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5.11 (1.76)</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3: Differentiated vehicle tax</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.56</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.27</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4.84 (1.75)</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 xml:space="preserve">8: Energy tax on electricity </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.62</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.12</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3.96 (1.62)</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20: Municipal regulation of small-scale firewood heating</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.45</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.22</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3.85 (1.64)</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 xml:space="preserve">23: Congestion charge on road traffic </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.66</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.11</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4.66 (1.83)</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27: Malus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.63</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.19</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4.07 (1.86)</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33: Aviation tax</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.60</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.10</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.15</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4.81 (1.87)</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lastRenderedPageBreak/>
              <w:t>38: CO</w:t>
            </w:r>
            <w:r w:rsidRPr="00044B5B">
              <w:rPr>
                <w:vertAlign w:val="subscript"/>
                <w:lang w:eastAsia="x-none"/>
              </w:rPr>
              <w:t>2</w:t>
            </w:r>
            <w:r w:rsidRPr="00044B5B">
              <w:rPr>
                <w:lang w:eastAsia="x-none"/>
              </w:rPr>
              <w:t xml:space="preserve"> tax on fuel</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b/>
                <w:color w:val="000000"/>
                <w:sz w:val="24"/>
                <w:szCs w:val="24"/>
                <w:bdr w:val="none" w:sz="0" w:space="0" w:color="auto" w:frame="1"/>
              </w:rPr>
            </w:pPr>
            <w:r w:rsidRPr="005F34CC">
              <w:rPr>
                <w:rStyle w:val="gnkrckgcgsb"/>
                <w:rFonts w:ascii="Times New Roman" w:eastAsiaTheme="majorEastAsia" w:hAnsi="Times New Roman" w:cs="Times New Roman"/>
                <w:b/>
                <w:color w:val="000000"/>
                <w:sz w:val="24"/>
                <w:szCs w:val="24"/>
                <w:bdr w:val="none" w:sz="0" w:space="0" w:color="auto" w:frame="1"/>
              </w:rPr>
              <w:t>.79</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lang w:eastAsia="sv-SE"/>
              </w:rPr>
            </w:pPr>
            <w:r w:rsidRPr="007B1DEC">
              <w:rPr>
                <w:rFonts w:eastAsia="Times New Roman"/>
                <w:color w:val="000000"/>
                <w:bdr w:val="none" w:sz="0" w:space="0" w:color="auto" w:frame="1"/>
                <w:lang w:eastAsia="sv-SE"/>
              </w:rPr>
              <w:t>4.69 (1.80)</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39: Energy tax on fuel</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.81</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4.45 (1.79)</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17: Free parking for green cars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.13</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.65</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4.23 (1.74)</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21: Tax exemption on biofuels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.53</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.27</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4.75 (1.52)</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31: Subsidy for electrical charging stations, in the form of ROT (repairs, conversions, extensions) deduction</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lang w:val="en-US"/>
              </w:rPr>
            </w:pP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.70</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4.64 (1.65)</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32: Subsidy for electrical charging stations, in the form of installation support</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.12</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.69</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4.49 (1.74)</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 xml:space="preserve">35: Five year tax exemption on green cars </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lang w:val="en-US"/>
              </w:rPr>
            </w:pP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.69</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.15</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4.81 (1.57)</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40: Reduction of green car benefit value</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.16</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.72</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4.48 (1.62)</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lastRenderedPageBreak/>
              <w:t>41: Tax exemption on bio fuel consumption for heating</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.14</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.55</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.20</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4.78 (1.52)</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43: Reduction of green car benefit tax</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r w:rsidRPr="005F34CC">
              <w:rPr>
                <w:rStyle w:val="gnkrckgcgsb"/>
                <w:rFonts w:ascii="Times New Roman" w:eastAsiaTheme="majorEastAsia" w:hAnsi="Times New Roman" w:cs="Times New Roman"/>
                <w:color w:val="000000"/>
                <w:sz w:val="24"/>
                <w:szCs w:val="24"/>
                <w:bdr w:val="none" w:sz="0" w:space="0" w:color="auto" w:frame="1"/>
              </w:rPr>
              <w:t>.12</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b/>
                <w:color w:val="000000"/>
                <w:sz w:val="24"/>
                <w:szCs w:val="24"/>
              </w:rPr>
            </w:pPr>
            <w:r w:rsidRPr="005F34CC">
              <w:rPr>
                <w:rStyle w:val="gnkrckgcgsb"/>
                <w:rFonts w:ascii="Times New Roman" w:eastAsiaTheme="majorEastAsia" w:hAnsi="Times New Roman" w:cs="Times New Roman"/>
                <w:b/>
                <w:color w:val="000000"/>
                <w:sz w:val="24"/>
                <w:szCs w:val="24"/>
                <w:bdr w:val="none" w:sz="0" w:space="0" w:color="auto" w:frame="1"/>
              </w:rPr>
              <w:t>.71</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hAnsi="Times New Roman" w:cs="Times New Roman"/>
                <w:color w:val="000000"/>
                <w:sz w:val="24"/>
                <w:szCs w:val="24"/>
              </w:rPr>
            </w:pP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4.49 (1.69)</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6: Municipal energy and climate counseling</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.11</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.17</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.61</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5.40 (1.48)</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7: Energy declaration for buildings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.21</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.13</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.54</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4.95 (1.52)</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11: Energy calculation</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.14</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.13</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w:t>
            </w:r>
            <w:r w:rsidRPr="005F34CC">
              <w:rPr>
                <w:rStyle w:val="gnkrckgcgsb"/>
                <w:rFonts w:ascii="Times New Roman" w:eastAsiaTheme="majorEastAsia" w:hAnsi="Times New Roman" w:cs="Times New Roman"/>
                <w:b/>
                <w:color w:val="000000"/>
                <w:sz w:val="24"/>
                <w:szCs w:val="24"/>
                <w:bdr w:val="none" w:sz="0" w:space="0" w:color="auto" w:frame="1"/>
              </w:rPr>
              <w:t>63</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5.21 (1.51)</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val="sv-SE" w:eastAsia="x-none"/>
              </w:rPr>
            </w:pPr>
            <w:r w:rsidRPr="00044B5B">
              <w:rPr>
                <w:lang w:val="sv-SE" w:eastAsia="x-none"/>
              </w:rPr>
              <w:t>12: Information dissemination via Vindlov.se</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.14</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.19</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.49</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5.31 (1.47)</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16: Energy-labeling on products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.10</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.69</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5.87 (1.26)</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22: Measurement reporting of transferred electricity</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.15</w:t>
            </w: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.11</w:t>
            </w: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.56</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4.94 (1.47)</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lastRenderedPageBreak/>
              <w:t>25: Information on the origin of food</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.69</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6.17 (1.13)</w:t>
            </w:r>
          </w:p>
        </w:tc>
      </w:tr>
      <w:tr w:rsidR="008A2514" w:rsidRPr="00044B5B" w:rsidTr="00BE6B9D">
        <w:tc>
          <w:tcPr>
            <w:tcW w:w="2259" w:type="pct"/>
            <w:tcBorders>
              <w:right w:val="nil"/>
            </w:tcBorders>
            <w:vAlign w:val="center"/>
          </w:tcPr>
          <w:p w:rsidR="008A2514" w:rsidRPr="00044B5B" w:rsidRDefault="008A2514" w:rsidP="00BE6B9D">
            <w:pPr>
              <w:spacing w:line="480" w:lineRule="auto"/>
              <w:rPr>
                <w:lang w:eastAsia="x-none"/>
              </w:rPr>
            </w:pPr>
            <w:r w:rsidRPr="00044B5B">
              <w:rPr>
                <w:lang w:eastAsia="x-none"/>
              </w:rPr>
              <w:t>26: Table of content for foods</w:t>
            </w:r>
          </w:p>
        </w:tc>
        <w:tc>
          <w:tcPr>
            <w:tcW w:w="526"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520" w:type="pct"/>
            <w:tcBorders>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799" w:type="pct"/>
            <w:tcBorders>
              <w:top w:val="nil"/>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b/>
                <w:color w:val="000000"/>
                <w:sz w:val="24"/>
                <w:szCs w:val="24"/>
                <w:lang w:val="en-US"/>
              </w:rPr>
            </w:pPr>
            <w:r w:rsidRPr="005F34CC">
              <w:rPr>
                <w:rStyle w:val="gnkrckgcgsb"/>
                <w:rFonts w:ascii="Times New Roman" w:eastAsiaTheme="majorEastAsia" w:hAnsi="Times New Roman" w:cs="Times New Roman"/>
                <w:b/>
                <w:color w:val="000000"/>
                <w:sz w:val="24"/>
                <w:szCs w:val="24"/>
                <w:bdr w:val="none" w:sz="0" w:space="0" w:color="auto" w:frame="1"/>
              </w:rPr>
              <w:t>.64</w:t>
            </w:r>
          </w:p>
        </w:tc>
        <w:tc>
          <w:tcPr>
            <w:tcW w:w="896" w:type="pct"/>
            <w:tcBorders>
              <w:left w:val="nil"/>
            </w:tcBorders>
            <w:vAlign w:val="center"/>
          </w:tcPr>
          <w:p w:rsidR="008A2514" w:rsidRPr="000E7B34"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Style w:val="gnkrckgcgsb"/>
                <w:rFonts w:ascii="Courier New" w:eastAsia="Times New Roman" w:hAnsi="Courier New" w:cs="Courier New"/>
                <w:color w:val="000000"/>
                <w:sz w:val="20"/>
                <w:szCs w:val="20"/>
                <w:lang w:val="sv-SE" w:eastAsia="sv-SE"/>
              </w:rPr>
            </w:pPr>
            <w:r w:rsidRPr="007B1DEC">
              <w:rPr>
                <w:rFonts w:eastAsia="Times New Roman"/>
                <w:color w:val="000000"/>
                <w:bdr w:val="none" w:sz="0" w:space="0" w:color="auto" w:frame="1"/>
                <w:lang w:eastAsia="sv-SE"/>
              </w:rPr>
              <w:t>5.42 (1.41)</w:t>
            </w:r>
          </w:p>
        </w:tc>
      </w:tr>
      <w:tr w:rsidR="008A2514" w:rsidRPr="00044B5B" w:rsidTr="00BE6B9D">
        <w:tc>
          <w:tcPr>
            <w:tcW w:w="2259" w:type="pct"/>
            <w:tcBorders>
              <w:bottom w:val="single" w:sz="4" w:space="0" w:color="auto"/>
              <w:right w:val="nil"/>
            </w:tcBorders>
            <w:vAlign w:val="center"/>
          </w:tcPr>
          <w:p w:rsidR="008A2514" w:rsidRPr="00044B5B" w:rsidRDefault="008A2514" w:rsidP="00BE6B9D">
            <w:pPr>
              <w:spacing w:line="480" w:lineRule="auto"/>
              <w:rPr>
                <w:lang w:eastAsia="x-none"/>
              </w:rPr>
            </w:pPr>
          </w:p>
        </w:tc>
        <w:tc>
          <w:tcPr>
            <w:tcW w:w="526"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520"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799"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896" w:type="pct"/>
            <w:tcBorders>
              <w:left w:val="nil"/>
              <w:bottom w:val="single" w:sz="4" w:space="0" w:color="auto"/>
            </w:tcBorders>
            <w:vAlign w:val="center"/>
          </w:tcPr>
          <w:p w:rsidR="008A2514" w:rsidRPr="007B1DEC"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lang w:eastAsia="sv-SE"/>
              </w:rPr>
            </w:pPr>
          </w:p>
        </w:tc>
      </w:tr>
      <w:tr w:rsidR="008A2514" w:rsidRPr="00044B5B" w:rsidTr="00BE6B9D">
        <w:tc>
          <w:tcPr>
            <w:tcW w:w="2259" w:type="pct"/>
            <w:tcBorders>
              <w:top w:val="single" w:sz="4" w:space="0" w:color="auto"/>
              <w:bottom w:val="single" w:sz="4" w:space="0" w:color="auto"/>
              <w:right w:val="nil"/>
            </w:tcBorders>
            <w:vAlign w:val="center"/>
          </w:tcPr>
          <w:p w:rsidR="008A2514" w:rsidRPr="00044B5B" w:rsidRDefault="008A2514" w:rsidP="00BE6B9D">
            <w:pPr>
              <w:spacing w:line="480" w:lineRule="auto"/>
              <w:rPr>
                <w:lang w:eastAsia="x-none"/>
              </w:rPr>
            </w:pPr>
            <w:r w:rsidRPr="00044B5B">
              <w:rPr>
                <w:lang w:eastAsia="x-none"/>
              </w:rPr>
              <w:t>Proportion of variance</w:t>
            </w:r>
          </w:p>
        </w:tc>
        <w:tc>
          <w:tcPr>
            <w:tcW w:w="526"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.24</w:t>
            </w:r>
          </w:p>
        </w:tc>
        <w:tc>
          <w:tcPr>
            <w:tcW w:w="520"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.23</w:t>
            </w:r>
          </w:p>
        </w:tc>
        <w:tc>
          <w:tcPr>
            <w:tcW w:w="799"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.21</w:t>
            </w:r>
          </w:p>
        </w:tc>
        <w:tc>
          <w:tcPr>
            <w:tcW w:w="896" w:type="pct"/>
            <w:tcBorders>
              <w:top w:val="single" w:sz="4" w:space="0" w:color="auto"/>
              <w:left w:val="nil"/>
              <w:bottom w:val="single" w:sz="4" w:space="0" w:color="auto"/>
            </w:tcBorders>
            <w:vAlign w:val="center"/>
          </w:tcPr>
          <w:p w:rsidR="008A2514" w:rsidRPr="007B1DEC" w:rsidRDefault="008A2514" w:rsidP="00BE6B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rPr>
                <w:rFonts w:eastAsia="Times New Roman"/>
                <w:color w:val="000000"/>
                <w:bdr w:val="none" w:sz="0" w:space="0" w:color="auto" w:frame="1"/>
                <w:lang w:eastAsia="sv-SE"/>
              </w:rPr>
            </w:pPr>
          </w:p>
        </w:tc>
      </w:tr>
      <w:tr w:rsidR="008A2514" w:rsidRPr="00044B5B" w:rsidTr="00BE6B9D">
        <w:tc>
          <w:tcPr>
            <w:tcW w:w="2259" w:type="pct"/>
            <w:tcBorders>
              <w:top w:val="nil"/>
              <w:bottom w:val="single" w:sz="4" w:space="0" w:color="auto"/>
              <w:right w:val="nil"/>
            </w:tcBorders>
            <w:vAlign w:val="center"/>
          </w:tcPr>
          <w:p w:rsidR="008A2514" w:rsidRPr="00044B5B" w:rsidRDefault="008A2514" w:rsidP="00BE6B9D">
            <w:pPr>
              <w:spacing w:line="480" w:lineRule="auto"/>
              <w:rPr>
                <w:i/>
              </w:rPr>
            </w:pPr>
            <w:r w:rsidRPr="00044B5B">
              <w:rPr>
                <w:i/>
              </w:rPr>
              <w:t>Inter-factor correlations</w:t>
            </w:r>
          </w:p>
        </w:tc>
        <w:tc>
          <w:tcPr>
            <w:tcW w:w="526" w:type="pct"/>
            <w:tcBorders>
              <w:top w:val="nil"/>
              <w:left w:val="nil"/>
              <w:bottom w:val="single" w:sz="4" w:space="0" w:color="auto"/>
              <w:right w:val="nil"/>
            </w:tcBorders>
            <w:vAlign w:val="center"/>
          </w:tcPr>
          <w:p w:rsidR="008A2514" w:rsidRPr="00044B5B" w:rsidRDefault="008A2514" w:rsidP="00BE6B9D">
            <w:pPr>
              <w:spacing w:line="480" w:lineRule="auto"/>
            </w:pPr>
          </w:p>
        </w:tc>
        <w:tc>
          <w:tcPr>
            <w:tcW w:w="520" w:type="pct"/>
            <w:tcBorders>
              <w:top w:val="nil"/>
              <w:left w:val="nil"/>
              <w:bottom w:val="single" w:sz="4" w:space="0" w:color="auto"/>
              <w:right w:val="nil"/>
            </w:tcBorders>
            <w:vAlign w:val="center"/>
          </w:tcPr>
          <w:p w:rsidR="008A2514" w:rsidRPr="00044B5B" w:rsidRDefault="008A2514" w:rsidP="00BE6B9D">
            <w:pPr>
              <w:spacing w:line="480" w:lineRule="auto"/>
            </w:pPr>
            <w:r w:rsidRPr="00044B5B">
              <w:t>Factor 2</w:t>
            </w:r>
          </w:p>
        </w:tc>
        <w:tc>
          <w:tcPr>
            <w:tcW w:w="799" w:type="pct"/>
            <w:tcBorders>
              <w:top w:val="nil"/>
              <w:left w:val="nil"/>
              <w:bottom w:val="single" w:sz="4" w:space="0" w:color="auto"/>
              <w:right w:val="nil"/>
            </w:tcBorders>
            <w:vAlign w:val="center"/>
          </w:tcPr>
          <w:p w:rsidR="008A2514" w:rsidRPr="00044B5B" w:rsidRDefault="008A2514" w:rsidP="00BE6B9D">
            <w:pPr>
              <w:spacing w:line="480" w:lineRule="auto"/>
            </w:pPr>
            <w:r w:rsidRPr="00044B5B">
              <w:t>Factor</w:t>
            </w:r>
          </w:p>
          <w:p w:rsidR="008A2514" w:rsidRPr="00044B5B" w:rsidRDefault="008A2514" w:rsidP="00BE6B9D">
            <w:pPr>
              <w:spacing w:line="480" w:lineRule="auto"/>
            </w:pPr>
            <w:r w:rsidRPr="00044B5B">
              <w:t>3</w:t>
            </w:r>
          </w:p>
        </w:tc>
        <w:tc>
          <w:tcPr>
            <w:tcW w:w="896" w:type="pct"/>
            <w:tcBorders>
              <w:top w:val="nil"/>
              <w:left w:val="nil"/>
              <w:bottom w:val="single" w:sz="4" w:space="0" w:color="auto"/>
            </w:tcBorders>
          </w:tcPr>
          <w:p w:rsidR="008A2514" w:rsidRPr="00044B5B" w:rsidRDefault="008A2514" w:rsidP="00BE6B9D">
            <w:pPr>
              <w:spacing w:line="480" w:lineRule="auto"/>
            </w:pPr>
          </w:p>
        </w:tc>
      </w:tr>
      <w:tr w:rsidR="008A2514" w:rsidRPr="00044B5B" w:rsidTr="00BE6B9D">
        <w:tc>
          <w:tcPr>
            <w:tcW w:w="2259" w:type="pct"/>
            <w:tcBorders>
              <w:top w:val="single" w:sz="4" w:space="0" w:color="auto"/>
              <w:right w:val="nil"/>
            </w:tcBorders>
            <w:vAlign w:val="center"/>
          </w:tcPr>
          <w:p w:rsidR="008A2514" w:rsidRPr="00044B5B" w:rsidRDefault="008A2514" w:rsidP="00BE6B9D">
            <w:pPr>
              <w:spacing w:line="480" w:lineRule="auto"/>
            </w:pPr>
            <w:r w:rsidRPr="00044B5B">
              <w:t>Factor 1</w:t>
            </w:r>
          </w:p>
        </w:tc>
        <w:tc>
          <w:tcPr>
            <w:tcW w:w="526" w:type="pct"/>
            <w:tcBorders>
              <w:top w:val="single" w:sz="4" w:space="0" w:color="auto"/>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520" w:type="pct"/>
            <w:tcBorders>
              <w:top w:val="single" w:sz="4" w:space="0" w:color="auto"/>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0.81</w:t>
            </w:r>
          </w:p>
        </w:tc>
        <w:tc>
          <w:tcPr>
            <w:tcW w:w="799" w:type="pct"/>
            <w:tcBorders>
              <w:top w:val="single" w:sz="4" w:space="0" w:color="auto"/>
              <w:left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3</w:t>
            </w:r>
          </w:p>
        </w:tc>
        <w:tc>
          <w:tcPr>
            <w:tcW w:w="896" w:type="pct"/>
            <w:tcBorders>
              <w:top w:val="single" w:sz="4" w:space="0" w:color="auto"/>
              <w:left w:val="nil"/>
            </w:tcBorders>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r>
      <w:tr w:rsidR="008A2514" w:rsidRPr="00044B5B" w:rsidTr="00BE6B9D">
        <w:tc>
          <w:tcPr>
            <w:tcW w:w="2259" w:type="pct"/>
            <w:tcBorders>
              <w:bottom w:val="nil"/>
              <w:right w:val="nil"/>
            </w:tcBorders>
            <w:vAlign w:val="center"/>
          </w:tcPr>
          <w:p w:rsidR="008A2514" w:rsidRPr="00044B5B" w:rsidRDefault="008A2514" w:rsidP="00BE6B9D">
            <w:pPr>
              <w:spacing w:line="480" w:lineRule="auto"/>
            </w:pPr>
            <w:r w:rsidRPr="00044B5B">
              <w:t>Factor 2</w:t>
            </w:r>
          </w:p>
        </w:tc>
        <w:tc>
          <w:tcPr>
            <w:tcW w:w="526" w:type="pct"/>
            <w:tcBorders>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520" w:type="pct"/>
            <w:tcBorders>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p>
        </w:tc>
        <w:tc>
          <w:tcPr>
            <w:tcW w:w="799" w:type="pct"/>
            <w:tcBorders>
              <w:left w:val="nil"/>
              <w:bottom w:val="nil"/>
              <w:right w:val="nil"/>
            </w:tcBorders>
            <w:vAlign w:val="center"/>
          </w:tcPr>
          <w:p w:rsidR="008A2514" w:rsidRPr="005F34CC" w:rsidRDefault="008A2514" w:rsidP="00BE6B9D">
            <w:pPr>
              <w:pStyle w:val="HTML-frformaterad"/>
              <w:shd w:val="clear" w:color="auto" w:fill="FFFFFF"/>
              <w:wordWrap w:val="0"/>
              <w:spacing w:line="480" w:lineRule="auto"/>
              <w:rPr>
                <w:rFonts w:ascii="Times New Roman" w:hAnsi="Times New Roman" w:cs="Times New Roman"/>
                <w:color w:val="000000"/>
                <w:sz w:val="24"/>
                <w:szCs w:val="24"/>
                <w:lang w:val="en-US"/>
              </w:rPr>
            </w:pPr>
            <w:r w:rsidRPr="005F34CC">
              <w:rPr>
                <w:rStyle w:val="gnkrckgcgsb"/>
                <w:rFonts w:ascii="Times New Roman" w:eastAsiaTheme="majorEastAsia" w:hAnsi="Times New Roman" w:cs="Times New Roman"/>
                <w:color w:val="000000"/>
                <w:sz w:val="24"/>
                <w:szCs w:val="24"/>
                <w:bdr w:val="none" w:sz="0" w:space="0" w:color="auto" w:frame="1"/>
              </w:rPr>
              <w:t>0.84</w:t>
            </w:r>
          </w:p>
        </w:tc>
        <w:tc>
          <w:tcPr>
            <w:tcW w:w="896" w:type="pct"/>
            <w:tcBorders>
              <w:left w:val="nil"/>
              <w:bottom w:val="nil"/>
            </w:tcBorders>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r>
      <w:tr w:rsidR="008A2514" w:rsidRPr="00044B5B" w:rsidTr="00BE6B9D">
        <w:tc>
          <w:tcPr>
            <w:tcW w:w="2259" w:type="pct"/>
            <w:tcBorders>
              <w:top w:val="nil"/>
              <w:bottom w:val="single" w:sz="4" w:space="0" w:color="auto"/>
              <w:right w:val="nil"/>
            </w:tcBorders>
            <w:vAlign w:val="center"/>
          </w:tcPr>
          <w:p w:rsidR="008A2514" w:rsidRPr="00044B5B" w:rsidRDefault="008A2514" w:rsidP="00BE6B9D">
            <w:pPr>
              <w:spacing w:line="480" w:lineRule="auto"/>
            </w:pPr>
          </w:p>
        </w:tc>
        <w:tc>
          <w:tcPr>
            <w:tcW w:w="526"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520"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799" w:type="pct"/>
            <w:tcBorders>
              <w:top w:val="nil"/>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c>
          <w:tcPr>
            <w:tcW w:w="896" w:type="pct"/>
            <w:tcBorders>
              <w:top w:val="nil"/>
              <w:left w:val="nil"/>
              <w:bottom w:val="single" w:sz="4" w:space="0" w:color="auto"/>
            </w:tcBorders>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r>
      <w:tr w:rsidR="008A2514" w:rsidRPr="00044B5B" w:rsidTr="00BE6B9D">
        <w:tc>
          <w:tcPr>
            <w:tcW w:w="2259" w:type="pct"/>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526"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Factor</w:t>
            </w:r>
          </w:p>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1</w:t>
            </w:r>
          </w:p>
        </w:tc>
        <w:tc>
          <w:tcPr>
            <w:tcW w:w="520"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Factor 2</w:t>
            </w:r>
          </w:p>
        </w:tc>
        <w:tc>
          <w:tcPr>
            <w:tcW w:w="799"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Factor</w:t>
            </w:r>
          </w:p>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3</w:t>
            </w:r>
          </w:p>
        </w:tc>
        <w:tc>
          <w:tcPr>
            <w:tcW w:w="896" w:type="pct"/>
            <w:tcBorders>
              <w:top w:val="single" w:sz="4" w:space="0" w:color="auto"/>
              <w:left w:val="nil"/>
              <w:bottom w:val="single" w:sz="4" w:space="0" w:color="auto"/>
            </w:tcBorders>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r>
      <w:tr w:rsidR="008A2514" w:rsidRPr="00044B5B" w:rsidTr="00BE6B9D">
        <w:tc>
          <w:tcPr>
            <w:tcW w:w="2259" w:type="pct"/>
            <w:tcBorders>
              <w:top w:val="single" w:sz="4" w:space="0" w:color="auto"/>
              <w:bottom w:val="single" w:sz="4" w:space="0" w:color="auto"/>
              <w:right w:val="nil"/>
            </w:tcBorders>
            <w:vAlign w:val="center"/>
          </w:tcPr>
          <w:p w:rsidR="008A2514" w:rsidRPr="00044B5B" w:rsidRDefault="008A2514" w:rsidP="00BE6B9D">
            <w:pPr>
              <w:spacing w:line="480" w:lineRule="auto"/>
              <w:rPr>
                <w:i/>
              </w:rPr>
            </w:pPr>
            <w:r w:rsidRPr="00044B5B">
              <w:rPr>
                <w:i/>
              </w:rPr>
              <w:t>Mean average (SD) for each factor</w:t>
            </w:r>
          </w:p>
        </w:tc>
        <w:tc>
          <w:tcPr>
            <w:tcW w:w="526"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4.49</w:t>
            </w:r>
          </w:p>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(1.77)</w:t>
            </w:r>
          </w:p>
        </w:tc>
        <w:tc>
          <w:tcPr>
            <w:tcW w:w="520"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4.58</w:t>
            </w:r>
          </w:p>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(1.63)</w:t>
            </w:r>
          </w:p>
        </w:tc>
        <w:tc>
          <w:tcPr>
            <w:tcW w:w="799" w:type="pct"/>
            <w:tcBorders>
              <w:top w:val="single" w:sz="4" w:space="0" w:color="auto"/>
              <w:left w:val="nil"/>
              <w:bottom w:val="single" w:sz="4" w:space="0" w:color="auto"/>
              <w:right w:val="nil"/>
            </w:tcBorders>
            <w:vAlign w:val="center"/>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5.41</w:t>
            </w:r>
          </w:p>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r w:rsidRPr="005F34CC">
              <w:rPr>
                <w:rStyle w:val="gnkrckgcgsb"/>
                <w:rFonts w:ascii="Times New Roman" w:eastAsiaTheme="majorEastAsia" w:hAnsi="Times New Roman" w:cs="Times New Roman"/>
                <w:color w:val="000000"/>
                <w:sz w:val="24"/>
                <w:szCs w:val="24"/>
                <w:bdr w:val="none" w:sz="0" w:space="0" w:color="auto" w:frame="1"/>
              </w:rPr>
              <w:t>(1.41)</w:t>
            </w:r>
          </w:p>
        </w:tc>
        <w:tc>
          <w:tcPr>
            <w:tcW w:w="896" w:type="pct"/>
            <w:tcBorders>
              <w:top w:val="single" w:sz="4" w:space="0" w:color="auto"/>
              <w:left w:val="nil"/>
              <w:bottom w:val="single" w:sz="4" w:space="0" w:color="auto"/>
            </w:tcBorders>
          </w:tcPr>
          <w:p w:rsidR="008A2514" w:rsidRPr="005F34CC" w:rsidRDefault="008A2514" w:rsidP="00BE6B9D">
            <w:pPr>
              <w:pStyle w:val="HTML-frformaterad"/>
              <w:shd w:val="clear" w:color="auto" w:fill="FFFFFF"/>
              <w:wordWrap w:val="0"/>
              <w:spacing w:line="480" w:lineRule="auto"/>
              <w:rPr>
                <w:rStyle w:val="gnkrckgcgsb"/>
                <w:rFonts w:ascii="Times New Roman" w:eastAsiaTheme="majorEastAsia" w:hAnsi="Times New Roman" w:cs="Times New Roman"/>
                <w:color w:val="000000"/>
                <w:sz w:val="24"/>
                <w:szCs w:val="24"/>
                <w:bdr w:val="none" w:sz="0" w:space="0" w:color="auto" w:frame="1"/>
              </w:rPr>
            </w:pPr>
          </w:p>
        </w:tc>
      </w:tr>
      <w:tr w:rsidR="008A2514" w:rsidRPr="00044B5B" w:rsidTr="00BE6B9D">
        <w:tc>
          <w:tcPr>
            <w:tcW w:w="5000" w:type="pct"/>
            <w:gridSpan w:val="5"/>
            <w:tcBorders>
              <w:top w:val="single" w:sz="4" w:space="0" w:color="auto"/>
              <w:bottom w:val="single" w:sz="4" w:space="0" w:color="auto"/>
            </w:tcBorders>
          </w:tcPr>
          <w:p w:rsidR="008A2514" w:rsidRPr="00044B5B" w:rsidRDefault="008A2514" w:rsidP="00BE6B9D">
            <w:pPr>
              <w:spacing w:line="480" w:lineRule="auto"/>
            </w:pPr>
            <w:r w:rsidRPr="00044B5B">
              <w:t>RMSEA = .027 CI [.025, .030], TLI = .99</w:t>
            </w:r>
          </w:p>
        </w:tc>
      </w:tr>
      <w:tr w:rsidR="008A2514" w:rsidRPr="00044B5B" w:rsidTr="00BE6B9D">
        <w:tc>
          <w:tcPr>
            <w:tcW w:w="5000" w:type="pct"/>
            <w:gridSpan w:val="5"/>
            <w:tcBorders>
              <w:top w:val="single" w:sz="4" w:space="0" w:color="auto"/>
              <w:bottom w:val="nil"/>
            </w:tcBorders>
          </w:tcPr>
          <w:p w:rsidR="008A2514" w:rsidRPr="00044B5B" w:rsidRDefault="008A2514" w:rsidP="00BE6B9D">
            <w:pPr>
              <w:spacing w:line="480" w:lineRule="auto"/>
            </w:pPr>
            <w:r w:rsidRPr="00044B5B">
              <w:rPr>
                <w:i/>
              </w:rPr>
              <w:t>Note:</w:t>
            </w:r>
            <w:r w:rsidRPr="00044B5B">
              <w:t xml:space="preserve"> Factor loadings after removal of loadings under .4 and crossloadings over .3.</w:t>
            </w:r>
          </w:p>
        </w:tc>
      </w:tr>
    </w:tbl>
    <w:p w:rsidR="008A2514" w:rsidRPr="00044B5B" w:rsidRDefault="008A2514" w:rsidP="008A2514">
      <w:pPr>
        <w:spacing w:line="480" w:lineRule="auto"/>
        <w:jc w:val="both"/>
        <w:sectPr w:rsidR="008A2514" w:rsidRPr="00044B5B" w:rsidSect="00BA6CBF">
          <w:pgSz w:w="11906" w:h="16838"/>
          <w:pgMar w:top="1440" w:right="1440" w:bottom="1440" w:left="1440" w:header="708" w:footer="708" w:gutter="0"/>
          <w:cols w:space="708"/>
          <w:docGrid w:linePitch="360"/>
        </w:sectPr>
      </w:pPr>
    </w:p>
    <w:p w:rsidR="008A2514" w:rsidRPr="00044B5B" w:rsidRDefault="008A2514" w:rsidP="008A2514">
      <w:pPr>
        <w:spacing w:line="480" w:lineRule="auto"/>
        <w:jc w:val="both"/>
      </w:pPr>
      <w:r w:rsidRPr="00044B5B">
        <w:lastRenderedPageBreak/>
        <w:t>Table S.2.</w:t>
      </w:r>
    </w:p>
    <w:tbl>
      <w:tblPr>
        <w:tblStyle w:val="Tabellrutn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7"/>
        <w:gridCol w:w="646"/>
        <w:gridCol w:w="384"/>
        <w:gridCol w:w="384"/>
        <w:gridCol w:w="698"/>
        <w:gridCol w:w="758"/>
        <w:gridCol w:w="707"/>
        <w:gridCol w:w="760"/>
        <w:gridCol w:w="646"/>
        <w:gridCol w:w="384"/>
        <w:gridCol w:w="384"/>
        <w:gridCol w:w="698"/>
        <w:gridCol w:w="758"/>
        <w:gridCol w:w="707"/>
        <w:gridCol w:w="760"/>
        <w:gridCol w:w="646"/>
        <w:gridCol w:w="384"/>
        <w:gridCol w:w="384"/>
        <w:gridCol w:w="698"/>
        <w:gridCol w:w="758"/>
        <w:gridCol w:w="707"/>
        <w:gridCol w:w="760"/>
      </w:tblGrid>
      <w:tr w:rsidR="008A2514" w:rsidRPr="00044B5B" w:rsidTr="00BE6B9D">
        <w:tc>
          <w:tcPr>
            <w:tcW w:w="0" w:type="auto"/>
            <w:gridSpan w:val="22"/>
          </w:tcPr>
          <w:p w:rsidR="008A2514" w:rsidRPr="00044B5B" w:rsidRDefault="008A2514" w:rsidP="00BE6B9D">
            <w:pPr>
              <w:spacing w:line="480" w:lineRule="auto"/>
            </w:pPr>
            <w:r w:rsidRPr="00044B5B">
              <w:t>Summary of three multiple regressions on 25-item factor scores for each factor</w:t>
            </w:r>
          </w:p>
        </w:tc>
      </w:tr>
      <w:tr w:rsidR="008A2514" w:rsidRPr="00044B5B" w:rsidTr="00BE6B9D">
        <w:tc>
          <w:tcPr>
            <w:tcW w:w="0" w:type="auto"/>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Push policy</w:t>
            </w: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left w:val="nil"/>
              <w:right w:val="nil"/>
            </w:tcBorders>
            <w:vAlign w:val="center"/>
          </w:tcPr>
          <w:p w:rsidR="008A2514" w:rsidRPr="00044B5B" w:rsidRDefault="008A2514" w:rsidP="00BE6B9D">
            <w:pPr>
              <w:spacing w:line="480" w:lineRule="auto"/>
            </w:pPr>
            <w:r w:rsidRPr="00044B5B">
              <w:t>Pull policy</w:t>
            </w: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Information policy</w:t>
            </w:r>
          </w:p>
        </w:tc>
      </w:tr>
      <w:tr w:rsidR="008A2514" w:rsidRPr="00044B5B" w:rsidTr="00BE6B9D">
        <w:tc>
          <w:tcPr>
            <w:tcW w:w="0" w:type="auto"/>
            <w:tcBorders>
              <w:top w:val="single" w:sz="4" w:space="0" w:color="auto"/>
              <w:right w:val="nil"/>
            </w:tcBorders>
            <w:vAlign w:val="center"/>
          </w:tcPr>
          <w:p w:rsidR="008A2514" w:rsidRPr="00044B5B" w:rsidRDefault="008A2514" w:rsidP="00BE6B9D">
            <w:pPr>
              <w:spacing w:line="480" w:lineRule="auto"/>
            </w:pP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left w:val="nil"/>
              <w:right w:val="nil"/>
            </w:tcBorders>
            <w:vAlign w:val="center"/>
          </w:tcPr>
          <w:p w:rsidR="008A2514" w:rsidRPr="00044B5B" w:rsidRDefault="008A2514" w:rsidP="00BE6B9D">
            <w:pPr>
              <w:spacing w:line="480" w:lineRule="auto"/>
              <w:rPr>
                <w:i/>
              </w:rPr>
            </w:pPr>
            <w:r w:rsidRPr="00044B5B">
              <w:rPr>
                <w:i/>
              </w:rPr>
              <w:t>se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t</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p</w:t>
            </w:r>
          </w:p>
        </w:tc>
        <w:tc>
          <w:tcPr>
            <w:tcW w:w="0" w:type="auto"/>
            <w:tcBorders>
              <w:left w:val="nil"/>
              <w:right w:val="nil"/>
            </w:tcBorders>
          </w:tcPr>
          <w:p w:rsidR="008A2514" w:rsidRPr="00044B5B" w:rsidRDefault="008A2514" w:rsidP="00BE6B9D">
            <w:pPr>
              <w:spacing w:line="480" w:lineRule="auto"/>
            </w:pPr>
            <w:r w:rsidRPr="00044B5B">
              <w:t>95% CI</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SSPC</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se</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p</w:t>
            </w:r>
          </w:p>
        </w:tc>
        <w:tc>
          <w:tcPr>
            <w:tcW w:w="0" w:type="auto"/>
            <w:tcBorders>
              <w:left w:val="nil"/>
              <w:right w:val="nil"/>
            </w:tcBorders>
          </w:tcPr>
          <w:p w:rsidR="008A2514" w:rsidRPr="00044B5B" w:rsidRDefault="008A2514" w:rsidP="00BE6B9D">
            <w:pPr>
              <w:spacing w:line="480" w:lineRule="auto"/>
            </w:pPr>
            <w:r w:rsidRPr="00044B5B">
              <w:t>95% CI</w:t>
            </w:r>
          </w:p>
        </w:tc>
        <w:tc>
          <w:tcPr>
            <w:tcW w:w="0" w:type="auto"/>
            <w:tcBorders>
              <w:left w:val="nil"/>
              <w:right w:val="nil"/>
            </w:tcBorders>
            <w:vAlign w:val="center"/>
          </w:tcPr>
          <w:p w:rsidR="008A2514" w:rsidRPr="00044B5B" w:rsidRDefault="008A2514" w:rsidP="00BE6B9D">
            <w:pPr>
              <w:spacing w:line="480" w:lineRule="auto"/>
            </w:pPr>
            <w:r w:rsidRPr="00044B5B">
              <w:t>SSPC</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se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p</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95% CI</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SSPC</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Intercept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.09</w:t>
            </w:r>
          </w:p>
        </w:tc>
        <w:tc>
          <w:tcPr>
            <w:tcW w:w="0" w:type="auto"/>
            <w:gridSpan w:val="2"/>
            <w:tcBorders>
              <w:left w:val="nil"/>
              <w:right w:val="nil"/>
            </w:tcBorders>
            <w:vAlign w:val="center"/>
          </w:tcPr>
          <w:p w:rsidR="008A2514" w:rsidRPr="00044B5B" w:rsidRDefault="008A2514" w:rsidP="00BE6B9D">
            <w:pPr>
              <w:spacing w:line="480" w:lineRule="auto"/>
            </w:pPr>
            <w:r w:rsidRPr="00044B5B">
              <w:t>.03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3.62</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[.04, .14]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p>
        </w:tc>
        <w:tc>
          <w:tcPr>
            <w:tcW w:w="0" w:type="auto"/>
            <w:tcBorders>
              <w:left w:val="nil"/>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.03</w:t>
            </w:r>
          </w:p>
        </w:tc>
        <w:tc>
          <w:tcPr>
            <w:tcW w:w="0" w:type="auto"/>
            <w:tcBorders>
              <w:left w:val="nil"/>
              <w:right w:val="nil"/>
            </w:tcBorders>
            <w:vAlign w:val="center"/>
          </w:tcPr>
          <w:p w:rsidR="008A2514" w:rsidRPr="00044B5B" w:rsidRDefault="008A2514" w:rsidP="00BE6B9D">
            <w:pPr>
              <w:spacing w:line="480" w:lineRule="auto"/>
            </w:pPr>
            <w:r w:rsidRPr="00044B5B">
              <w:t>2.70</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.007</w:t>
            </w:r>
          </w:p>
        </w:tc>
        <w:tc>
          <w:tcPr>
            <w:tcW w:w="0" w:type="auto"/>
            <w:tcBorders>
              <w:left w:val="nil"/>
              <w:right w:val="nil"/>
            </w:tcBorders>
          </w:tcPr>
          <w:p w:rsidR="008A2514" w:rsidRPr="00044B5B" w:rsidRDefault="008A2514" w:rsidP="00BE6B9D">
            <w:pPr>
              <w:spacing w:line="480" w:lineRule="auto"/>
            </w:pPr>
            <w:r w:rsidRPr="00044B5B">
              <w:t>[.02, .13]</w:t>
            </w:r>
          </w:p>
        </w:tc>
        <w:tc>
          <w:tcPr>
            <w:tcW w:w="0" w:type="auto"/>
            <w:tcBorders>
              <w:left w:val="nil"/>
              <w:right w:val="nil"/>
            </w:tcBorders>
            <w:vAlign w:val="center"/>
          </w:tcPr>
          <w:p w:rsidR="008A2514" w:rsidRPr="00044B5B" w:rsidRDefault="008A2514" w:rsidP="00BE6B9D">
            <w:pPr>
              <w:spacing w:line="480" w:lineRule="auto"/>
            </w:pP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2.69</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.007</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[.02, .12]</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Gender</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-.15</w:t>
            </w:r>
          </w:p>
        </w:tc>
        <w:tc>
          <w:tcPr>
            <w:tcW w:w="0" w:type="auto"/>
            <w:gridSpan w:val="2"/>
            <w:tcBorders>
              <w:left w:val="nil"/>
              <w:right w:val="nil"/>
            </w:tcBorders>
            <w:vAlign w:val="center"/>
          </w:tcPr>
          <w:p w:rsidR="008A2514" w:rsidRPr="00044B5B" w:rsidRDefault="008A2514" w:rsidP="00BE6B9D">
            <w:pPr>
              <w:spacing w:line="480" w:lineRule="auto"/>
            </w:pPr>
            <w:r w:rsidRPr="00044B5B">
              <w:t>.04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-4.31</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[-.22, -.08]</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-.086</w:t>
            </w:r>
          </w:p>
        </w:tc>
        <w:tc>
          <w:tcPr>
            <w:tcW w:w="0" w:type="auto"/>
            <w:tcBorders>
              <w:left w:val="nil"/>
              <w:right w:val="nil"/>
            </w:tcBorders>
            <w:vAlign w:val="center"/>
          </w:tcPr>
          <w:p w:rsidR="008A2514" w:rsidRPr="00044B5B" w:rsidRDefault="008A2514" w:rsidP="00BE6B9D">
            <w:pPr>
              <w:spacing w:line="480" w:lineRule="auto"/>
            </w:pPr>
            <w:r w:rsidRPr="00044B5B">
              <w:t>-.12</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tcBorders>
              <w:left w:val="nil"/>
              <w:right w:val="nil"/>
            </w:tcBorders>
            <w:vAlign w:val="center"/>
          </w:tcPr>
          <w:p w:rsidR="008A2514" w:rsidRPr="00044B5B" w:rsidRDefault="008A2514" w:rsidP="00BE6B9D">
            <w:pPr>
              <w:spacing w:line="480" w:lineRule="auto"/>
            </w:pPr>
            <w:r w:rsidRPr="00044B5B">
              <w:t>-3.12</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.002</w:t>
            </w:r>
          </w:p>
        </w:tc>
        <w:tc>
          <w:tcPr>
            <w:tcW w:w="0" w:type="auto"/>
            <w:tcBorders>
              <w:left w:val="nil"/>
              <w:right w:val="nil"/>
            </w:tcBorders>
          </w:tcPr>
          <w:p w:rsidR="008A2514" w:rsidRPr="00044B5B" w:rsidRDefault="008A2514" w:rsidP="00BE6B9D">
            <w:pPr>
              <w:spacing w:line="480" w:lineRule="auto"/>
            </w:pPr>
            <w:r w:rsidRPr="00044B5B">
              <w:t>[-.19, -.04]</w:t>
            </w:r>
          </w:p>
        </w:tc>
        <w:tc>
          <w:tcPr>
            <w:tcW w:w="0" w:type="auto"/>
            <w:tcBorders>
              <w:left w:val="nil"/>
              <w:right w:val="nil"/>
            </w:tcBorders>
            <w:vAlign w:val="center"/>
          </w:tcPr>
          <w:p w:rsidR="008A2514" w:rsidRPr="00044B5B" w:rsidRDefault="008A2514" w:rsidP="00BE6B9D">
            <w:pPr>
              <w:spacing w:line="480" w:lineRule="auto"/>
            </w:pPr>
            <w:r w:rsidRPr="00044B5B">
              <w:t>-.062</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-.11</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-.3.05</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.002</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[-.19, -.04]</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-.061</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Age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-.06</w:t>
            </w:r>
          </w:p>
        </w:tc>
        <w:tc>
          <w:tcPr>
            <w:tcW w:w="0" w:type="auto"/>
            <w:gridSpan w:val="2"/>
            <w:tcBorders>
              <w:left w:val="nil"/>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-5.31</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[-.08, -.04]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-.106</w:t>
            </w:r>
          </w:p>
        </w:tc>
        <w:tc>
          <w:tcPr>
            <w:tcW w:w="0" w:type="auto"/>
            <w:tcBorders>
              <w:left w:val="nil"/>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-5.99</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[-.10, -.05]</w:t>
            </w:r>
          </w:p>
        </w:tc>
        <w:tc>
          <w:tcPr>
            <w:tcW w:w="0" w:type="auto"/>
            <w:tcBorders>
              <w:left w:val="nil"/>
              <w:right w:val="nil"/>
            </w:tcBorders>
            <w:vAlign w:val="center"/>
          </w:tcPr>
          <w:p w:rsidR="008A2514" w:rsidRPr="00044B5B" w:rsidRDefault="008A2514" w:rsidP="00BE6B9D">
            <w:pPr>
              <w:spacing w:line="480" w:lineRule="auto"/>
            </w:pPr>
            <w:r w:rsidRPr="00044B5B">
              <w:t>-.119</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-.06</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-4.80</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[-.08, -.03]</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-.095</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lastRenderedPageBreak/>
              <w:t>Residence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-.06</w:t>
            </w:r>
          </w:p>
        </w:tc>
        <w:tc>
          <w:tcPr>
            <w:tcW w:w="0" w:type="auto"/>
            <w:gridSpan w:val="2"/>
            <w:tcBorders>
              <w:left w:val="nil"/>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-7.25</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[-.08, -.04]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-.143</w:t>
            </w:r>
          </w:p>
        </w:tc>
        <w:tc>
          <w:tcPr>
            <w:tcW w:w="0" w:type="auto"/>
            <w:tcBorders>
              <w:left w:val="nil"/>
              <w:right w:val="nil"/>
            </w:tcBorders>
            <w:vAlign w:val="center"/>
          </w:tcPr>
          <w:p w:rsidR="008A2514" w:rsidRPr="00044B5B" w:rsidRDefault="008A2514" w:rsidP="00BE6B9D">
            <w:pPr>
              <w:spacing w:line="480" w:lineRule="auto"/>
            </w:pPr>
            <w:r w:rsidRPr="00044B5B">
              <w:t>-.04</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-4.56</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[-.06, -.02]</w:t>
            </w:r>
          </w:p>
        </w:tc>
        <w:tc>
          <w:tcPr>
            <w:tcW w:w="0" w:type="auto"/>
            <w:tcBorders>
              <w:left w:val="nil"/>
              <w:right w:val="nil"/>
            </w:tcBorders>
            <w:vAlign w:val="center"/>
          </w:tcPr>
          <w:p w:rsidR="008A2514" w:rsidRPr="00044B5B" w:rsidRDefault="008A2514" w:rsidP="00BE6B9D">
            <w:pPr>
              <w:spacing w:line="480" w:lineRule="auto"/>
            </w:pPr>
            <w:r w:rsidRPr="00044B5B">
              <w:t>-.091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-4.91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[-.06, -.03]</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-.098</w:t>
            </w:r>
          </w:p>
        </w:tc>
      </w:tr>
      <w:tr w:rsidR="008A2514" w:rsidRPr="00044B5B" w:rsidTr="00BE6B9D">
        <w:tc>
          <w:tcPr>
            <w:tcW w:w="0" w:type="auto"/>
            <w:tcBorders>
              <w:bottom w:val="single" w:sz="4" w:space="0" w:color="auto"/>
              <w:right w:val="nil"/>
            </w:tcBorders>
            <w:vAlign w:val="center"/>
          </w:tcPr>
          <w:p w:rsidR="008A2514" w:rsidRPr="00044B5B" w:rsidRDefault="008A2514" w:rsidP="00BE6B9D">
            <w:pPr>
              <w:spacing w:line="480" w:lineRule="auto"/>
            </w:pPr>
            <w:r w:rsidRPr="00044B5B">
              <w:t>Political ideology</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-.17</w:t>
            </w:r>
          </w:p>
        </w:tc>
        <w:tc>
          <w:tcPr>
            <w:tcW w:w="0" w:type="auto"/>
            <w:gridSpan w:val="2"/>
            <w:tcBorders>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-25.09</w:t>
            </w:r>
          </w:p>
        </w:tc>
        <w:tc>
          <w:tcPr>
            <w:tcW w:w="0" w:type="auto"/>
            <w:tcBorders>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bottom w:val="single" w:sz="4" w:space="0" w:color="auto"/>
              <w:right w:val="nil"/>
            </w:tcBorders>
          </w:tcPr>
          <w:p w:rsidR="008A2514" w:rsidRPr="00044B5B" w:rsidRDefault="008A2514" w:rsidP="00BE6B9D">
            <w:pPr>
              <w:spacing w:line="480" w:lineRule="auto"/>
            </w:pPr>
            <w:r w:rsidRPr="00044B5B">
              <w:t>[-.19, -.16]</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-.448</w:t>
            </w:r>
          </w:p>
        </w:tc>
        <w:tc>
          <w:tcPr>
            <w:tcW w:w="0" w:type="auto"/>
            <w:tcBorders>
              <w:left w:val="nil"/>
              <w:right w:val="nil"/>
            </w:tcBorders>
            <w:vAlign w:val="center"/>
          </w:tcPr>
          <w:p w:rsidR="008A2514" w:rsidRPr="00044B5B" w:rsidRDefault="008A2514" w:rsidP="00BE6B9D">
            <w:pPr>
              <w:spacing w:line="480" w:lineRule="auto"/>
            </w:pPr>
            <w:r w:rsidRPr="00044B5B">
              <w:t>-.12</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-16.93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[-.14, -.11]</w:t>
            </w:r>
          </w:p>
        </w:tc>
        <w:tc>
          <w:tcPr>
            <w:tcW w:w="0" w:type="auto"/>
            <w:tcBorders>
              <w:left w:val="nil"/>
              <w:right w:val="nil"/>
            </w:tcBorders>
            <w:vAlign w:val="center"/>
          </w:tcPr>
          <w:p w:rsidR="008A2514" w:rsidRPr="00044B5B" w:rsidRDefault="008A2514" w:rsidP="00BE6B9D">
            <w:pPr>
              <w:spacing w:line="480" w:lineRule="auto"/>
            </w:pPr>
            <w:r w:rsidRPr="00044B5B">
              <w:t>-.321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-.14</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-19.27</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[-.15, -.12]</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-.359</w:t>
            </w:r>
          </w:p>
        </w:tc>
      </w:tr>
      <w:tr w:rsidR="008A2514" w:rsidRPr="00044B5B" w:rsidTr="00BE6B9D">
        <w:tc>
          <w:tcPr>
            <w:tcW w:w="0" w:type="auto"/>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rPr>
                <w:i/>
              </w:rPr>
              <w:t>F</w:t>
            </w:r>
            <w:r w:rsidRPr="00044B5B">
              <w:t xml:space="preserve">(4, 2502) = 209.77,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.25</w:t>
            </w: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left w:val="nil"/>
              <w:right w:val="nil"/>
            </w:tcBorders>
            <w:vAlign w:val="center"/>
          </w:tcPr>
          <w:p w:rsidR="008A2514" w:rsidRPr="00044B5B" w:rsidRDefault="008A2514" w:rsidP="00BE6B9D">
            <w:pPr>
              <w:spacing w:line="480" w:lineRule="auto"/>
              <w:rPr>
                <w:i/>
              </w:rPr>
            </w:pPr>
            <w:r w:rsidRPr="00044B5B">
              <w:rPr>
                <w:i/>
              </w:rPr>
              <w:t>F</w:t>
            </w:r>
            <w:r w:rsidRPr="00044B5B">
              <w:t>(4, 2502) = 103.66,</w:t>
            </w:r>
            <w:r w:rsidRPr="00044B5B">
              <w:rPr>
                <w:i/>
              </w:rPr>
              <w:t xml:space="preserve">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.14</w:t>
            </w: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rPr>
                <w:i/>
              </w:rPr>
              <w:t>F</w:t>
            </w:r>
            <w:r w:rsidRPr="00044B5B">
              <w:t xml:space="preserve">(4, 2502) = .123.31,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.16</w:t>
            </w:r>
          </w:p>
        </w:tc>
      </w:tr>
      <w:tr w:rsidR="008A2514" w:rsidRPr="00044B5B" w:rsidTr="00BE6B9D">
        <w:tc>
          <w:tcPr>
            <w:tcW w:w="0" w:type="auto"/>
            <w:gridSpan w:val="22"/>
          </w:tcPr>
          <w:p w:rsidR="008A2514" w:rsidRPr="00044B5B" w:rsidRDefault="008A2514" w:rsidP="00BE6B9D">
            <w:pPr>
              <w:spacing w:line="480" w:lineRule="auto"/>
            </w:pPr>
            <w:r w:rsidRPr="00044B5B">
              <w:rPr>
                <w:i/>
              </w:rPr>
              <w:t>Note</w:t>
            </w:r>
            <w:r w:rsidRPr="00044B5B">
              <w:t>: SSPC stands for squared semi partial correlation</w:t>
            </w:r>
          </w:p>
        </w:tc>
      </w:tr>
    </w:tbl>
    <w:p w:rsidR="008A2514" w:rsidRPr="00044B5B" w:rsidRDefault="008A2514" w:rsidP="008A2514">
      <w:pPr>
        <w:spacing w:line="480" w:lineRule="auto"/>
        <w:jc w:val="both"/>
      </w:pPr>
      <w:r w:rsidRPr="00044B5B">
        <w:br w:type="page"/>
      </w:r>
    </w:p>
    <w:p w:rsidR="008A2514" w:rsidRPr="00044B5B" w:rsidRDefault="008A2514" w:rsidP="008A2514">
      <w:pPr>
        <w:spacing w:line="480" w:lineRule="auto"/>
        <w:jc w:val="both"/>
      </w:pPr>
      <w:r w:rsidRPr="00044B5B">
        <w:lastRenderedPageBreak/>
        <w:t>Table S.3.</w:t>
      </w:r>
    </w:p>
    <w:tbl>
      <w:tblPr>
        <w:tblStyle w:val="Tabellrutn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7"/>
        <w:gridCol w:w="646"/>
        <w:gridCol w:w="384"/>
        <w:gridCol w:w="384"/>
        <w:gridCol w:w="698"/>
        <w:gridCol w:w="758"/>
        <w:gridCol w:w="707"/>
        <w:gridCol w:w="760"/>
        <w:gridCol w:w="646"/>
        <w:gridCol w:w="384"/>
        <w:gridCol w:w="384"/>
        <w:gridCol w:w="698"/>
        <w:gridCol w:w="758"/>
        <w:gridCol w:w="707"/>
        <w:gridCol w:w="760"/>
        <w:gridCol w:w="646"/>
        <w:gridCol w:w="384"/>
        <w:gridCol w:w="384"/>
        <w:gridCol w:w="698"/>
        <w:gridCol w:w="758"/>
        <w:gridCol w:w="707"/>
        <w:gridCol w:w="760"/>
      </w:tblGrid>
      <w:tr w:rsidR="008A2514" w:rsidRPr="00044B5B" w:rsidTr="00BE6B9D">
        <w:tc>
          <w:tcPr>
            <w:tcW w:w="0" w:type="auto"/>
            <w:gridSpan w:val="22"/>
          </w:tcPr>
          <w:p w:rsidR="008A2514" w:rsidRPr="00044B5B" w:rsidRDefault="008A2514" w:rsidP="00BE6B9D">
            <w:pPr>
              <w:spacing w:line="480" w:lineRule="auto"/>
            </w:pPr>
            <w:r w:rsidRPr="00044B5B">
              <w:t>Summary of three multiple regressions on 12-item factor scores for each factor</w:t>
            </w:r>
          </w:p>
        </w:tc>
      </w:tr>
      <w:tr w:rsidR="008A2514" w:rsidRPr="00044B5B" w:rsidTr="00BE6B9D">
        <w:tc>
          <w:tcPr>
            <w:tcW w:w="0" w:type="auto"/>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Push policy</w:t>
            </w: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left w:val="nil"/>
              <w:right w:val="nil"/>
            </w:tcBorders>
            <w:vAlign w:val="center"/>
          </w:tcPr>
          <w:p w:rsidR="008A2514" w:rsidRPr="00044B5B" w:rsidRDefault="008A2514" w:rsidP="00BE6B9D">
            <w:pPr>
              <w:spacing w:line="480" w:lineRule="auto"/>
            </w:pPr>
            <w:r w:rsidRPr="00044B5B">
              <w:t>Pull policy</w:t>
            </w:r>
          </w:p>
        </w:tc>
        <w:tc>
          <w:tcPr>
            <w:tcW w:w="0" w:type="auto"/>
            <w:gridSpan w:val="2"/>
            <w:tcBorders>
              <w:left w:val="nil"/>
              <w:right w:val="nil"/>
            </w:tcBorders>
          </w:tcPr>
          <w:p w:rsidR="008A2514" w:rsidRPr="00044B5B" w:rsidRDefault="008A2514" w:rsidP="00BE6B9D">
            <w:pPr>
              <w:spacing w:line="480" w:lineRule="auto"/>
            </w:pPr>
          </w:p>
        </w:tc>
        <w:tc>
          <w:tcPr>
            <w:tcW w:w="0" w:type="auto"/>
            <w:gridSpan w:val="5"/>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Information policy</w:t>
            </w:r>
          </w:p>
        </w:tc>
      </w:tr>
      <w:tr w:rsidR="008A2514" w:rsidRPr="00044B5B" w:rsidTr="00BE6B9D">
        <w:tc>
          <w:tcPr>
            <w:tcW w:w="0" w:type="auto"/>
            <w:tcBorders>
              <w:top w:val="single" w:sz="4" w:space="0" w:color="auto"/>
              <w:right w:val="nil"/>
            </w:tcBorders>
            <w:vAlign w:val="center"/>
          </w:tcPr>
          <w:p w:rsidR="008A2514" w:rsidRPr="00044B5B" w:rsidRDefault="008A2514" w:rsidP="00BE6B9D">
            <w:pPr>
              <w:spacing w:line="480" w:lineRule="auto"/>
            </w:pP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left w:val="nil"/>
              <w:right w:val="nil"/>
            </w:tcBorders>
            <w:vAlign w:val="center"/>
          </w:tcPr>
          <w:p w:rsidR="008A2514" w:rsidRPr="00044B5B" w:rsidRDefault="008A2514" w:rsidP="00BE6B9D">
            <w:pPr>
              <w:spacing w:line="480" w:lineRule="auto"/>
              <w:rPr>
                <w:i/>
              </w:rPr>
            </w:pPr>
            <w:r w:rsidRPr="00044B5B">
              <w:rPr>
                <w:i/>
              </w:rPr>
              <w:t>se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t</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p</w:t>
            </w:r>
          </w:p>
        </w:tc>
        <w:tc>
          <w:tcPr>
            <w:tcW w:w="0" w:type="auto"/>
            <w:tcBorders>
              <w:left w:val="nil"/>
              <w:right w:val="nil"/>
            </w:tcBorders>
          </w:tcPr>
          <w:p w:rsidR="008A2514" w:rsidRPr="00044B5B" w:rsidRDefault="008A2514" w:rsidP="00BE6B9D">
            <w:pPr>
              <w:spacing w:line="480" w:lineRule="auto"/>
            </w:pPr>
            <w:r w:rsidRPr="00044B5B">
              <w:t>95% CI</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SSPC</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se</w:t>
            </w:r>
          </w:p>
        </w:tc>
        <w:tc>
          <w:tcPr>
            <w:tcW w:w="0" w:type="auto"/>
            <w:tcBorders>
              <w:left w:val="nil"/>
              <w:right w:val="nil"/>
            </w:tcBorders>
            <w:vAlign w:val="center"/>
          </w:tcPr>
          <w:p w:rsidR="008A2514" w:rsidRPr="00044B5B" w:rsidRDefault="008A2514" w:rsidP="00BE6B9D">
            <w:pPr>
              <w:spacing w:line="480" w:lineRule="auto"/>
              <w:rPr>
                <w:i/>
              </w:rPr>
            </w:pPr>
            <w:r w:rsidRPr="00044B5B">
              <w:rPr>
                <w:i/>
              </w:rPr>
              <w:t>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p</w:t>
            </w:r>
          </w:p>
        </w:tc>
        <w:tc>
          <w:tcPr>
            <w:tcW w:w="0" w:type="auto"/>
            <w:tcBorders>
              <w:left w:val="nil"/>
              <w:right w:val="nil"/>
            </w:tcBorders>
          </w:tcPr>
          <w:p w:rsidR="008A2514" w:rsidRPr="00044B5B" w:rsidRDefault="008A2514" w:rsidP="00BE6B9D">
            <w:pPr>
              <w:spacing w:line="480" w:lineRule="auto"/>
            </w:pPr>
            <w:r w:rsidRPr="00044B5B">
              <w:t>95% CI</w:t>
            </w:r>
          </w:p>
        </w:tc>
        <w:tc>
          <w:tcPr>
            <w:tcW w:w="0" w:type="auto"/>
            <w:tcBorders>
              <w:left w:val="nil"/>
              <w:right w:val="nil"/>
            </w:tcBorders>
            <w:vAlign w:val="center"/>
          </w:tcPr>
          <w:p w:rsidR="008A2514" w:rsidRPr="00044B5B" w:rsidRDefault="008A2514" w:rsidP="00BE6B9D">
            <w:pPr>
              <w:spacing w:line="480" w:lineRule="auto"/>
            </w:pPr>
            <w:r w:rsidRPr="00044B5B">
              <w:t>SSPC</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b</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se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rPr>
                <w:i/>
              </w:rPr>
            </w:pPr>
            <w:r w:rsidRPr="00044B5B">
              <w:rPr>
                <w:i/>
              </w:rPr>
              <w:t>p</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95% CI</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SSPC</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Intercept</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.10</w:t>
            </w:r>
          </w:p>
        </w:tc>
        <w:tc>
          <w:tcPr>
            <w:tcW w:w="0" w:type="auto"/>
            <w:gridSpan w:val="2"/>
            <w:tcBorders>
              <w:left w:val="nil"/>
              <w:right w:val="nil"/>
            </w:tcBorders>
            <w:vAlign w:val="center"/>
          </w:tcPr>
          <w:p w:rsidR="008A2514" w:rsidRPr="00044B5B" w:rsidRDefault="008A2514" w:rsidP="00BE6B9D">
            <w:pPr>
              <w:spacing w:line="480" w:lineRule="auto"/>
            </w:pPr>
            <w:r w:rsidRPr="00044B5B">
              <w:t>.03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3.71</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[.05, .15]</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p>
        </w:tc>
        <w:tc>
          <w:tcPr>
            <w:tcW w:w="0" w:type="auto"/>
            <w:tcBorders>
              <w:left w:val="nil"/>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.03</w:t>
            </w:r>
          </w:p>
        </w:tc>
        <w:tc>
          <w:tcPr>
            <w:tcW w:w="0" w:type="auto"/>
            <w:tcBorders>
              <w:left w:val="nil"/>
              <w:right w:val="nil"/>
            </w:tcBorders>
            <w:vAlign w:val="center"/>
          </w:tcPr>
          <w:p w:rsidR="008A2514" w:rsidRPr="00044B5B" w:rsidRDefault="008A2514" w:rsidP="00BE6B9D">
            <w:pPr>
              <w:spacing w:line="480" w:lineRule="auto"/>
            </w:pPr>
            <w:r w:rsidRPr="00044B5B">
              <w:t>2.80</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.005</w:t>
            </w:r>
          </w:p>
        </w:tc>
        <w:tc>
          <w:tcPr>
            <w:tcW w:w="0" w:type="auto"/>
            <w:tcBorders>
              <w:left w:val="nil"/>
              <w:right w:val="nil"/>
            </w:tcBorders>
          </w:tcPr>
          <w:p w:rsidR="008A2514" w:rsidRPr="00044B5B" w:rsidRDefault="008A2514" w:rsidP="00BE6B9D">
            <w:pPr>
              <w:spacing w:line="480" w:lineRule="auto"/>
            </w:pPr>
            <w:r w:rsidRPr="00044B5B">
              <w:t>[.02, .13]</w:t>
            </w:r>
          </w:p>
        </w:tc>
        <w:tc>
          <w:tcPr>
            <w:tcW w:w="0" w:type="auto"/>
            <w:tcBorders>
              <w:left w:val="nil"/>
              <w:right w:val="nil"/>
            </w:tcBorders>
            <w:vAlign w:val="center"/>
          </w:tcPr>
          <w:p w:rsidR="008A2514" w:rsidRPr="00044B5B" w:rsidRDefault="008A2514" w:rsidP="00BE6B9D">
            <w:pPr>
              <w:spacing w:line="480" w:lineRule="auto"/>
            </w:pP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2.54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[.02, .12]</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Gender</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-.16</w:t>
            </w:r>
          </w:p>
        </w:tc>
        <w:tc>
          <w:tcPr>
            <w:tcW w:w="0" w:type="auto"/>
            <w:gridSpan w:val="2"/>
            <w:tcBorders>
              <w:left w:val="nil"/>
              <w:right w:val="nil"/>
            </w:tcBorders>
            <w:vAlign w:val="center"/>
          </w:tcPr>
          <w:p w:rsidR="008A2514" w:rsidRPr="00044B5B" w:rsidRDefault="008A2514" w:rsidP="00BE6B9D">
            <w:pPr>
              <w:spacing w:line="480" w:lineRule="auto"/>
            </w:pPr>
            <w:r w:rsidRPr="00044B5B">
              <w:t>.04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-4.48</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[-.23, -.09]</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-.089</w:t>
            </w:r>
          </w:p>
        </w:tc>
        <w:tc>
          <w:tcPr>
            <w:tcW w:w="0" w:type="auto"/>
            <w:tcBorders>
              <w:left w:val="nil"/>
              <w:right w:val="nil"/>
            </w:tcBorders>
            <w:vAlign w:val="center"/>
          </w:tcPr>
          <w:p w:rsidR="008A2514" w:rsidRPr="00044B5B" w:rsidRDefault="008A2514" w:rsidP="00BE6B9D">
            <w:pPr>
              <w:spacing w:line="480" w:lineRule="auto"/>
            </w:pPr>
            <w:r w:rsidRPr="00044B5B">
              <w:t>-.12</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tcBorders>
              <w:left w:val="nil"/>
              <w:right w:val="nil"/>
            </w:tcBorders>
            <w:vAlign w:val="center"/>
          </w:tcPr>
          <w:p w:rsidR="008A2514" w:rsidRPr="00044B5B" w:rsidRDefault="008A2514" w:rsidP="00BE6B9D">
            <w:pPr>
              <w:spacing w:line="480" w:lineRule="auto"/>
            </w:pPr>
            <w:r w:rsidRPr="00044B5B">
              <w:t>-3.21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.001</w:t>
            </w:r>
          </w:p>
        </w:tc>
        <w:tc>
          <w:tcPr>
            <w:tcW w:w="0" w:type="auto"/>
            <w:tcBorders>
              <w:left w:val="nil"/>
              <w:right w:val="nil"/>
            </w:tcBorders>
          </w:tcPr>
          <w:p w:rsidR="008A2514" w:rsidRPr="00044B5B" w:rsidRDefault="008A2514" w:rsidP="00BE6B9D">
            <w:pPr>
              <w:spacing w:line="480" w:lineRule="auto"/>
            </w:pPr>
            <w:r w:rsidRPr="00044B5B">
              <w:t>[-.19, -.05]</w:t>
            </w:r>
          </w:p>
        </w:tc>
        <w:tc>
          <w:tcPr>
            <w:tcW w:w="0" w:type="auto"/>
            <w:tcBorders>
              <w:left w:val="nil"/>
              <w:right w:val="nil"/>
            </w:tcBorders>
            <w:vAlign w:val="center"/>
          </w:tcPr>
          <w:p w:rsidR="008A2514" w:rsidRPr="00044B5B" w:rsidRDefault="008A2514" w:rsidP="00BE6B9D">
            <w:pPr>
              <w:spacing w:line="480" w:lineRule="auto"/>
            </w:pPr>
            <w:r w:rsidRPr="00044B5B">
              <w:t>-.064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-.12</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-.2.91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.004</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[-.18, -.03]</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-.058</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t>Age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-.06</w:t>
            </w:r>
          </w:p>
        </w:tc>
        <w:tc>
          <w:tcPr>
            <w:tcW w:w="0" w:type="auto"/>
            <w:gridSpan w:val="2"/>
            <w:tcBorders>
              <w:left w:val="nil"/>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-5.37</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[-.09, -.04]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-.107</w:t>
            </w:r>
          </w:p>
        </w:tc>
        <w:tc>
          <w:tcPr>
            <w:tcW w:w="0" w:type="auto"/>
            <w:tcBorders>
              <w:left w:val="nil"/>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-5.96</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[-.10, -.05]</w:t>
            </w:r>
          </w:p>
        </w:tc>
        <w:tc>
          <w:tcPr>
            <w:tcW w:w="0" w:type="auto"/>
            <w:tcBorders>
              <w:left w:val="nil"/>
              <w:right w:val="nil"/>
            </w:tcBorders>
            <w:vAlign w:val="center"/>
          </w:tcPr>
          <w:p w:rsidR="008A2514" w:rsidRPr="00044B5B" w:rsidRDefault="008A2514" w:rsidP="00BE6B9D">
            <w:pPr>
              <w:spacing w:line="480" w:lineRule="auto"/>
            </w:pPr>
            <w:r w:rsidRPr="00044B5B">
              <w:t>-.118</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-.07</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-5.73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[-.09, -.05]</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-.114</w:t>
            </w:r>
          </w:p>
        </w:tc>
      </w:tr>
      <w:tr w:rsidR="008A2514" w:rsidRPr="00044B5B" w:rsidTr="00BE6B9D">
        <w:tc>
          <w:tcPr>
            <w:tcW w:w="0" w:type="auto"/>
            <w:tcBorders>
              <w:right w:val="nil"/>
            </w:tcBorders>
            <w:vAlign w:val="center"/>
          </w:tcPr>
          <w:p w:rsidR="008A2514" w:rsidRPr="00044B5B" w:rsidRDefault="008A2514" w:rsidP="00BE6B9D">
            <w:pPr>
              <w:spacing w:line="480" w:lineRule="auto"/>
            </w:pPr>
            <w:r w:rsidRPr="00044B5B">
              <w:lastRenderedPageBreak/>
              <w:t>Residence</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-.05</w:t>
            </w:r>
          </w:p>
        </w:tc>
        <w:tc>
          <w:tcPr>
            <w:tcW w:w="0" w:type="auto"/>
            <w:gridSpan w:val="2"/>
            <w:tcBorders>
              <w:left w:val="nil"/>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-6.13</w:t>
            </w:r>
          </w:p>
        </w:tc>
        <w:tc>
          <w:tcPr>
            <w:tcW w:w="0" w:type="auto"/>
            <w:tcBorders>
              <w:left w:val="nil"/>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[-.07, -.03]</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-.122</w:t>
            </w:r>
          </w:p>
        </w:tc>
        <w:tc>
          <w:tcPr>
            <w:tcW w:w="0" w:type="auto"/>
            <w:tcBorders>
              <w:left w:val="nil"/>
              <w:right w:val="nil"/>
            </w:tcBorders>
            <w:vAlign w:val="center"/>
          </w:tcPr>
          <w:p w:rsidR="008A2514" w:rsidRPr="00044B5B" w:rsidRDefault="008A2514" w:rsidP="00BE6B9D">
            <w:pPr>
              <w:spacing w:line="480" w:lineRule="auto"/>
            </w:pPr>
            <w:r w:rsidRPr="00044B5B">
              <w:t>-.04</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-4.64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[-.06, -.02]</w:t>
            </w:r>
          </w:p>
        </w:tc>
        <w:tc>
          <w:tcPr>
            <w:tcW w:w="0" w:type="auto"/>
            <w:tcBorders>
              <w:left w:val="nil"/>
              <w:right w:val="nil"/>
            </w:tcBorders>
            <w:vAlign w:val="center"/>
          </w:tcPr>
          <w:p w:rsidR="008A2514" w:rsidRPr="00044B5B" w:rsidRDefault="008A2514" w:rsidP="00BE6B9D">
            <w:pPr>
              <w:spacing w:line="480" w:lineRule="auto"/>
            </w:pPr>
            <w:r w:rsidRPr="00044B5B">
              <w:t>-.092</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-.04</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-5.07</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[-.06, -.03]</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-.101</w:t>
            </w:r>
          </w:p>
        </w:tc>
      </w:tr>
      <w:tr w:rsidR="008A2514" w:rsidRPr="00044B5B" w:rsidTr="00BE6B9D">
        <w:tc>
          <w:tcPr>
            <w:tcW w:w="0" w:type="auto"/>
            <w:tcBorders>
              <w:bottom w:val="single" w:sz="4" w:space="0" w:color="auto"/>
              <w:right w:val="nil"/>
            </w:tcBorders>
            <w:vAlign w:val="center"/>
          </w:tcPr>
          <w:p w:rsidR="008A2514" w:rsidRPr="00044B5B" w:rsidRDefault="008A2514" w:rsidP="00BE6B9D">
            <w:pPr>
              <w:spacing w:line="480" w:lineRule="auto"/>
            </w:pPr>
            <w:r w:rsidRPr="00044B5B">
              <w:t>Political ideology</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-.16</w:t>
            </w:r>
          </w:p>
        </w:tc>
        <w:tc>
          <w:tcPr>
            <w:tcW w:w="0" w:type="auto"/>
            <w:gridSpan w:val="2"/>
            <w:tcBorders>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-22.88</w:t>
            </w:r>
          </w:p>
        </w:tc>
        <w:tc>
          <w:tcPr>
            <w:tcW w:w="0" w:type="auto"/>
            <w:tcBorders>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bottom w:val="single" w:sz="4" w:space="0" w:color="auto"/>
              <w:right w:val="nil"/>
            </w:tcBorders>
          </w:tcPr>
          <w:p w:rsidR="008A2514" w:rsidRPr="00044B5B" w:rsidRDefault="008A2514" w:rsidP="00BE6B9D">
            <w:pPr>
              <w:spacing w:line="480" w:lineRule="auto"/>
            </w:pPr>
            <w:r w:rsidRPr="00044B5B">
              <w:t>[-.17, -.14]</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-.416</w:t>
            </w:r>
          </w:p>
        </w:tc>
        <w:tc>
          <w:tcPr>
            <w:tcW w:w="0" w:type="auto"/>
            <w:tcBorders>
              <w:left w:val="nil"/>
              <w:right w:val="nil"/>
            </w:tcBorders>
            <w:vAlign w:val="center"/>
          </w:tcPr>
          <w:p w:rsidR="008A2514" w:rsidRPr="00044B5B" w:rsidRDefault="008A2514" w:rsidP="00BE6B9D">
            <w:pPr>
              <w:spacing w:line="480" w:lineRule="auto"/>
            </w:pPr>
            <w:r w:rsidRPr="00044B5B">
              <w:t>-.12</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left w:val="nil"/>
              <w:right w:val="nil"/>
            </w:tcBorders>
            <w:vAlign w:val="center"/>
          </w:tcPr>
          <w:p w:rsidR="008A2514" w:rsidRPr="00044B5B" w:rsidRDefault="008A2514" w:rsidP="00BE6B9D">
            <w:pPr>
              <w:spacing w:line="480" w:lineRule="auto"/>
            </w:pPr>
            <w:r w:rsidRPr="00044B5B">
              <w:t>-17.35</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left w:val="nil"/>
              <w:right w:val="nil"/>
            </w:tcBorders>
          </w:tcPr>
          <w:p w:rsidR="008A2514" w:rsidRPr="00044B5B" w:rsidRDefault="008A2514" w:rsidP="00BE6B9D">
            <w:pPr>
              <w:spacing w:line="480" w:lineRule="auto"/>
            </w:pPr>
            <w:r w:rsidRPr="00044B5B">
              <w:t>[-.14, -.11]</w:t>
            </w:r>
          </w:p>
        </w:tc>
        <w:tc>
          <w:tcPr>
            <w:tcW w:w="0" w:type="auto"/>
            <w:tcBorders>
              <w:left w:val="nil"/>
              <w:right w:val="nil"/>
            </w:tcBorders>
            <w:vAlign w:val="center"/>
          </w:tcPr>
          <w:p w:rsidR="008A2514" w:rsidRPr="00044B5B" w:rsidRDefault="008A2514" w:rsidP="00BE6B9D">
            <w:pPr>
              <w:spacing w:line="480" w:lineRule="auto"/>
            </w:pPr>
            <w:r w:rsidRPr="00044B5B">
              <w:t>-.328</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-.13</w:t>
            </w:r>
          </w:p>
        </w:tc>
        <w:tc>
          <w:tcPr>
            <w:tcW w:w="0" w:type="auto"/>
            <w:gridSpan w:val="2"/>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.01</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-18.10</w:t>
            </w:r>
          </w:p>
        </w:tc>
        <w:tc>
          <w:tcPr>
            <w:tcW w:w="0" w:type="auto"/>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t>&lt;.001</w:t>
            </w:r>
          </w:p>
        </w:tc>
        <w:tc>
          <w:tcPr>
            <w:tcW w:w="0" w:type="auto"/>
            <w:tcBorders>
              <w:top w:val="single" w:sz="4" w:space="0" w:color="auto"/>
              <w:left w:val="nil"/>
              <w:bottom w:val="single" w:sz="4" w:space="0" w:color="auto"/>
              <w:right w:val="nil"/>
            </w:tcBorders>
          </w:tcPr>
          <w:p w:rsidR="008A2514" w:rsidRPr="00044B5B" w:rsidRDefault="008A2514" w:rsidP="00BE6B9D">
            <w:pPr>
              <w:spacing w:line="480" w:lineRule="auto"/>
            </w:pPr>
            <w:r w:rsidRPr="00044B5B">
              <w:t>[-.14, -.11]</w:t>
            </w:r>
          </w:p>
        </w:tc>
        <w:tc>
          <w:tcPr>
            <w:tcW w:w="0" w:type="auto"/>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t>-.340</w:t>
            </w:r>
          </w:p>
        </w:tc>
      </w:tr>
      <w:tr w:rsidR="008A2514" w:rsidRPr="00044B5B" w:rsidTr="00BE6B9D">
        <w:tc>
          <w:tcPr>
            <w:tcW w:w="0" w:type="auto"/>
            <w:tcBorders>
              <w:top w:val="single" w:sz="4" w:space="0" w:color="auto"/>
              <w:bottom w:val="single" w:sz="4" w:space="0" w:color="auto"/>
              <w:right w:val="nil"/>
            </w:tcBorders>
            <w:vAlign w:val="center"/>
          </w:tcPr>
          <w:p w:rsidR="008A2514" w:rsidRPr="00044B5B" w:rsidRDefault="008A2514" w:rsidP="00BE6B9D">
            <w:pPr>
              <w:spacing w:line="480" w:lineRule="auto"/>
            </w:pP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top w:val="single" w:sz="4" w:space="0" w:color="auto"/>
              <w:left w:val="nil"/>
              <w:bottom w:val="single" w:sz="4" w:space="0" w:color="auto"/>
              <w:right w:val="nil"/>
            </w:tcBorders>
            <w:vAlign w:val="center"/>
          </w:tcPr>
          <w:p w:rsidR="008A2514" w:rsidRPr="00044B5B" w:rsidRDefault="008A2514" w:rsidP="00BE6B9D">
            <w:pPr>
              <w:spacing w:line="480" w:lineRule="auto"/>
            </w:pPr>
            <w:r w:rsidRPr="00044B5B">
              <w:rPr>
                <w:i/>
              </w:rPr>
              <w:t>F</w:t>
            </w:r>
            <w:r w:rsidRPr="00044B5B">
              <w:t xml:space="preserve">(4, 2502) = 177.11,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.22</w:t>
            </w: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left w:val="nil"/>
              <w:right w:val="nil"/>
            </w:tcBorders>
            <w:vAlign w:val="center"/>
          </w:tcPr>
          <w:p w:rsidR="008A2514" w:rsidRPr="00044B5B" w:rsidRDefault="008A2514" w:rsidP="00BE6B9D">
            <w:pPr>
              <w:spacing w:line="480" w:lineRule="auto"/>
              <w:rPr>
                <w:i/>
              </w:rPr>
            </w:pPr>
            <w:r w:rsidRPr="00044B5B">
              <w:rPr>
                <w:i/>
              </w:rPr>
              <w:t>F</w:t>
            </w:r>
            <w:r w:rsidRPr="00044B5B">
              <w:t>(4, 2502) = 108.11</w:t>
            </w:r>
            <w:r w:rsidRPr="00044B5B">
              <w:rPr>
                <w:i/>
              </w:rPr>
              <w:t xml:space="preserve">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.15</w:t>
            </w:r>
          </w:p>
        </w:tc>
        <w:tc>
          <w:tcPr>
            <w:tcW w:w="0" w:type="auto"/>
            <w:gridSpan w:val="2"/>
            <w:tcBorders>
              <w:left w:val="nil"/>
              <w:right w:val="nil"/>
            </w:tcBorders>
          </w:tcPr>
          <w:p w:rsidR="008A2514" w:rsidRPr="00044B5B" w:rsidRDefault="008A2514" w:rsidP="00BE6B9D">
            <w:pPr>
              <w:spacing w:line="480" w:lineRule="auto"/>
              <w:rPr>
                <w:i/>
              </w:rPr>
            </w:pPr>
          </w:p>
        </w:tc>
        <w:tc>
          <w:tcPr>
            <w:tcW w:w="0" w:type="auto"/>
            <w:gridSpan w:val="5"/>
            <w:tcBorders>
              <w:top w:val="single" w:sz="4" w:space="0" w:color="auto"/>
              <w:left w:val="nil"/>
              <w:bottom w:val="single" w:sz="4" w:space="0" w:color="auto"/>
            </w:tcBorders>
            <w:vAlign w:val="center"/>
          </w:tcPr>
          <w:p w:rsidR="008A2514" w:rsidRPr="00044B5B" w:rsidRDefault="008A2514" w:rsidP="00BE6B9D">
            <w:pPr>
              <w:spacing w:line="480" w:lineRule="auto"/>
            </w:pPr>
            <w:r w:rsidRPr="00044B5B">
              <w:rPr>
                <w:i/>
              </w:rPr>
              <w:t>F</w:t>
            </w:r>
            <w:r w:rsidRPr="00044B5B">
              <w:t xml:space="preserve">(4, 2502) = .114.75, </w:t>
            </w:r>
          </w:p>
          <w:p w:rsidR="008A2514" w:rsidRPr="00044B5B" w:rsidRDefault="008A2514" w:rsidP="00BE6B9D">
            <w:pPr>
              <w:spacing w:line="480" w:lineRule="auto"/>
            </w:pPr>
            <w:r w:rsidRPr="00044B5B">
              <w:rPr>
                <w:i/>
              </w:rPr>
              <w:t>p</w:t>
            </w:r>
            <w:r w:rsidRPr="00044B5B">
              <w:t xml:space="preserve"> &lt; .001</w:t>
            </w:r>
          </w:p>
          <w:p w:rsidR="008A2514" w:rsidRPr="00044B5B" w:rsidRDefault="008A2514" w:rsidP="00BE6B9D">
            <w:pPr>
              <w:spacing w:line="480" w:lineRule="auto"/>
            </w:pPr>
            <w:r w:rsidRPr="00044B5B">
              <w:t xml:space="preserve">Adj. </w:t>
            </w:r>
            <w:r w:rsidRPr="00044B5B">
              <w:rPr>
                <w:i/>
              </w:rPr>
              <w:t>R</w:t>
            </w:r>
            <w:r w:rsidRPr="00044B5B">
              <w:rPr>
                <w:i/>
                <w:vertAlign w:val="superscript"/>
              </w:rPr>
              <w:t>2</w:t>
            </w:r>
            <w:r w:rsidRPr="00044B5B">
              <w:t xml:space="preserve"> = .15</w:t>
            </w:r>
          </w:p>
        </w:tc>
      </w:tr>
      <w:tr w:rsidR="008A2514" w:rsidRPr="00044B5B" w:rsidTr="00BE6B9D">
        <w:tc>
          <w:tcPr>
            <w:tcW w:w="0" w:type="auto"/>
            <w:gridSpan w:val="22"/>
          </w:tcPr>
          <w:p w:rsidR="008A2514" w:rsidRPr="00044B5B" w:rsidRDefault="008A2514" w:rsidP="00BE6B9D">
            <w:pPr>
              <w:spacing w:line="480" w:lineRule="auto"/>
            </w:pPr>
            <w:r w:rsidRPr="00044B5B">
              <w:rPr>
                <w:i/>
              </w:rPr>
              <w:t>Note</w:t>
            </w:r>
            <w:r w:rsidRPr="00044B5B">
              <w:t>: SSPC stands for squared semi partial correlation</w:t>
            </w:r>
          </w:p>
        </w:tc>
      </w:tr>
    </w:tbl>
    <w:p w:rsidR="008A2514" w:rsidRPr="00044B5B" w:rsidRDefault="008A2514" w:rsidP="008A2514">
      <w:pPr>
        <w:spacing w:line="480" w:lineRule="auto"/>
        <w:jc w:val="both"/>
      </w:pPr>
      <w:r w:rsidRPr="00044B5B">
        <w:br w:type="page"/>
      </w:r>
    </w:p>
    <w:p w:rsidR="008A2514" w:rsidRPr="00044B5B" w:rsidRDefault="008A2514" w:rsidP="008A2514">
      <w:pPr>
        <w:spacing w:line="480" w:lineRule="auto"/>
        <w:jc w:val="both"/>
        <w:rPr>
          <w:b/>
        </w:rPr>
        <w:sectPr w:rsidR="008A2514" w:rsidRPr="00044B5B" w:rsidSect="004B30E1">
          <w:pgSz w:w="16838" w:h="11906" w:orient="landscape"/>
          <w:pgMar w:top="1440" w:right="1440" w:bottom="1440" w:left="1440" w:header="709" w:footer="709" w:gutter="0"/>
          <w:cols w:space="708"/>
          <w:docGrid w:linePitch="360"/>
        </w:sectPr>
      </w:pPr>
    </w:p>
    <w:p w:rsidR="008A2514" w:rsidRPr="00044B5B" w:rsidRDefault="008A2514" w:rsidP="008A2514">
      <w:pPr>
        <w:spacing w:line="480" w:lineRule="auto"/>
        <w:jc w:val="both"/>
        <w:rPr>
          <w:b/>
        </w:rPr>
      </w:pPr>
      <w:r w:rsidRPr="00044B5B">
        <w:rPr>
          <w:b/>
        </w:rPr>
        <w:lastRenderedPageBreak/>
        <w:t>Policy items in Swedish</w:t>
      </w:r>
    </w:p>
    <w:p w:rsidR="008A2514" w:rsidRPr="00044B5B" w:rsidRDefault="008A2514" w:rsidP="008A2514">
      <w:pPr>
        <w:spacing w:line="480" w:lineRule="auto"/>
        <w:ind w:hanging="680"/>
        <w:jc w:val="both"/>
        <w:rPr>
          <w:b/>
        </w:rPr>
      </w:pPr>
    </w:p>
    <w:p w:rsidR="008A2514" w:rsidRPr="00044B5B" w:rsidRDefault="008A2514" w:rsidP="008A2514">
      <w:pPr>
        <w:spacing w:line="480" w:lineRule="auto"/>
        <w:jc w:val="both"/>
      </w:pPr>
      <w:r w:rsidRPr="00044B5B">
        <w:t xml:space="preserve">Item 1: </w:t>
      </w:r>
    </w:p>
    <w:p w:rsidR="008A2514" w:rsidRPr="00044B5B" w:rsidRDefault="008A2514" w:rsidP="008A2514">
      <w:pPr>
        <w:spacing w:line="480" w:lineRule="auto"/>
        <w:jc w:val="both"/>
        <w:rPr>
          <w:i/>
          <w:lang w:val="sv-SE"/>
        </w:rPr>
      </w:pPr>
      <w:r w:rsidRPr="00044B5B">
        <w:rPr>
          <w:i/>
          <w:lang w:val="sv-SE"/>
        </w:rPr>
        <w:t>Avgaskrav för mopeder och motorcyklar</w:t>
      </w:r>
    </w:p>
    <w:p w:rsidR="008A2514" w:rsidRPr="00044B5B" w:rsidRDefault="008A2514" w:rsidP="008A2514">
      <w:pPr>
        <w:spacing w:line="480" w:lineRule="auto"/>
        <w:jc w:val="both"/>
        <w:rPr>
          <w:lang w:val="sv-SE"/>
        </w:rPr>
      </w:pPr>
      <w:r w:rsidRPr="00044B5B">
        <w:rPr>
          <w:lang w:val="sv-SE"/>
        </w:rPr>
        <w:t>Från och med 2018 måste en moped uppfylla avgaskraven för euro 4 eller bättre för att få registreras i Sverige. Avgaskraven styrs av ett fordons utsläpp av kolmonoxid, kväveoxider, kolväten och partiklar. Mopeder som har lägre avgasklass och som inte är tagna i bruk måste ställas på innan årsskiftet för att inte vara olagliga.</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w:t>
      </w:r>
    </w:p>
    <w:p w:rsidR="008A2514" w:rsidRPr="00044B5B" w:rsidRDefault="008A2514" w:rsidP="008A2514">
      <w:pPr>
        <w:spacing w:line="480" w:lineRule="auto"/>
        <w:jc w:val="both"/>
        <w:rPr>
          <w:i/>
          <w:lang w:val="sv-SE"/>
        </w:rPr>
      </w:pPr>
      <w:r w:rsidRPr="00044B5B">
        <w:rPr>
          <w:i/>
          <w:lang w:val="sv-SE"/>
        </w:rPr>
        <w:t>Lokala miljözoner</w:t>
      </w:r>
    </w:p>
    <w:p w:rsidR="008A2514" w:rsidRPr="00044B5B" w:rsidRDefault="008A2514" w:rsidP="008A2514">
      <w:pPr>
        <w:spacing w:line="480" w:lineRule="auto"/>
        <w:jc w:val="both"/>
        <w:rPr>
          <w:lang w:val="sv-SE"/>
        </w:rPr>
      </w:pPr>
      <w:r w:rsidRPr="00044B5B">
        <w:rPr>
          <w:lang w:val="sv-SE"/>
        </w:rPr>
        <w:t>Kommuner kan i dag stänga ute vissa tunga fordon (lastbilar och bussar) från särskilt miljökänsliga områden inom städer genom att införa miljözoner.</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w:t>
      </w:r>
    </w:p>
    <w:p w:rsidR="008A2514" w:rsidRPr="00044B5B" w:rsidRDefault="008A2514" w:rsidP="008A2514">
      <w:pPr>
        <w:spacing w:line="480" w:lineRule="auto"/>
        <w:jc w:val="both"/>
        <w:rPr>
          <w:i/>
          <w:lang w:val="sv-SE"/>
        </w:rPr>
      </w:pPr>
      <w:r w:rsidRPr="00044B5B">
        <w:rPr>
          <w:i/>
          <w:lang w:val="sv-SE"/>
        </w:rPr>
        <w:t>Differentierad fordonsskatt</w:t>
      </w:r>
    </w:p>
    <w:p w:rsidR="008A2514" w:rsidRPr="00044B5B" w:rsidRDefault="008A2514" w:rsidP="008A2514">
      <w:pPr>
        <w:spacing w:line="480" w:lineRule="auto"/>
        <w:jc w:val="both"/>
        <w:rPr>
          <w:lang w:val="sv-SE"/>
        </w:rPr>
      </w:pPr>
      <w:r w:rsidRPr="00044B5B">
        <w:rPr>
          <w:lang w:val="sv-SE"/>
        </w:rPr>
        <w:t>Fordonsskatt betalas för skattepliktiga fordon. Differentierad fordonsskatt innebär att storleken på skatten beror på drivmedel och koldioxidutsläpp, eller fordonsslag, drivmedel och skattevikt.</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4:</w:t>
      </w:r>
    </w:p>
    <w:p w:rsidR="008A2514" w:rsidRPr="00044B5B" w:rsidRDefault="008A2514" w:rsidP="008A2514">
      <w:pPr>
        <w:spacing w:line="480" w:lineRule="auto"/>
        <w:jc w:val="both"/>
        <w:rPr>
          <w:i/>
          <w:lang w:val="sv-SE"/>
        </w:rPr>
      </w:pPr>
      <w:r w:rsidRPr="00044B5B">
        <w:rPr>
          <w:i/>
          <w:lang w:val="sv-SE"/>
        </w:rPr>
        <w:t>Kommunala initiativ för bilpooler</w:t>
      </w:r>
    </w:p>
    <w:p w:rsidR="008A2514" w:rsidRPr="00044B5B" w:rsidRDefault="008A2514" w:rsidP="008A2514">
      <w:pPr>
        <w:spacing w:line="480" w:lineRule="auto"/>
        <w:jc w:val="both"/>
        <w:rPr>
          <w:lang w:val="sv-SE"/>
        </w:rPr>
      </w:pPr>
      <w:r w:rsidRPr="00044B5B">
        <w:rPr>
          <w:lang w:val="sv-SE"/>
        </w:rPr>
        <w:t>Vissa svenska kommuner arbetar idag för att förbättra förutsättningarna för bilpooler, exempelvis genom att reservera parkeringsplatser åt bilpooler. En bilpool innebär att ett antal personer samsas om en eller flera bilar. Varje enskild person betalar för bilen enbart när den personen använder 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5:</w:t>
      </w:r>
    </w:p>
    <w:p w:rsidR="008A2514" w:rsidRPr="00044B5B" w:rsidRDefault="008A2514" w:rsidP="008A2514">
      <w:pPr>
        <w:spacing w:line="480" w:lineRule="auto"/>
        <w:jc w:val="both"/>
        <w:rPr>
          <w:i/>
          <w:lang w:val="sv-SE"/>
        </w:rPr>
      </w:pPr>
      <w:r w:rsidRPr="00044B5B">
        <w:rPr>
          <w:i/>
          <w:lang w:val="sv-SE"/>
        </w:rPr>
        <w:t>Ekodesigndirektivet</w:t>
      </w:r>
    </w:p>
    <w:p w:rsidR="008A2514" w:rsidRPr="00044B5B" w:rsidRDefault="008A2514" w:rsidP="008A2514">
      <w:pPr>
        <w:spacing w:line="480" w:lineRule="auto"/>
        <w:jc w:val="both"/>
        <w:rPr>
          <w:lang w:val="sv-SE"/>
        </w:rPr>
      </w:pPr>
      <w:r w:rsidRPr="00044B5B">
        <w:rPr>
          <w:lang w:val="sv-SE"/>
        </w:rPr>
        <w:t>Ekodesigndirektivet sätter minimikrav på energiprestanda hos produkter och förbjuder de mest energi- och resurskrävande produkterna på EU-marknaden. Kraven fungerar som ett golv för att förbjuda och ta bort de allra sämsta produkterna på marknaden, sett ur ett energiperspektiv.</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6:</w:t>
      </w:r>
    </w:p>
    <w:p w:rsidR="008A2514" w:rsidRPr="00044B5B" w:rsidRDefault="008A2514" w:rsidP="008A2514">
      <w:pPr>
        <w:spacing w:line="480" w:lineRule="auto"/>
        <w:jc w:val="both"/>
        <w:rPr>
          <w:i/>
          <w:lang w:val="sv-SE"/>
        </w:rPr>
      </w:pPr>
      <w:r w:rsidRPr="00044B5B">
        <w:rPr>
          <w:i/>
          <w:lang w:val="sv-SE"/>
        </w:rPr>
        <w:t>Kommunal energi- och klimatrådgivning</w:t>
      </w:r>
    </w:p>
    <w:p w:rsidR="008A2514" w:rsidRPr="00044B5B" w:rsidRDefault="008A2514" w:rsidP="008A2514">
      <w:pPr>
        <w:spacing w:line="480" w:lineRule="auto"/>
        <w:jc w:val="both"/>
        <w:rPr>
          <w:lang w:val="sv-SE"/>
        </w:rPr>
      </w:pPr>
      <w:r w:rsidRPr="00044B5B">
        <w:rPr>
          <w:lang w:val="sv-SE"/>
        </w:rPr>
        <w:t>Energi- och klimatrådgivningen är en opartisk och kostnadsfri service från kommunen, som vänder sig till privatpersoner, företag och organisationer. Den som vill kan få råd för att: minska energianvändningen i sin bostad eller lokal, sänka sina energikostnader, optimera sitt uppvärmnings- eller ventilationssystem, minska sin klimatpåverkan med mera.</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7:</w:t>
      </w:r>
    </w:p>
    <w:p w:rsidR="008A2514" w:rsidRPr="00044B5B" w:rsidRDefault="008A2514" w:rsidP="008A2514">
      <w:pPr>
        <w:spacing w:line="480" w:lineRule="auto"/>
        <w:jc w:val="both"/>
        <w:rPr>
          <w:i/>
          <w:lang w:val="sv-SE"/>
        </w:rPr>
      </w:pPr>
      <w:r w:rsidRPr="00044B5B">
        <w:rPr>
          <w:i/>
          <w:lang w:val="sv-SE"/>
        </w:rPr>
        <w:t>Energideklarationer för byggnader</w:t>
      </w:r>
    </w:p>
    <w:p w:rsidR="008A2514" w:rsidRPr="00044B5B" w:rsidRDefault="008A2514" w:rsidP="008A2514">
      <w:pPr>
        <w:spacing w:line="480" w:lineRule="auto"/>
        <w:jc w:val="both"/>
        <w:rPr>
          <w:lang w:val="sv-SE"/>
        </w:rPr>
      </w:pPr>
      <w:r w:rsidRPr="00044B5B">
        <w:rPr>
          <w:lang w:val="sv-SE"/>
        </w:rPr>
        <w:t>En energideklaration ger information om byggnaders energianvändning, och riktar sig bland annat till den som ska köpa eller hyra en bostad. En energideklaration görs av en oberoende expert på uppdrag av ägaren och är giltig i tio år.</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8:</w:t>
      </w:r>
    </w:p>
    <w:p w:rsidR="008A2514" w:rsidRPr="00044B5B" w:rsidRDefault="008A2514" w:rsidP="008A2514">
      <w:pPr>
        <w:spacing w:line="480" w:lineRule="auto"/>
        <w:jc w:val="both"/>
        <w:rPr>
          <w:i/>
          <w:lang w:val="sv-SE"/>
        </w:rPr>
      </w:pPr>
      <w:r w:rsidRPr="00044B5B">
        <w:rPr>
          <w:i/>
          <w:lang w:val="sv-SE"/>
        </w:rPr>
        <w:t>Energiskatt på el</w:t>
      </w:r>
    </w:p>
    <w:p w:rsidR="008A2514" w:rsidRPr="00044B5B" w:rsidRDefault="008A2514" w:rsidP="008A2514">
      <w:pPr>
        <w:spacing w:line="480" w:lineRule="auto"/>
        <w:jc w:val="both"/>
        <w:rPr>
          <w:lang w:val="sv-SE"/>
        </w:rPr>
      </w:pPr>
      <w:r w:rsidRPr="00044B5B">
        <w:rPr>
          <w:lang w:val="sv-SE"/>
        </w:rPr>
        <w:t>Den som producerar eller överför el ska normalt betala energiskatt på den elen.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9:</w:t>
      </w:r>
    </w:p>
    <w:p w:rsidR="008A2514" w:rsidRPr="00044B5B" w:rsidRDefault="008A2514" w:rsidP="008A2514">
      <w:pPr>
        <w:spacing w:line="480" w:lineRule="auto"/>
        <w:jc w:val="both"/>
        <w:rPr>
          <w:i/>
          <w:lang w:val="sv-SE"/>
        </w:rPr>
      </w:pPr>
      <w:r w:rsidRPr="00044B5B">
        <w:rPr>
          <w:i/>
          <w:lang w:val="sv-SE"/>
        </w:rPr>
        <w:lastRenderedPageBreak/>
        <w:t>Avdrag på energiskatten på el för vissa kommuner</w:t>
      </w:r>
    </w:p>
    <w:p w:rsidR="008A2514" w:rsidRPr="00044B5B" w:rsidRDefault="008A2514" w:rsidP="008A2514">
      <w:pPr>
        <w:spacing w:line="480" w:lineRule="auto"/>
        <w:jc w:val="both"/>
        <w:rPr>
          <w:lang w:val="sv-SE"/>
        </w:rPr>
      </w:pPr>
      <w:r w:rsidRPr="00044B5B">
        <w:rPr>
          <w:lang w:val="sv-SE"/>
        </w:rPr>
        <w:t>I vissa kommuner i norra Sverige ges ett avdrag på energiskatten för kunder som konsumerar el inom privathushåll och inom tjänstesektorn.</w:t>
      </w:r>
      <w:r w:rsidRPr="00044B5B" w:rsidDel="004E3005">
        <w:rPr>
          <w:lang w:val="sv-SE"/>
        </w:rPr>
        <w:t xml:space="preserve"> </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10:</w:t>
      </w:r>
    </w:p>
    <w:p w:rsidR="008A2514" w:rsidRPr="00044B5B" w:rsidRDefault="008A2514" w:rsidP="008A2514">
      <w:pPr>
        <w:spacing w:line="480" w:lineRule="auto"/>
        <w:jc w:val="both"/>
        <w:rPr>
          <w:i/>
          <w:lang w:val="sv-SE"/>
        </w:rPr>
      </w:pPr>
      <w:r w:rsidRPr="00044B5B">
        <w:rPr>
          <w:i/>
          <w:lang w:val="sv-SE"/>
        </w:rPr>
        <w:t>Avdrag på energiskatt för el som framställts från förnybara källor</w:t>
      </w:r>
    </w:p>
    <w:p w:rsidR="008A2514" w:rsidRPr="00044B5B" w:rsidRDefault="008A2514" w:rsidP="008A2514">
      <w:pPr>
        <w:spacing w:line="480" w:lineRule="auto"/>
        <w:jc w:val="both"/>
        <w:rPr>
          <w:lang w:val="sv-SE"/>
        </w:rPr>
      </w:pPr>
      <w:r w:rsidRPr="00044B5B">
        <w:rPr>
          <w:lang w:val="sv-SE"/>
        </w:rPr>
        <w:t>Den som framställt skattepliktig el från förnybara källor i en elproduktionsanläggning med en installerad generatoreffekt under 50 kW och där elen inte överförts till ett elnät har möjlighet att göra avdrag för energiskatt.</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11:</w:t>
      </w:r>
    </w:p>
    <w:p w:rsidR="008A2514" w:rsidRPr="00044B5B" w:rsidRDefault="008A2514" w:rsidP="008A2514">
      <w:pPr>
        <w:spacing w:line="480" w:lineRule="auto"/>
        <w:jc w:val="both"/>
        <w:rPr>
          <w:i/>
          <w:lang w:val="sv-SE"/>
        </w:rPr>
      </w:pPr>
      <w:r w:rsidRPr="00044B5B">
        <w:rPr>
          <w:i/>
          <w:lang w:val="sv-SE"/>
        </w:rPr>
        <w:t>Energikalkyl</w:t>
      </w:r>
    </w:p>
    <w:p w:rsidR="008A2514" w:rsidRPr="00044B5B" w:rsidRDefault="008A2514" w:rsidP="008A2514">
      <w:pPr>
        <w:spacing w:line="480" w:lineRule="auto"/>
        <w:jc w:val="both"/>
        <w:rPr>
          <w:lang w:val="sv-SE"/>
        </w:rPr>
      </w:pPr>
      <w:r w:rsidRPr="00044B5B">
        <w:rPr>
          <w:lang w:val="sv-SE"/>
        </w:rPr>
        <w:t>En energikalkyl är ett verktyg som ska hjälpa boende i villa och lägenhet att få en översikt över hemmets energianvändning och ger också förslag på åtgärder för att minska 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12:</w:t>
      </w:r>
    </w:p>
    <w:p w:rsidR="008A2514" w:rsidRPr="00044B5B" w:rsidRDefault="008A2514" w:rsidP="008A2514">
      <w:pPr>
        <w:spacing w:line="480" w:lineRule="auto"/>
        <w:jc w:val="both"/>
        <w:rPr>
          <w:i/>
          <w:lang w:val="sv-SE"/>
        </w:rPr>
      </w:pPr>
      <w:r w:rsidRPr="00044B5B">
        <w:rPr>
          <w:i/>
          <w:lang w:val="sv-SE"/>
        </w:rPr>
        <w:t>Kunskapsspridning genom Vindlov.se</w:t>
      </w:r>
    </w:p>
    <w:p w:rsidR="008A2514" w:rsidRPr="00044B5B" w:rsidRDefault="008A2514" w:rsidP="008A2514">
      <w:pPr>
        <w:spacing w:line="480" w:lineRule="auto"/>
        <w:jc w:val="both"/>
        <w:rPr>
          <w:lang w:val="sv-SE"/>
        </w:rPr>
      </w:pPr>
      <w:r w:rsidRPr="00044B5B">
        <w:rPr>
          <w:lang w:val="sv-SE"/>
        </w:rPr>
        <w:t>Vindlov.se är en webbplats om tillståndsfrågor för vindkraftverk. Här kan till exempel allt från en privatperson som är intresserad av att sätta upp ett mindre vindkraftverk hemma på gården till ett företag som vill anlägga en hel vindkraftpark till havs få information om hur tillståndsprocessen ser ut och vad man bör tänka på i olika faser i processen.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13:</w:t>
      </w:r>
    </w:p>
    <w:p w:rsidR="008A2514" w:rsidRPr="00044B5B" w:rsidRDefault="008A2514" w:rsidP="008A2514">
      <w:pPr>
        <w:spacing w:line="480" w:lineRule="auto"/>
        <w:jc w:val="both"/>
        <w:rPr>
          <w:i/>
          <w:lang w:val="sv-SE"/>
        </w:rPr>
      </w:pPr>
      <w:r w:rsidRPr="00044B5B">
        <w:rPr>
          <w:i/>
          <w:lang w:val="sv-SE"/>
        </w:rPr>
        <w:t>Bidrag till solceller – investeringsstöd</w:t>
      </w:r>
    </w:p>
    <w:p w:rsidR="008A2514" w:rsidRPr="00044B5B" w:rsidRDefault="008A2514" w:rsidP="008A2514">
      <w:pPr>
        <w:spacing w:line="480" w:lineRule="auto"/>
        <w:jc w:val="both"/>
        <w:rPr>
          <w:lang w:val="sv-SE"/>
        </w:rPr>
      </w:pPr>
      <w:r w:rsidRPr="00044B5B">
        <w:rPr>
          <w:lang w:val="sv-SE"/>
        </w:rPr>
        <w:lastRenderedPageBreak/>
        <w:t>Idag kan den som vill få investeringsstöd för att reducera sina kostnader vid investering i en solcellsanläggning. Investeringsstödet kan ej kombineras med rotavdrag.</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14:</w:t>
      </w:r>
    </w:p>
    <w:p w:rsidR="008A2514" w:rsidRPr="00044B5B" w:rsidRDefault="008A2514" w:rsidP="008A2514">
      <w:pPr>
        <w:spacing w:line="480" w:lineRule="auto"/>
        <w:jc w:val="both"/>
        <w:rPr>
          <w:i/>
          <w:lang w:val="sv-SE"/>
        </w:rPr>
      </w:pPr>
      <w:r w:rsidRPr="00044B5B">
        <w:rPr>
          <w:i/>
          <w:lang w:val="sv-SE"/>
        </w:rPr>
        <w:t>Bidrag till solceller – rotavdrag</w:t>
      </w:r>
    </w:p>
    <w:p w:rsidR="008A2514" w:rsidRPr="00044B5B" w:rsidRDefault="008A2514" w:rsidP="008A2514">
      <w:pPr>
        <w:spacing w:line="480" w:lineRule="auto"/>
        <w:jc w:val="both"/>
        <w:rPr>
          <w:lang w:val="sv-SE"/>
        </w:rPr>
      </w:pPr>
      <w:r w:rsidRPr="00044B5B">
        <w:rPr>
          <w:lang w:val="sv-SE"/>
        </w:rPr>
        <w:t>Idag kan den som vill göra rotavdrag för att reducera sina kostnader vid investering i en solcellsanläggning. Rotavdraget kan ej kombineras med investeringsstöd.</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15:</w:t>
      </w:r>
    </w:p>
    <w:p w:rsidR="008A2514" w:rsidRPr="00044B5B" w:rsidRDefault="008A2514" w:rsidP="008A2514">
      <w:pPr>
        <w:spacing w:line="480" w:lineRule="auto"/>
        <w:jc w:val="both"/>
        <w:rPr>
          <w:i/>
          <w:lang w:val="sv-SE"/>
        </w:rPr>
      </w:pPr>
      <w:r w:rsidRPr="00044B5B">
        <w:rPr>
          <w:i/>
          <w:lang w:val="sv-SE"/>
        </w:rPr>
        <w:t xml:space="preserve">Klimatmärkning av mat och blommor </w:t>
      </w:r>
    </w:p>
    <w:p w:rsidR="008A2514" w:rsidRPr="00044B5B" w:rsidRDefault="008A2514" w:rsidP="008A2514">
      <w:pPr>
        <w:spacing w:line="480" w:lineRule="auto"/>
        <w:jc w:val="both"/>
        <w:rPr>
          <w:lang w:val="sv-SE"/>
        </w:rPr>
      </w:pPr>
      <w:r w:rsidRPr="00044B5B">
        <w:rPr>
          <w:lang w:val="sv-SE"/>
        </w:rPr>
        <w:t>Svenskt Sigill och KRAV har, tillsammans med experter i Sverige tagit fram regler för en klimatcertifiering av livsmedel och blommor.</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16:</w:t>
      </w:r>
    </w:p>
    <w:p w:rsidR="008A2514" w:rsidRPr="00044B5B" w:rsidRDefault="008A2514" w:rsidP="008A2514">
      <w:pPr>
        <w:spacing w:line="480" w:lineRule="auto"/>
        <w:jc w:val="both"/>
        <w:rPr>
          <w:i/>
          <w:lang w:val="sv-SE"/>
        </w:rPr>
      </w:pPr>
      <w:r w:rsidRPr="00044B5B">
        <w:rPr>
          <w:i/>
          <w:lang w:val="sv-SE"/>
        </w:rPr>
        <w:t>Energimärkning på produkter</w:t>
      </w:r>
    </w:p>
    <w:p w:rsidR="008A2514" w:rsidRPr="00044B5B" w:rsidRDefault="008A2514" w:rsidP="008A2514">
      <w:pPr>
        <w:spacing w:line="480" w:lineRule="auto"/>
        <w:jc w:val="both"/>
        <w:rPr>
          <w:lang w:val="sv-SE"/>
        </w:rPr>
      </w:pPr>
      <w:r w:rsidRPr="00044B5B">
        <w:rPr>
          <w:lang w:val="sv-SE"/>
        </w:rPr>
        <w:t>Energimärkning på produkter ska underlätta att jämföra olika modeller och fabrikat och visar även andra viktiga egenskaper som bildstorlek på tv-apparater, volym på kylar och frysar samt kapacitet för tvättmaskiner och diskmaskiner. Energimärkningsskalan går från rött till grönt, där grönt visar det energieffektivaste valet.</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17:</w:t>
      </w:r>
    </w:p>
    <w:p w:rsidR="008A2514" w:rsidRPr="00044B5B" w:rsidRDefault="008A2514" w:rsidP="008A2514">
      <w:pPr>
        <w:spacing w:line="480" w:lineRule="auto"/>
        <w:jc w:val="both"/>
        <w:rPr>
          <w:i/>
          <w:lang w:val="sv-SE"/>
        </w:rPr>
      </w:pPr>
      <w:r w:rsidRPr="00044B5B">
        <w:rPr>
          <w:i/>
          <w:lang w:val="sv-SE"/>
        </w:rPr>
        <w:t>Fri parkering för miljöbilar</w:t>
      </w:r>
    </w:p>
    <w:p w:rsidR="008A2514" w:rsidRPr="00044B5B" w:rsidRDefault="008A2514" w:rsidP="008A2514">
      <w:pPr>
        <w:spacing w:line="480" w:lineRule="auto"/>
        <w:jc w:val="both"/>
        <w:rPr>
          <w:lang w:val="sv-SE"/>
        </w:rPr>
      </w:pPr>
      <w:r w:rsidRPr="00044B5B">
        <w:rPr>
          <w:lang w:val="sv-SE"/>
        </w:rPr>
        <w:t>I vissa kommuner är det billigare eller helt gratis att parkera ett fordon som uppfyller lokala krav för en miljöbil.</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lastRenderedPageBreak/>
        <w:t>Item 18:</w:t>
      </w:r>
    </w:p>
    <w:p w:rsidR="008A2514" w:rsidRPr="00044B5B" w:rsidRDefault="008A2514" w:rsidP="008A2514">
      <w:pPr>
        <w:spacing w:line="480" w:lineRule="auto"/>
        <w:jc w:val="both"/>
        <w:rPr>
          <w:i/>
          <w:lang w:val="sv-SE"/>
        </w:rPr>
      </w:pPr>
      <w:r w:rsidRPr="00044B5B">
        <w:rPr>
          <w:i/>
          <w:lang w:val="sv-SE"/>
        </w:rPr>
        <w:t>Energikrav för byggnader</w:t>
      </w:r>
    </w:p>
    <w:p w:rsidR="008A2514" w:rsidRPr="00044B5B" w:rsidRDefault="008A2514" w:rsidP="008A2514">
      <w:pPr>
        <w:spacing w:line="480" w:lineRule="auto"/>
        <w:jc w:val="both"/>
        <w:rPr>
          <w:lang w:val="sv-SE"/>
        </w:rPr>
      </w:pPr>
      <w:r w:rsidRPr="00044B5B">
        <w:rPr>
          <w:lang w:val="sv-SE"/>
        </w:rPr>
        <w:t>I byggreglerna ställs ett övergripande krav som innebär att en byggnad inte får använda mer än ett visst antal kilowattimmar primärenergi per kvadratmeter och år. Primärenergi omfattar den energi som vid normalt brukande levereras till byggnaden för uppvärmning, nerkylning, tappvarmvatten och fastighetsenergi.</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19:</w:t>
      </w:r>
    </w:p>
    <w:p w:rsidR="008A2514" w:rsidRPr="00044B5B" w:rsidRDefault="008A2514" w:rsidP="008A2514">
      <w:pPr>
        <w:spacing w:line="480" w:lineRule="auto"/>
        <w:jc w:val="both"/>
        <w:rPr>
          <w:i/>
          <w:lang w:val="sv-SE"/>
        </w:rPr>
      </w:pPr>
      <w:r w:rsidRPr="00044B5B">
        <w:rPr>
          <w:i/>
          <w:lang w:val="sv-SE"/>
        </w:rPr>
        <w:t>Effektkrav för byggnader</w:t>
      </w:r>
    </w:p>
    <w:p w:rsidR="008A2514" w:rsidRPr="00044B5B" w:rsidRDefault="008A2514" w:rsidP="008A2514">
      <w:pPr>
        <w:spacing w:line="480" w:lineRule="auto"/>
        <w:jc w:val="both"/>
        <w:rPr>
          <w:lang w:val="sv-SE"/>
        </w:rPr>
      </w:pPr>
      <w:r w:rsidRPr="00044B5B">
        <w:rPr>
          <w:lang w:val="sv-SE"/>
        </w:rPr>
        <w:t>För nya byggnader ställs krav på högst tillåten installerad eleffekt för uppvärmning. Med installerad eleffekt för uppvärmning avses den eleffekt som behövs för själva uppvärmningsanordningen inklusive den effekt som behövs för uppvärmning av ventilationsluft.</w:t>
      </w:r>
      <w:r w:rsidRPr="00044B5B" w:rsidDel="001B1F52">
        <w:rPr>
          <w:lang w:val="sv-SE"/>
        </w:rPr>
        <w:t xml:space="preserve"> </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20:</w:t>
      </w:r>
    </w:p>
    <w:p w:rsidR="008A2514" w:rsidRPr="00044B5B" w:rsidRDefault="008A2514" w:rsidP="008A2514">
      <w:pPr>
        <w:spacing w:line="480" w:lineRule="auto"/>
        <w:jc w:val="both"/>
        <w:rPr>
          <w:i/>
          <w:lang w:val="sv-SE"/>
        </w:rPr>
      </w:pPr>
      <w:r w:rsidRPr="00044B5B">
        <w:rPr>
          <w:i/>
          <w:lang w:val="sv-SE"/>
        </w:rPr>
        <w:t>Kommunal reglering av småskalig vedeldning</w:t>
      </w:r>
    </w:p>
    <w:p w:rsidR="008A2514" w:rsidRPr="00044B5B" w:rsidRDefault="008A2514" w:rsidP="008A2514">
      <w:pPr>
        <w:spacing w:line="480" w:lineRule="auto"/>
        <w:jc w:val="both"/>
        <w:rPr>
          <w:lang w:val="sv-SE"/>
        </w:rPr>
      </w:pPr>
      <w:r w:rsidRPr="00044B5B">
        <w:rPr>
          <w:lang w:val="sv-SE"/>
        </w:rPr>
        <w:t xml:space="preserve">Kommunen ansvarar för den lokala luftkvaliteten och kan påverka förekomsten av vedeldningsutrustningar genom vad som tillåts i bygglovsansökningar. Kommunen kan även ange regler för vedeldning i lokala föreskrifter om miljöfarlig verksamhet och hälsoskydd. </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21:</w:t>
      </w:r>
    </w:p>
    <w:p w:rsidR="008A2514" w:rsidRPr="00044B5B" w:rsidRDefault="008A2514" w:rsidP="008A2514">
      <w:pPr>
        <w:spacing w:line="480" w:lineRule="auto"/>
        <w:jc w:val="both"/>
        <w:rPr>
          <w:i/>
          <w:lang w:val="sv-SE"/>
        </w:rPr>
      </w:pPr>
      <w:r w:rsidRPr="00044B5B">
        <w:rPr>
          <w:i/>
          <w:lang w:val="sv-SE"/>
        </w:rPr>
        <w:t>Skattebefrielse för biodrivmedel</w:t>
      </w:r>
    </w:p>
    <w:p w:rsidR="008A2514" w:rsidRPr="00044B5B" w:rsidRDefault="008A2514" w:rsidP="008A2514">
      <w:pPr>
        <w:spacing w:line="480" w:lineRule="auto"/>
        <w:jc w:val="both"/>
        <w:rPr>
          <w:lang w:val="sv-SE"/>
        </w:rPr>
      </w:pPr>
      <w:r w:rsidRPr="00044B5B">
        <w:rPr>
          <w:lang w:val="sv-SE"/>
        </w:rPr>
        <w:t>I deklarationerna för skatt på bränsle kan den som har sålt eller förbrukat biodrivmedel, alltså drivmedel som är tillverkat av förnybara råvaror, som motorbränsle göra avdrag för energiskatt och koldioxidskatt. Avdragets storlek varierar beroende på typ av drivmedel.</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22:</w:t>
      </w:r>
    </w:p>
    <w:p w:rsidR="008A2514" w:rsidRPr="00044B5B" w:rsidRDefault="008A2514" w:rsidP="008A2514">
      <w:pPr>
        <w:spacing w:line="480" w:lineRule="auto"/>
        <w:jc w:val="both"/>
        <w:rPr>
          <w:i/>
          <w:lang w:val="sv-SE"/>
        </w:rPr>
      </w:pPr>
      <w:r w:rsidRPr="00044B5B">
        <w:rPr>
          <w:i/>
          <w:lang w:val="sv-SE"/>
        </w:rPr>
        <w:t>Rapportering av mätning av överförd el</w:t>
      </w:r>
    </w:p>
    <w:p w:rsidR="008A2514" w:rsidRPr="00044B5B" w:rsidRDefault="008A2514" w:rsidP="008A2514">
      <w:pPr>
        <w:spacing w:line="480" w:lineRule="auto"/>
        <w:jc w:val="both"/>
        <w:rPr>
          <w:lang w:val="sv-SE"/>
        </w:rPr>
      </w:pPr>
      <w:r w:rsidRPr="00044B5B">
        <w:rPr>
          <w:lang w:val="sv-SE"/>
        </w:rPr>
        <w:t>Elnätsföretag ska rapportera mätresultat till elanvändaren och elleverantören. Mätresultatet ska rapporteras per månad och avse mätvärden registrerade per timme.</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23:</w:t>
      </w:r>
    </w:p>
    <w:p w:rsidR="008A2514" w:rsidRPr="00044B5B" w:rsidRDefault="008A2514" w:rsidP="008A2514">
      <w:pPr>
        <w:spacing w:line="480" w:lineRule="auto"/>
        <w:jc w:val="both"/>
        <w:rPr>
          <w:i/>
          <w:lang w:val="sv-SE"/>
        </w:rPr>
      </w:pPr>
      <w:r w:rsidRPr="00044B5B">
        <w:rPr>
          <w:i/>
          <w:lang w:val="sv-SE"/>
        </w:rPr>
        <w:t>Trängselskatt för fordonstrafik</w:t>
      </w:r>
    </w:p>
    <w:p w:rsidR="008A2514" w:rsidRPr="00044B5B" w:rsidRDefault="008A2514" w:rsidP="008A2514">
      <w:pPr>
        <w:spacing w:line="480" w:lineRule="auto"/>
        <w:jc w:val="both"/>
        <w:rPr>
          <w:lang w:val="sv-SE"/>
        </w:rPr>
      </w:pPr>
      <w:r w:rsidRPr="00044B5B">
        <w:rPr>
          <w:lang w:val="sv-SE"/>
        </w:rPr>
        <w:t>Vissa svenska städer har idag trängelsskatt. Trängelskatt innebär att en avgift tas ut för svensk- och utlandsregistrerade fordon som passerar betalstationer under vissa tider på dygnet.</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24:</w:t>
      </w:r>
    </w:p>
    <w:p w:rsidR="008A2514" w:rsidRPr="00044B5B" w:rsidRDefault="008A2514" w:rsidP="008A2514">
      <w:pPr>
        <w:spacing w:line="480" w:lineRule="auto"/>
        <w:jc w:val="both"/>
        <w:rPr>
          <w:i/>
          <w:lang w:val="sv-SE"/>
        </w:rPr>
      </w:pPr>
      <w:r w:rsidRPr="00044B5B">
        <w:rPr>
          <w:i/>
          <w:lang w:val="sv-SE"/>
        </w:rPr>
        <w:t>Ursprungsgarantier för el</w:t>
      </w:r>
    </w:p>
    <w:p w:rsidR="008A2514" w:rsidRPr="00044B5B" w:rsidRDefault="008A2514" w:rsidP="008A2514">
      <w:pPr>
        <w:spacing w:line="480" w:lineRule="auto"/>
        <w:jc w:val="both"/>
        <w:rPr>
          <w:lang w:val="sv-SE"/>
        </w:rPr>
      </w:pPr>
      <w:r w:rsidRPr="00044B5B">
        <w:rPr>
          <w:lang w:val="sv-SE"/>
        </w:rPr>
        <w:t xml:space="preserve">Ursprungsgarantier är elektroniska handlingar som visar vilken typ av energikälla som elen kommer ifrån. Ursprungsgarantier kan köpas och säljas på en öppen marknad som omfattar elproducenter och elleverantörer. </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25:</w:t>
      </w:r>
    </w:p>
    <w:p w:rsidR="008A2514" w:rsidRPr="00044B5B" w:rsidRDefault="008A2514" w:rsidP="008A2514">
      <w:pPr>
        <w:spacing w:line="480" w:lineRule="auto"/>
        <w:jc w:val="both"/>
        <w:rPr>
          <w:i/>
          <w:lang w:val="sv-SE"/>
        </w:rPr>
      </w:pPr>
      <w:r w:rsidRPr="00044B5B">
        <w:rPr>
          <w:i/>
          <w:lang w:val="sv-SE"/>
        </w:rPr>
        <w:t>Information om livsmedels ursprung</w:t>
      </w:r>
    </w:p>
    <w:p w:rsidR="008A2514" w:rsidRPr="00044B5B" w:rsidRDefault="008A2514" w:rsidP="008A2514">
      <w:pPr>
        <w:spacing w:line="480" w:lineRule="auto"/>
        <w:jc w:val="both"/>
        <w:rPr>
          <w:lang w:val="sv-SE"/>
        </w:rPr>
      </w:pPr>
      <w:r w:rsidRPr="00044B5B">
        <w:rPr>
          <w:lang w:val="sv-SE"/>
        </w:rPr>
        <w:t>Fisk, kött av nöt, gris, lamm, get och fågel och vissa andra livsmedel som exempelvis honung, frukt och olivolja ska enligt reglerna alltid märkas med ursprung, det vill säga märkningen ska visa var produkterna kommer från. För andra livsmedel ska ursprung anges om konsumenten annars kan bli vilseledd.</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26:</w:t>
      </w:r>
    </w:p>
    <w:p w:rsidR="008A2514" w:rsidRPr="00044B5B" w:rsidRDefault="008A2514" w:rsidP="008A2514">
      <w:pPr>
        <w:spacing w:line="480" w:lineRule="auto"/>
        <w:jc w:val="both"/>
        <w:rPr>
          <w:i/>
          <w:lang w:val="sv-SE"/>
        </w:rPr>
      </w:pPr>
      <w:r w:rsidRPr="00044B5B">
        <w:rPr>
          <w:i/>
          <w:lang w:val="sv-SE"/>
        </w:rPr>
        <w:lastRenderedPageBreak/>
        <w:t>Innehållsförteckning för livsmedel</w:t>
      </w:r>
    </w:p>
    <w:p w:rsidR="008A2514" w:rsidRPr="00044B5B" w:rsidRDefault="008A2514" w:rsidP="008A2514">
      <w:pPr>
        <w:spacing w:line="480" w:lineRule="auto"/>
        <w:jc w:val="both"/>
        <w:rPr>
          <w:lang w:val="sv-SE"/>
        </w:rPr>
      </w:pPr>
      <w:r w:rsidRPr="00044B5B">
        <w:rPr>
          <w:lang w:val="sv-SE"/>
        </w:rPr>
        <w:t>De råvaror som har använts vid tillverkningen av livsmedel ska anges med sina namn i ingrediensförteckningen. Vanligtvis ska råvarans ursprung framgå av namnet. För vissa ingredienser får dock kategoribeteckningar användas - oavsett råvarans ursprung. Det kan till exempel stå ost istället för varje specifik ostsort.</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27:</w:t>
      </w:r>
    </w:p>
    <w:p w:rsidR="008A2514" w:rsidRPr="00044B5B" w:rsidRDefault="008A2514" w:rsidP="008A2514">
      <w:pPr>
        <w:spacing w:line="480" w:lineRule="auto"/>
        <w:jc w:val="both"/>
        <w:rPr>
          <w:i/>
          <w:lang w:val="sv-SE"/>
        </w:rPr>
      </w:pPr>
      <w:r w:rsidRPr="00044B5B">
        <w:rPr>
          <w:i/>
          <w:lang w:val="sv-SE"/>
        </w:rPr>
        <w:t>Malus</w:t>
      </w:r>
    </w:p>
    <w:p w:rsidR="008A2514" w:rsidRPr="00044B5B" w:rsidRDefault="008A2514" w:rsidP="008A2514">
      <w:pPr>
        <w:spacing w:line="480" w:lineRule="auto"/>
        <w:jc w:val="both"/>
        <w:rPr>
          <w:lang w:val="sv-SE"/>
        </w:rPr>
      </w:pPr>
      <w:r w:rsidRPr="00044B5B">
        <w:rPr>
          <w:lang w:val="sv-SE"/>
        </w:rPr>
        <w:t>Malus innebär en förhöjd fordonsskatt under de tre första åren för 1) bensin- och dieseldrivna personbilar klass I och II, lätta bussar och lätta lastbilar som har fordonsår 2018 eller senare, 2) tas i trafik för första gången den 1 juli 2018 eller senare, 3) släpper ut över 95 gram koldioxid per kilometer vid blandad körning och 4) inte har alternativt drivmedel.</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28:</w:t>
      </w:r>
    </w:p>
    <w:p w:rsidR="008A2514" w:rsidRPr="00044B5B" w:rsidRDefault="008A2514" w:rsidP="008A2514">
      <w:pPr>
        <w:spacing w:line="480" w:lineRule="auto"/>
        <w:jc w:val="both"/>
        <w:rPr>
          <w:i/>
          <w:lang w:val="sv-SE"/>
        </w:rPr>
      </w:pPr>
      <w:r w:rsidRPr="00044B5B">
        <w:rPr>
          <w:i/>
          <w:lang w:val="sv-SE"/>
        </w:rPr>
        <w:t>Stöd till energilagring</w:t>
      </w:r>
    </w:p>
    <w:p w:rsidR="008A2514" w:rsidRPr="00044B5B" w:rsidRDefault="008A2514" w:rsidP="008A2514">
      <w:pPr>
        <w:spacing w:line="480" w:lineRule="auto"/>
        <w:jc w:val="both"/>
        <w:rPr>
          <w:lang w:val="sv-SE"/>
        </w:rPr>
      </w:pPr>
      <w:r w:rsidRPr="00044B5B">
        <w:rPr>
          <w:lang w:val="sv-SE"/>
        </w:rPr>
        <w:t>Den som vill lagra sin egenproducerade el kan söka ett bidrag för detta. För att få bidraget ska energilagringssystemet vara kopplat till en anläggning för egenproduktion av förnybar el. Anläggningen ska vara ansluten till elnätet. Det är inte möjligt att kombinera bidraget med annat offentligt stöd för samma åtgärd.</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29:</w:t>
      </w:r>
    </w:p>
    <w:p w:rsidR="008A2514" w:rsidRPr="00044B5B" w:rsidRDefault="008A2514" w:rsidP="008A2514">
      <w:pPr>
        <w:spacing w:line="480" w:lineRule="auto"/>
        <w:jc w:val="both"/>
        <w:rPr>
          <w:i/>
          <w:lang w:val="sv-SE"/>
        </w:rPr>
      </w:pPr>
      <w:r w:rsidRPr="00044B5B">
        <w:rPr>
          <w:i/>
          <w:lang w:val="sv-SE"/>
        </w:rPr>
        <w:t>Handel med utsläppsrätter</w:t>
      </w:r>
    </w:p>
    <w:p w:rsidR="008A2514" w:rsidRPr="00044B5B" w:rsidRDefault="008A2514" w:rsidP="008A2514">
      <w:pPr>
        <w:spacing w:line="480" w:lineRule="auto"/>
        <w:jc w:val="both"/>
        <w:rPr>
          <w:lang w:val="sv-SE"/>
        </w:rPr>
      </w:pPr>
      <w:r w:rsidRPr="00044B5B">
        <w:rPr>
          <w:lang w:val="sv-SE"/>
        </w:rPr>
        <w:t xml:space="preserve">EU:s system för handel med utsläppsrätter bygger på EU-gemensamma regler och omfattar alla medlemsländer samt Norge, Island och Liechtenstein. För att få släppa ut växthusgaser måste deltagarna i systemet ha giltigt tillstånd med tillhörande övervakningsplan samt utsläppsrätter.  </w:t>
      </w:r>
      <w:r w:rsidRPr="00044B5B">
        <w:rPr>
          <w:lang w:val="sv-SE"/>
        </w:rPr>
        <w:lastRenderedPageBreak/>
        <w:t>Varje utsläppsrätt ger rätt att släppa ut motsvarande 1 ton koldioxidekvivalenter. Även enskilda personer och organisationer kan köpa och sälja utsläppsrätter. Utsläppsrätterna kan köpas direkt från ett företag eller via någon av de många mäklare, börser eller andra förmedlare som etablerat sig på marknaden.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30:</w:t>
      </w:r>
    </w:p>
    <w:p w:rsidR="008A2514" w:rsidRPr="00044B5B" w:rsidRDefault="008A2514" w:rsidP="008A2514">
      <w:pPr>
        <w:spacing w:line="480" w:lineRule="auto"/>
        <w:jc w:val="both"/>
        <w:rPr>
          <w:i/>
          <w:lang w:val="sv-SE"/>
        </w:rPr>
      </w:pPr>
      <w:r w:rsidRPr="00044B5B">
        <w:rPr>
          <w:i/>
          <w:lang w:val="sv-SE"/>
        </w:rPr>
        <w:t>Bidrag till el-cykel/moped/motorcykel</w:t>
      </w:r>
    </w:p>
    <w:p w:rsidR="008A2514" w:rsidRPr="00044B5B" w:rsidRDefault="008A2514" w:rsidP="008A2514">
      <w:pPr>
        <w:spacing w:line="480" w:lineRule="auto"/>
        <w:jc w:val="both"/>
        <w:rPr>
          <w:lang w:val="sv-SE"/>
        </w:rPr>
      </w:pPr>
      <w:r w:rsidRPr="00044B5B">
        <w:rPr>
          <w:lang w:val="sv-SE"/>
        </w:rPr>
        <w:t>Det finns bidrag att söka för inköp av eldrivna cyklar, eldrivna mopeder eller eldrivna motorcyklar. Bidrag får endast ges till en privatperson som är folkbokförd i Sverige och om den eldrivna cykeln, eldrivna mopeden eller eldrivna motorcykeln är ny, kan identifieras med ramnummer, och inte har fått annat offentligt stöd.</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31:</w:t>
      </w:r>
    </w:p>
    <w:p w:rsidR="008A2514" w:rsidRPr="00044B5B" w:rsidRDefault="008A2514" w:rsidP="008A2514">
      <w:pPr>
        <w:spacing w:line="480" w:lineRule="auto"/>
        <w:jc w:val="both"/>
        <w:rPr>
          <w:i/>
          <w:lang w:val="sv-SE"/>
        </w:rPr>
      </w:pPr>
      <w:r w:rsidRPr="00044B5B">
        <w:rPr>
          <w:i/>
          <w:lang w:val="sv-SE"/>
        </w:rPr>
        <w:t>Bidrag till el-laddstation – rotavdrag</w:t>
      </w:r>
    </w:p>
    <w:p w:rsidR="008A2514" w:rsidRPr="00044B5B" w:rsidRDefault="008A2514" w:rsidP="008A2514">
      <w:pPr>
        <w:spacing w:line="480" w:lineRule="auto"/>
        <w:jc w:val="both"/>
        <w:rPr>
          <w:lang w:val="sv-SE"/>
        </w:rPr>
      </w:pPr>
      <w:r w:rsidRPr="00044B5B">
        <w:rPr>
          <w:lang w:val="sv-SE"/>
        </w:rPr>
        <w:t>Privatpersoner kan söka ROT-avdrag för att installera en laddstation för elbil eller laddhybridbil vid bostaden.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32:</w:t>
      </w:r>
    </w:p>
    <w:p w:rsidR="008A2514" w:rsidRPr="00044B5B" w:rsidRDefault="008A2514" w:rsidP="008A2514">
      <w:pPr>
        <w:spacing w:line="480" w:lineRule="auto"/>
        <w:jc w:val="both"/>
        <w:rPr>
          <w:i/>
          <w:lang w:val="sv-SE"/>
        </w:rPr>
      </w:pPr>
      <w:r w:rsidRPr="00044B5B">
        <w:rPr>
          <w:i/>
          <w:lang w:val="sv-SE"/>
        </w:rPr>
        <w:t>Bidrag till el-laddstation – installationsstöd</w:t>
      </w:r>
    </w:p>
    <w:p w:rsidR="008A2514" w:rsidRPr="00044B5B" w:rsidRDefault="008A2514" w:rsidP="008A2514">
      <w:pPr>
        <w:spacing w:line="480" w:lineRule="auto"/>
        <w:jc w:val="both"/>
        <w:rPr>
          <w:lang w:val="sv-SE"/>
        </w:rPr>
      </w:pPr>
      <w:r w:rsidRPr="00044B5B">
        <w:rPr>
          <w:lang w:val="sv-SE"/>
        </w:rPr>
        <w:t>Privatpersoner kan söka ett bidrag - ett så kallat installationsstöd - för att installera en laddstation för elbil eller laddhybridbil vid bostaden.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33:</w:t>
      </w:r>
    </w:p>
    <w:p w:rsidR="008A2514" w:rsidRPr="00044B5B" w:rsidRDefault="008A2514" w:rsidP="008A2514">
      <w:pPr>
        <w:spacing w:line="480" w:lineRule="auto"/>
        <w:jc w:val="both"/>
        <w:rPr>
          <w:i/>
          <w:lang w:val="sv-SE"/>
        </w:rPr>
      </w:pPr>
      <w:r w:rsidRPr="00044B5B">
        <w:rPr>
          <w:i/>
          <w:lang w:val="sv-SE"/>
        </w:rPr>
        <w:t>Flygskatt</w:t>
      </w:r>
    </w:p>
    <w:p w:rsidR="008A2514" w:rsidRPr="00044B5B" w:rsidRDefault="008A2514" w:rsidP="008A2514">
      <w:pPr>
        <w:spacing w:line="480" w:lineRule="auto"/>
        <w:jc w:val="both"/>
        <w:rPr>
          <w:lang w:val="sv-SE"/>
        </w:rPr>
      </w:pPr>
      <w:r w:rsidRPr="00044B5B">
        <w:rPr>
          <w:lang w:val="sv-SE"/>
        </w:rPr>
        <w:lastRenderedPageBreak/>
        <w:t>Flygföretag som utför flygningar från flygplatser i Sverige, i flygplan som är godkända för fler än tio passagerare, ska betala flygskatt. Flygföretaget blir skyldigt att betala skatten när ett flygplan lyfter från en svensk flygplats, och gäller både inrikes- och utrikesresor. Hur mycket flygskatt som ska betalas per passagerare beror på flygresans slutdestination.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34:</w:t>
      </w:r>
    </w:p>
    <w:p w:rsidR="008A2514" w:rsidRPr="00044B5B" w:rsidRDefault="008A2514" w:rsidP="008A2514">
      <w:pPr>
        <w:spacing w:line="480" w:lineRule="auto"/>
        <w:jc w:val="both"/>
        <w:rPr>
          <w:i/>
          <w:lang w:val="sv-SE"/>
        </w:rPr>
      </w:pPr>
      <w:r w:rsidRPr="00044B5B">
        <w:rPr>
          <w:i/>
          <w:lang w:val="sv-SE"/>
        </w:rPr>
        <w:t>Renhållningsavgift</w:t>
      </w:r>
    </w:p>
    <w:p w:rsidR="008A2514" w:rsidRPr="00044B5B" w:rsidRDefault="008A2514" w:rsidP="008A2514">
      <w:pPr>
        <w:spacing w:line="480" w:lineRule="auto"/>
        <w:jc w:val="both"/>
        <w:rPr>
          <w:lang w:val="sv-SE"/>
        </w:rPr>
      </w:pPr>
      <w:r w:rsidRPr="00044B5B">
        <w:rPr>
          <w:lang w:val="sv-SE"/>
        </w:rPr>
        <w:t>Fastighetsägare betalar en renhållningsavgift, som bestäms av kommunen. Renhållningsavgiften kan bli lägre om man använder varmkompost, sorterar ut förpackningar och tidningar eller delar kärl med en granne.</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35:</w:t>
      </w:r>
    </w:p>
    <w:p w:rsidR="008A2514" w:rsidRPr="00044B5B" w:rsidRDefault="008A2514" w:rsidP="008A2514">
      <w:pPr>
        <w:spacing w:line="480" w:lineRule="auto"/>
        <w:jc w:val="both"/>
        <w:rPr>
          <w:i/>
          <w:lang w:val="sv-SE"/>
        </w:rPr>
      </w:pPr>
      <w:r w:rsidRPr="00044B5B">
        <w:rPr>
          <w:i/>
          <w:lang w:val="sv-SE"/>
        </w:rPr>
        <w:t>Femårig skattebefrielse för miljöbilar</w:t>
      </w:r>
    </w:p>
    <w:p w:rsidR="008A2514" w:rsidRPr="00044B5B" w:rsidRDefault="008A2514" w:rsidP="008A2514">
      <w:pPr>
        <w:spacing w:line="480" w:lineRule="auto"/>
        <w:jc w:val="both"/>
        <w:rPr>
          <w:lang w:val="sv-SE"/>
        </w:rPr>
      </w:pPr>
      <w:r w:rsidRPr="00044B5B">
        <w:rPr>
          <w:lang w:val="sv-SE"/>
        </w:rPr>
        <w:t>Personbilar, husbilar, lätta lastbilar och lätta bussar som blivit skattepliktiga för första gången före den 1 juli 2018 och som uppfyller vissa utsläppskrav befrias från fordonsskatt under de fem första åren från det att fordonet blev skattepliktigt för första gången.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36:</w:t>
      </w:r>
    </w:p>
    <w:p w:rsidR="008A2514" w:rsidRPr="00044B5B" w:rsidRDefault="008A2514" w:rsidP="008A2514">
      <w:pPr>
        <w:spacing w:line="480" w:lineRule="auto"/>
        <w:jc w:val="both"/>
        <w:rPr>
          <w:i/>
          <w:lang w:val="sv-SE"/>
        </w:rPr>
      </w:pPr>
      <w:r w:rsidRPr="00044B5B">
        <w:rPr>
          <w:i/>
          <w:lang w:val="sv-SE"/>
        </w:rPr>
        <w:t>Elcertifikat</w:t>
      </w:r>
    </w:p>
    <w:p w:rsidR="008A2514" w:rsidRPr="00044B5B" w:rsidRDefault="008A2514" w:rsidP="008A2514">
      <w:pPr>
        <w:spacing w:line="480" w:lineRule="auto"/>
        <w:jc w:val="both"/>
        <w:rPr>
          <w:lang w:val="sv-SE"/>
        </w:rPr>
      </w:pPr>
      <w:r w:rsidRPr="00044B5B">
        <w:rPr>
          <w:lang w:val="sv-SE"/>
        </w:rPr>
        <w:t>Producent av egen el från solceller kan ansöka om elcertifikat. För varje producerad megawattimme (MWh) förnybar el kan den som producerar el få ett elcertifikat av staten. Elcertifikatet kan sedan säljas på den öppna marknaden.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37:</w:t>
      </w:r>
    </w:p>
    <w:p w:rsidR="008A2514" w:rsidRPr="00044B5B" w:rsidRDefault="008A2514" w:rsidP="008A2514">
      <w:pPr>
        <w:spacing w:line="480" w:lineRule="auto"/>
        <w:jc w:val="both"/>
        <w:rPr>
          <w:i/>
          <w:lang w:val="sv-SE"/>
        </w:rPr>
      </w:pPr>
      <w:r w:rsidRPr="00044B5B">
        <w:rPr>
          <w:i/>
          <w:lang w:val="sv-SE"/>
        </w:rPr>
        <w:t>Skattereduktion för mikroproduktion av förnybar el</w:t>
      </w:r>
    </w:p>
    <w:p w:rsidR="008A2514" w:rsidRPr="00044B5B" w:rsidRDefault="008A2514" w:rsidP="008A2514">
      <w:pPr>
        <w:spacing w:line="480" w:lineRule="auto"/>
        <w:jc w:val="both"/>
        <w:rPr>
          <w:lang w:val="sv-SE"/>
        </w:rPr>
      </w:pPr>
      <w:r w:rsidRPr="00044B5B">
        <w:rPr>
          <w:lang w:val="sv-SE"/>
        </w:rPr>
        <w:lastRenderedPageBreak/>
        <w:t>Den vars fastighets solceller eller vindkraftverk producerar mer el än den förbrukar, har under vissa förutsättningar rätt till skattereduktion för den överskottsel som matas in till elnätet. Personen kan även sälja överskottsproduktionen till ett valfritt elhandelsföretag och dessutom få en mindre ersättning från sitt elnätsföretag.</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38:</w:t>
      </w:r>
    </w:p>
    <w:p w:rsidR="008A2514" w:rsidRPr="00044B5B" w:rsidRDefault="008A2514" w:rsidP="008A2514">
      <w:pPr>
        <w:spacing w:line="480" w:lineRule="auto"/>
        <w:jc w:val="both"/>
        <w:rPr>
          <w:i/>
          <w:lang w:val="sv-SE"/>
        </w:rPr>
      </w:pPr>
      <w:r w:rsidRPr="00044B5B">
        <w:rPr>
          <w:i/>
          <w:lang w:val="sv-SE"/>
        </w:rPr>
        <w:t>Koldioxidskatt på bränsle</w:t>
      </w:r>
    </w:p>
    <w:p w:rsidR="008A2514" w:rsidRPr="00044B5B" w:rsidRDefault="008A2514" w:rsidP="008A2514">
      <w:pPr>
        <w:spacing w:line="480" w:lineRule="auto"/>
        <w:jc w:val="both"/>
        <w:rPr>
          <w:lang w:val="sv-SE"/>
        </w:rPr>
      </w:pPr>
      <w:r w:rsidRPr="00044B5B">
        <w:rPr>
          <w:lang w:val="sv-SE"/>
        </w:rPr>
        <w:t>Koldioxidskatt tas ut för nästan alla bränslen som används för motordrift och uppvärmning.</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39:</w:t>
      </w:r>
    </w:p>
    <w:p w:rsidR="008A2514" w:rsidRPr="00044B5B" w:rsidRDefault="008A2514" w:rsidP="008A2514">
      <w:pPr>
        <w:spacing w:line="480" w:lineRule="auto"/>
        <w:jc w:val="both"/>
        <w:rPr>
          <w:i/>
          <w:lang w:val="sv-SE"/>
        </w:rPr>
      </w:pPr>
      <w:r w:rsidRPr="00044B5B">
        <w:rPr>
          <w:i/>
          <w:lang w:val="sv-SE"/>
        </w:rPr>
        <w:t>Energiskatt på bränsle</w:t>
      </w:r>
    </w:p>
    <w:p w:rsidR="008A2514" w:rsidRPr="00044B5B" w:rsidRDefault="008A2514" w:rsidP="008A2514">
      <w:pPr>
        <w:spacing w:line="480" w:lineRule="auto"/>
        <w:jc w:val="both"/>
        <w:rPr>
          <w:lang w:val="sv-SE"/>
        </w:rPr>
      </w:pPr>
      <w:r w:rsidRPr="00044B5B">
        <w:rPr>
          <w:lang w:val="sv-SE"/>
        </w:rPr>
        <w:t>Energiskatt tas ut för nästan alla bränslen som används för motordrift och uppvärmning.</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40:</w:t>
      </w:r>
    </w:p>
    <w:p w:rsidR="008A2514" w:rsidRPr="00044B5B" w:rsidRDefault="008A2514" w:rsidP="008A2514">
      <w:pPr>
        <w:spacing w:line="480" w:lineRule="auto"/>
        <w:jc w:val="both"/>
        <w:rPr>
          <w:i/>
          <w:lang w:val="sv-SE"/>
        </w:rPr>
      </w:pPr>
      <w:r w:rsidRPr="00044B5B">
        <w:rPr>
          <w:i/>
          <w:lang w:val="sv-SE"/>
        </w:rPr>
        <w:t>Nedsättningen av förmånsvärdet på miljöbilar</w:t>
      </w:r>
    </w:p>
    <w:p w:rsidR="008A2514" w:rsidRPr="00044B5B" w:rsidRDefault="008A2514" w:rsidP="008A2514">
      <w:pPr>
        <w:spacing w:line="480" w:lineRule="auto"/>
        <w:jc w:val="both"/>
        <w:rPr>
          <w:lang w:val="sv-SE"/>
        </w:rPr>
      </w:pPr>
      <w:r w:rsidRPr="00044B5B">
        <w:rPr>
          <w:lang w:val="sv-SE"/>
        </w:rPr>
        <w:t>Det räknas som en förmån när en anställd får använda sin arbetsgivares bil privat. Förmånen är oftast skattepliktig för den anställda. Den som i tjänsten använder en miljöbil kan få ett lägre förmånsvärde för sin bil.</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41:</w:t>
      </w:r>
    </w:p>
    <w:p w:rsidR="008A2514" w:rsidRPr="00044B5B" w:rsidRDefault="008A2514" w:rsidP="008A2514">
      <w:pPr>
        <w:spacing w:line="480" w:lineRule="auto"/>
        <w:jc w:val="both"/>
        <w:rPr>
          <w:i/>
          <w:lang w:val="sv-SE"/>
        </w:rPr>
      </w:pPr>
      <w:r w:rsidRPr="00044B5B">
        <w:rPr>
          <w:i/>
          <w:lang w:val="sv-SE"/>
        </w:rPr>
        <w:t>Skattebefrielse för förbrukning av biobränsle vid uppvärmning</w:t>
      </w:r>
    </w:p>
    <w:p w:rsidR="008A2514" w:rsidRPr="00044B5B" w:rsidRDefault="008A2514" w:rsidP="008A2514">
      <w:pPr>
        <w:spacing w:line="480" w:lineRule="auto"/>
        <w:jc w:val="both"/>
        <w:rPr>
          <w:lang w:val="sv-SE"/>
        </w:rPr>
      </w:pPr>
      <w:r w:rsidRPr="00044B5B">
        <w:rPr>
          <w:lang w:val="sv-SE"/>
        </w:rPr>
        <w:t>Den som förbrukar biogas, vegetabiliska eller animaliska oljor för uppvärmning, av till exempel bostäder, kan ha rätt till skattebefrielse för energiskatt och koldioxidskatt. Skattebefrielse ges endast om bränslena omfattas av ett hållbarhetsbesked.</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lastRenderedPageBreak/>
        <w:t>Item 42:</w:t>
      </w:r>
    </w:p>
    <w:p w:rsidR="008A2514" w:rsidRPr="00044B5B" w:rsidRDefault="008A2514" w:rsidP="008A2514">
      <w:pPr>
        <w:spacing w:line="480" w:lineRule="auto"/>
        <w:jc w:val="both"/>
        <w:rPr>
          <w:i/>
          <w:lang w:val="sv-SE"/>
        </w:rPr>
      </w:pPr>
      <w:r w:rsidRPr="00044B5B">
        <w:rPr>
          <w:i/>
          <w:lang w:val="sv-SE"/>
        </w:rPr>
        <w:t>Subventionerad kollektivtrafik</w:t>
      </w:r>
    </w:p>
    <w:p w:rsidR="008A2514" w:rsidRPr="00044B5B" w:rsidRDefault="008A2514" w:rsidP="008A2514">
      <w:pPr>
        <w:spacing w:line="480" w:lineRule="auto"/>
        <w:jc w:val="both"/>
        <w:rPr>
          <w:lang w:val="sv-SE"/>
        </w:rPr>
      </w:pPr>
      <w:r w:rsidRPr="00044B5B">
        <w:rPr>
          <w:lang w:val="sv-SE"/>
        </w:rPr>
        <w:t>Den regionala kollektivtrafiken i Sverige är till största delen subventionerad. I den subventionerade trafiken betalar resenären bara en del av priset och resten subventioneras av kommuner, landsting eller staten.</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43:</w:t>
      </w:r>
    </w:p>
    <w:p w:rsidR="008A2514" w:rsidRPr="00044B5B" w:rsidRDefault="008A2514" w:rsidP="008A2514">
      <w:pPr>
        <w:spacing w:line="480" w:lineRule="auto"/>
        <w:jc w:val="both"/>
        <w:rPr>
          <w:i/>
          <w:lang w:val="sv-SE"/>
        </w:rPr>
      </w:pPr>
      <w:r w:rsidRPr="00044B5B">
        <w:rPr>
          <w:i/>
          <w:lang w:val="sv-SE"/>
        </w:rPr>
        <w:t>Nedsättning av förmånskatten för miljöbilar</w:t>
      </w:r>
    </w:p>
    <w:p w:rsidR="008A2514" w:rsidRPr="00044B5B" w:rsidRDefault="008A2514" w:rsidP="008A2514">
      <w:pPr>
        <w:spacing w:line="480" w:lineRule="auto"/>
        <w:jc w:val="both"/>
        <w:rPr>
          <w:lang w:val="sv-SE"/>
        </w:rPr>
      </w:pPr>
      <w:r w:rsidRPr="00044B5B">
        <w:rPr>
          <w:lang w:val="sv-SE"/>
        </w:rPr>
        <w:t>Det räknas som en förmån när en anställd får använda sin arbetsgivares bil privat. Förmånen är oftast skattepliktig för den anställda. Miljöbilar som drivs med el eller andra mer miljöanpassade drivmedel än bensin och diesel kan få ett nedsatt förmånsvärde.</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r w:rsidRPr="00044B5B">
        <w:rPr>
          <w:lang w:val="sv-SE"/>
        </w:rPr>
        <w:t>Item 44:</w:t>
      </w:r>
    </w:p>
    <w:p w:rsidR="008A2514" w:rsidRPr="00044B5B" w:rsidRDefault="008A2514" w:rsidP="008A2514">
      <w:pPr>
        <w:spacing w:line="480" w:lineRule="auto"/>
        <w:jc w:val="both"/>
        <w:rPr>
          <w:i/>
          <w:lang w:val="sv-SE"/>
        </w:rPr>
      </w:pPr>
      <w:r w:rsidRPr="00044B5B">
        <w:rPr>
          <w:i/>
          <w:lang w:val="sv-SE"/>
        </w:rPr>
        <w:t>Klimatbonus</w:t>
      </w:r>
    </w:p>
    <w:p w:rsidR="008A2514" w:rsidRPr="00044B5B" w:rsidRDefault="008A2514" w:rsidP="008A2514">
      <w:pPr>
        <w:spacing w:line="480" w:lineRule="auto"/>
        <w:jc w:val="both"/>
        <w:rPr>
          <w:lang w:val="sv-SE"/>
        </w:rPr>
      </w:pPr>
      <w:r w:rsidRPr="00044B5B">
        <w:rPr>
          <w:lang w:val="sv-SE"/>
        </w:rPr>
        <w:t>Den som har köpt och ställt på en klimatbonusbil efter den 30 juni 2018 och före den 1 januari 2021 kan, under vissa förutsättningar, få en bonus.</w:t>
      </w: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lang w:val="sv-SE"/>
        </w:rPr>
      </w:pPr>
    </w:p>
    <w:p w:rsidR="008A2514" w:rsidRPr="00044B5B" w:rsidRDefault="008A2514" w:rsidP="008A2514">
      <w:pPr>
        <w:spacing w:line="480" w:lineRule="auto"/>
        <w:jc w:val="both"/>
        <w:rPr>
          <w:b/>
        </w:rPr>
      </w:pPr>
      <w:r w:rsidRPr="00044B5B">
        <w:rPr>
          <w:b/>
        </w:rPr>
        <w:t>Policy items translated to English</w:t>
      </w:r>
    </w:p>
    <w:p w:rsidR="008A2514" w:rsidRPr="00044B5B" w:rsidRDefault="008A2514" w:rsidP="008A2514">
      <w:pPr>
        <w:spacing w:line="480" w:lineRule="auto"/>
        <w:jc w:val="both"/>
        <w:rPr>
          <w:b/>
        </w:rPr>
      </w:pPr>
    </w:p>
    <w:p w:rsidR="008A2514" w:rsidRPr="00044B5B" w:rsidRDefault="008A2514" w:rsidP="008A2514">
      <w:pPr>
        <w:spacing w:line="480" w:lineRule="auto"/>
        <w:jc w:val="both"/>
        <w:rPr>
          <w:rFonts w:eastAsia="Calibri"/>
          <w:lang w:eastAsia="x-none"/>
        </w:rPr>
      </w:pPr>
      <w:r w:rsidRPr="00044B5B">
        <w:rPr>
          <w:rFonts w:eastAsia="Calibri"/>
          <w:lang w:eastAsia="x-none"/>
        </w:rPr>
        <w:t>Item 1:</w:t>
      </w:r>
    </w:p>
    <w:p w:rsidR="008A2514" w:rsidRPr="00044B5B" w:rsidRDefault="008A2514" w:rsidP="008A2514">
      <w:pPr>
        <w:spacing w:line="480" w:lineRule="auto"/>
        <w:jc w:val="both"/>
        <w:rPr>
          <w:rFonts w:eastAsia="Calibri"/>
          <w:i/>
          <w:lang w:eastAsia="x-none"/>
        </w:rPr>
      </w:pPr>
      <w:r w:rsidRPr="00044B5B">
        <w:rPr>
          <w:rFonts w:eastAsia="Calibri"/>
          <w:i/>
          <w:lang w:eastAsia="x-none"/>
        </w:rPr>
        <w:t>Exhaust emission requirements for mopeds and motorcycles</w:t>
      </w:r>
    </w:p>
    <w:p w:rsidR="008A2514" w:rsidRPr="00044B5B" w:rsidRDefault="008A2514" w:rsidP="008A2514">
      <w:pPr>
        <w:spacing w:line="480" w:lineRule="auto"/>
        <w:jc w:val="both"/>
        <w:rPr>
          <w:rFonts w:eastAsia="Calibri"/>
        </w:rPr>
      </w:pPr>
      <w:r w:rsidRPr="00044B5B">
        <w:rPr>
          <w:rFonts w:eastAsia="Calibri"/>
        </w:rPr>
        <w:t xml:space="preserve">Starting in 2018, a moped must meet the exhaust emission requirements for euro 4 or better in order to be registered in Sweden. The exhaust emission requirements are decided by a vehicle’s </w:t>
      </w:r>
      <w:r w:rsidRPr="00044B5B">
        <w:rPr>
          <w:rFonts w:eastAsia="Calibri"/>
        </w:rPr>
        <w:lastRenderedPageBreak/>
        <w:t xml:space="preserve">emission of carbon monoxide, nitrogen oxide, hydrocarbon and particles. Mopeds with a lower class of exhaust emissions and mopeds that are not in service must be licensed for use before the end of the year in order to be legal.   </w:t>
      </w:r>
    </w:p>
    <w:p w:rsidR="008A2514" w:rsidRPr="00044B5B" w:rsidRDefault="008A2514" w:rsidP="008A2514">
      <w:pPr>
        <w:spacing w:line="480" w:lineRule="auto"/>
        <w:jc w:val="both"/>
        <w:rPr>
          <w:rFonts w:eastAsia="Calibri"/>
          <w:lang w:eastAsia="x-none"/>
        </w:rPr>
      </w:pPr>
    </w:p>
    <w:p w:rsidR="008A2514" w:rsidRPr="00044B5B" w:rsidRDefault="008A2514" w:rsidP="008A2514">
      <w:pPr>
        <w:spacing w:line="480" w:lineRule="auto"/>
        <w:jc w:val="both"/>
        <w:rPr>
          <w:rFonts w:eastAsia="Calibri"/>
          <w:lang w:eastAsia="x-none"/>
        </w:rPr>
      </w:pPr>
      <w:r w:rsidRPr="00044B5B">
        <w:rPr>
          <w:rFonts w:eastAsia="Calibri"/>
          <w:lang w:eastAsia="x-none"/>
        </w:rPr>
        <w:t>Item 2:</w:t>
      </w:r>
    </w:p>
    <w:p w:rsidR="008A2514" w:rsidRPr="00044B5B" w:rsidRDefault="008A2514" w:rsidP="008A2514">
      <w:pPr>
        <w:spacing w:line="480" w:lineRule="auto"/>
        <w:jc w:val="both"/>
        <w:rPr>
          <w:rFonts w:eastAsia="Calibri"/>
          <w:i/>
        </w:rPr>
      </w:pPr>
      <w:r w:rsidRPr="00044B5B">
        <w:rPr>
          <w:rFonts w:eastAsia="Calibri"/>
          <w:i/>
          <w:lang w:eastAsia="x-none"/>
        </w:rPr>
        <w:t>Local environmental zones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Municipalities can keep certain heavy vehicles (trucks and busses) out of particularly environmentally sensitive areas in cities by imposing environmental zones.</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w:t>
      </w:r>
    </w:p>
    <w:p w:rsidR="008A2514" w:rsidRPr="00044B5B" w:rsidRDefault="008A2514" w:rsidP="008A2514">
      <w:pPr>
        <w:spacing w:line="480" w:lineRule="auto"/>
        <w:jc w:val="both"/>
        <w:rPr>
          <w:rFonts w:eastAsia="Calibri"/>
          <w:i/>
        </w:rPr>
      </w:pPr>
      <w:r w:rsidRPr="00044B5B">
        <w:rPr>
          <w:rFonts w:eastAsia="Calibri"/>
          <w:i/>
          <w:lang w:eastAsia="x-none"/>
        </w:rPr>
        <w:t>Differentiated vehicle tax</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 vehicle tax is paid for taxable vehicles. A differentiated vehicle tax means that the size of the tax is dependent on fuel and carbon dioxide emissions, or type of vehicle, fuel and taxation weight.</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w:t>
      </w:r>
    </w:p>
    <w:p w:rsidR="008A2514" w:rsidRPr="00044B5B" w:rsidRDefault="008A2514" w:rsidP="008A2514">
      <w:pPr>
        <w:spacing w:line="480" w:lineRule="auto"/>
        <w:jc w:val="both"/>
        <w:rPr>
          <w:rFonts w:eastAsia="Calibri"/>
          <w:i/>
        </w:rPr>
      </w:pPr>
      <w:r w:rsidRPr="00044B5B">
        <w:rPr>
          <w:rFonts w:eastAsia="Calibri"/>
          <w:i/>
          <w:lang w:eastAsia="x-none"/>
        </w:rPr>
        <w:t>Municipal car pool initiatives</w:t>
      </w:r>
    </w:p>
    <w:p w:rsidR="008A2514" w:rsidRPr="00044B5B" w:rsidRDefault="008A2514" w:rsidP="008A2514">
      <w:pPr>
        <w:spacing w:line="480" w:lineRule="auto"/>
        <w:jc w:val="both"/>
        <w:rPr>
          <w:rFonts w:eastAsia="Calibri"/>
        </w:rPr>
      </w:pPr>
      <w:r w:rsidRPr="00044B5B">
        <w:rPr>
          <w:rFonts w:eastAsia="Calibri"/>
        </w:rPr>
        <w:t xml:space="preserve">Some Swedish municipalities are working to improve the preconditions for car pools, by for example reserving parking spaces for car pools. A car pool means that a number of people share one or more cars. Each individual only pays for the car when they are using it.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5:</w:t>
      </w:r>
    </w:p>
    <w:p w:rsidR="008A2514" w:rsidRPr="00044B5B" w:rsidRDefault="008A2514" w:rsidP="008A2514">
      <w:pPr>
        <w:spacing w:line="480" w:lineRule="auto"/>
        <w:jc w:val="both"/>
        <w:rPr>
          <w:rFonts w:eastAsia="Calibri"/>
          <w:i/>
        </w:rPr>
      </w:pPr>
      <w:r w:rsidRPr="00044B5B">
        <w:rPr>
          <w:rFonts w:eastAsia="Calibri"/>
          <w:i/>
          <w:lang w:eastAsia="x-none"/>
        </w:rPr>
        <w:t>The Ecodesign Directive</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lastRenderedPageBreak/>
        <w:t xml:space="preserve">The Eco-design Directive places a minimum requirement on product energy performance and prohibits the most energy and resource demanding products on the EU market. The requirement acts as a floor to prohibit the poorest products on the market, from an energy perspective.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6:</w:t>
      </w:r>
    </w:p>
    <w:p w:rsidR="008A2514" w:rsidRPr="00044B5B" w:rsidRDefault="008A2514" w:rsidP="008A2514">
      <w:pPr>
        <w:spacing w:line="480" w:lineRule="auto"/>
        <w:jc w:val="both"/>
        <w:rPr>
          <w:rFonts w:eastAsia="Calibri"/>
          <w:i/>
        </w:rPr>
      </w:pPr>
      <w:r w:rsidRPr="00044B5B">
        <w:rPr>
          <w:rFonts w:eastAsia="Calibri"/>
          <w:i/>
          <w:lang w:eastAsia="x-none"/>
        </w:rPr>
        <w:t>Municipal energy and climate counseling</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The energy and climate counseling is an impartial and cost free service from municipalities that targets individuals, companies and organizations. The person who wishes to, can receive counseling on how to: reduce the energy consumption in their place of residence, reduce their energy costs, optimize their heating or ventilation system, reduce their climate footprint and more.</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7:</w:t>
      </w:r>
    </w:p>
    <w:p w:rsidR="008A2514" w:rsidRPr="00044B5B" w:rsidRDefault="008A2514" w:rsidP="008A2514">
      <w:pPr>
        <w:spacing w:line="480" w:lineRule="auto"/>
        <w:jc w:val="both"/>
        <w:rPr>
          <w:rFonts w:eastAsia="Calibri"/>
          <w:i/>
        </w:rPr>
      </w:pPr>
      <w:r w:rsidRPr="00044B5B">
        <w:rPr>
          <w:rFonts w:eastAsia="Calibri"/>
          <w:i/>
          <w:lang w:eastAsia="x-none"/>
        </w:rPr>
        <w:t>Energy declaration for buildings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An energy declaration provides information about the energy use of a building, and targets, among others, those who wish to purchase or rent accommodation. An energy declaration is made by an independent expert on the owners’ commission and is valid for ten years.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8:</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Energy tax on electricity </w:t>
      </w:r>
    </w:p>
    <w:p w:rsidR="008A2514" w:rsidRPr="00044B5B" w:rsidRDefault="008A2514" w:rsidP="008A2514">
      <w:pPr>
        <w:spacing w:line="480" w:lineRule="auto"/>
        <w:jc w:val="both"/>
        <w:rPr>
          <w:rFonts w:eastAsia="Calibri"/>
        </w:rPr>
      </w:pPr>
      <w:r w:rsidRPr="00044B5B">
        <w:rPr>
          <w:rFonts w:eastAsia="Calibri"/>
        </w:rPr>
        <w:t>The person producing or transferring electricity should normally pay energy tax on that electricity.</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9:</w:t>
      </w:r>
    </w:p>
    <w:p w:rsidR="008A2514" w:rsidRPr="00044B5B" w:rsidRDefault="008A2514" w:rsidP="008A2514">
      <w:pPr>
        <w:spacing w:line="480" w:lineRule="auto"/>
        <w:jc w:val="both"/>
        <w:rPr>
          <w:rFonts w:eastAsia="Calibri"/>
          <w:i/>
        </w:rPr>
      </w:pPr>
      <w:r w:rsidRPr="00044B5B">
        <w:rPr>
          <w:rFonts w:eastAsia="Calibri"/>
          <w:i/>
          <w:lang w:eastAsia="x-none"/>
        </w:rPr>
        <w:t>Energy tax deduction on electricity for certain municipalities</w:t>
      </w:r>
    </w:p>
    <w:p w:rsidR="008A2514" w:rsidRPr="00044B5B" w:rsidRDefault="008A2514" w:rsidP="008A2514">
      <w:pPr>
        <w:spacing w:line="480" w:lineRule="auto"/>
        <w:jc w:val="both"/>
        <w:rPr>
          <w:rFonts w:eastAsia="Calibri"/>
        </w:rPr>
      </w:pPr>
      <w:r w:rsidRPr="00044B5B">
        <w:rPr>
          <w:rFonts w:eastAsia="Calibri"/>
        </w:rPr>
        <w:lastRenderedPageBreak/>
        <w:t>In certain municipalities in the north of Sweden, customers who consume electricity in private households or in the service industry receive an energy tax deduction.</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10:</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Energy tax deduction on electricity generated from renewable sources </w:t>
      </w:r>
    </w:p>
    <w:p w:rsidR="008A2514" w:rsidRPr="00044B5B" w:rsidRDefault="008A2514" w:rsidP="008A2514">
      <w:pPr>
        <w:spacing w:line="480" w:lineRule="auto"/>
        <w:jc w:val="both"/>
        <w:rPr>
          <w:rFonts w:eastAsia="Calibri"/>
          <w:lang w:eastAsia="x-none"/>
        </w:rPr>
      </w:pPr>
      <w:r w:rsidRPr="00044B5B">
        <w:rPr>
          <w:rFonts w:eastAsia="Calibri"/>
          <w:lang w:eastAsia="x-none"/>
        </w:rPr>
        <w:t xml:space="preserve">The producer of taxable electricity from renewable sources in an electricity production plant with an installed generator effect under 50 kW and where the electricity has not been transferred to an electricity grid receive an energy tax deduction. </w:t>
      </w:r>
    </w:p>
    <w:p w:rsidR="008A2514" w:rsidRPr="00044B5B" w:rsidRDefault="008A2514" w:rsidP="008A2514">
      <w:pPr>
        <w:spacing w:line="480" w:lineRule="auto"/>
        <w:jc w:val="both"/>
        <w:rPr>
          <w:rFonts w:eastAsia="Calibri"/>
          <w:lang w:eastAsia="x-none"/>
        </w:rPr>
      </w:pPr>
    </w:p>
    <w:p w:rsidR="008A2514" w:rsidRPr="00044B5B" w:rsidRDefault="008A2514" w:rsidP="008A2514">
      <w:pPr>
        <w:spacing w:line="480" w:lineRule="auto"/>
        <w:jc w:val="both"/>
        <w:rPr>
          <w:rFonts w:eastAsia="Calibri"/>
          <w:lang w:eastAsia="x-none"/>
        </w:rPr>
      </w:pPr>
      <w:r w:rsidRPr="00044B5B">
        <w:rPr>
          <w:rFonts w:eastAsia="Calibri"/>
          <w:lang w:eastAsia="x-none"/>
        </w:rPr>
        <w:t>Item 11:</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Energy calculation </w:t>
      </w:r>
    </w:p>
    <w:p w:rsidR="008A2514" w:rsidRPr="00044B5B" w:rsidRDefault="008A2514" w:rsidP="008A2514">
      <w:pPr>
        <w:spacing w:line="480" w:lineRule="auto"/>
        <w:jc w:val="both"/>
        <w:rPr>
          <w:rFonts w:eastAsia="Calibri"/>
          <w:lang w:eastAsia="x-none"/>
        </w:rPr>
      </w:pPr>
      <w:r w:rsidRPr="00044B5B">
        <w:rPr>
          <w:rFonts w:eastAsia="Calibri"/>
          <w:lang w:eastAsia="x-none"/>
        </w:rPr>
        <w:t>An energy calculation is a tool to help homeowners and renters get an overview of their homes’ energy usage and also advises on actions to reduce it.</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lang w:val="sv-SE"/>
        </w:rPr>
      </w:pPr>
      <w:r w:rsidRPr="00044B5B">
        <w:rPr>
          <w:rFonts w:eastAsia="Calibri"/>
          <w:lang w:val="sv-SE"/>
        </w:rPr>
        <w:t>Item 12:</w:t>
      </w:r>
    </w:p>
    <w:p w:rsidR="008A2514" w:rsidRPr="00044B5B" w:rsidRDefault="008A2514" w:rsidP="008A2514">
      <w:pPr>
        <w:spacing w:line="480" w:lineRule="auto"/>
        <w:jc w:val="both"/>
        <w:rPr>
          <w:rFonts w:eastAsia="Calibri"/>
          <w:i/>
          <w:lang w:val="sv-SE" w:eastAsia="x-none"/>
        </w:rPr>
      </w:pPr>
      <w:r w:rsidRPr="00044B5B">
        <w:rPr>
          <w:rFonts w:eastAsia="Calibri"/>
          <w:i/>
          <w:lang w:val="sv-SE" w:eastAsia="x-none"/>
        </w:rPr>
        <w:t xml:space="preserve">Information dissemination via Vindlov.se </w:t>
      </w:r>
    </w:p>
    <w:p w:rsidR="008A2514" w:rsidRPr="00044B5B" w:rsidRDefault="008A2514" w:rsidP="008A2514">
      <w:pPr>
        <w:spacing w:line="480" w:lineRule="auto"/>
        <w:jc w:val="both"/>
        <w:rPr>
          <w:rFonts w:eastAsia="Calibri"/>
        </w:rPr>
      </w:pPr>
      <w:r w:rsidRPr="00044B5B">
        <w:rPr>
          <w:rFonts w:eastAsia="Calibri"/>
        </w:rPr>
        <w:t xml:space="preserve">Vindlov.se is a web site on wind power licensing issues. Individuals interested in installing a smaller wind turbine on their land or companies wanting to build an off-shore wind park receives information on the licensing process and what to consider at different stages of the process.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13:</w:t>
      </w:r>
    </w:p>
    <w:p w:rsidR="008A2514" w:rsidRPr="00044B5B" w:rsidRDefault="008A2514" w:rsidP="008A2514">
      <w:pPr>
        <w:spacing w:line="480" w:lineRule="auto"/>
        <w:jc w:val="both"/>
        <w:rPr>
          <w:rFonts w:eastAsia="Calibri"/>
          <w:i/>
        </w:rPr>
      </w:pPr>
      <w:r w:rsidRPr="00044B5B">
        <w:rPr>
          <w:rFonts w:eastAsia="Calibri"/>
          <w:i/>
          <w:lang w:eastAsia="x-none"/>
        </w:rPr>
        <w:t>Photovoltaic plant subsidy, in the form of investment support</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An individual may receive investment support to reduce their costs when investing in a photovoltaic plant. The investment support may not be combined with ROT deduction.</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14:</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Photovoltaic plant subsidy, in the form of ROT (repairs, conversions, extensions) deduction </w:t>
      </w:r>
    </w:p>
    <w:p w:rsidR="008A2514" w:rsidRPr="00044B5B" w:rsidRDefault="008A2514" w:rsidP="008A2514">
      <w:pPr>
        <w:spacing w:line="480" w:lineRule="auto"/>
        <w:jc w:val="both"/>
        <w:rPr>
          <w:rFonts w:eastAsia="Calibri"/>
        </w:rPr>
      </w:pPr>
      <w:r w:rsidRPr="00044B5B">
        <w:rPr>
          <w:rFonts w:eastAsia="Calibri"/>
        </w:rPr>
        <w:t>An individual may make a ROT deduction to reduce their costs when investing in a photovoltaic plant. The ROT deduction may not be combined with an investment support.</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15:</w:t>
      </w:r>
    </w:p>
    <w:p w:rsidR="008A2514" w:rsidRPr="00044B5B" w:rsidRDefault="008A2514" w:rsidP="008A2514">
      <w:pPr>
        <w:spacing w:line="480" w:lineRule="auto"/>
        <w:jc w:val="both"/>
        <w:rPr>
          <w:rFonts w:eastAsia="Calibri"/>
          <w:i/>
        </w:rPr>
      </w:pPr>
      <w:r w:rsidRPr="00044B5B">
        <w:rPr>
          <w:rFonts w:eastAsia="Calibri"/>
          <w:i/>
          <w:lang w:eastAsia="x-none"/>
        </w:rPr>
        <w:t>Climate-labeling on foods and flowers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Svenskt Sigill and KRAV have, together with Swedish experts, developed rules for climate certification of food and flowers.</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16:</w:t>
      </w:r>
    </w:p>
    <w:p w:rsidR="008A2514" w:rsidRPr="00044B5B" w:rsidRDefault="008A2514" w:rsidP="008A2514">
      <w:pPr>
        <w:spacing w:line="480" w:lineRule="auto"/>
        <w:jc w:val="both"/>
        <w:rPr>
          <w:rFonts w:eastAsia="Calibri"/>
          <w:i/>
        </w:rPr>
      </w:pPr>
      <w:r w:rsidRPr="00044B5B">
        <w:rPr>
          <w:rFonts w:eastAsia="Calibri"/>
          <w:i/>
          <w:lang w:eastAsia="x-none"/>
        </w:rPr>
        <w:t>Energy-labeling on products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Energy labeling of products is supposed to facilitate comparison of models and makes and also highlights other important aspects like screen size for televisions, the volume of fridges and freezers, and the capacity of laundry machines and dish washers.  The energy labeling is a scale from red to green, with green indicating the most energy efficient choice.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17:</w:t>
      </w:r>
    </w:p>
    <w:p w:rsidR="008A2514" w:rsidRPr="00044B5B" w:rsidRDefault="008A2514" w:rsidP="008A2514">
      <w:pPr>
        <w:spacing w:line="480" w:lineRule="auto"/>
        <w:jc w:val="both"/>
        <w:rPr>
          <w:rFonts w:eastAsia="Calibri"/>
          <w:i/>
        </w:rPr>
      </w:pPr>
      <w:r w:rsidRPr="00044B5B">
        <w:rPr>
          <w:rFonts w:eastAsia="Calibri"/>
          <w:i/>
          <w:lang w:eastAsia="x-none"/>
        </w:rPr>
        <w:t>Free parking for green cars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In certain municipalities it is cheaper or cost free to park a vehicle that lives up to the local standards of a green car.</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18:</w:t>
      </w:r>
    </w:p>
    <w:p w:rsidR="008A2514" w:rsidRPr="00044B5B" w:rsidRDefault="008A2514" w:rsidP="008A2514">
      <w:pPr>
        <w:spacing w:line="480" w:lineRule="auto"/>
        <w:jc w:val="both"/>
        <w:rPr>
          <w:rFonts w:eastAsia="Calibri"/>
          <w:i/>
        </w:rPr>
      </w:pPr>
      <w:r w:rsidRPr="00044B5B">
        <w:rPr>
          <w:rFonts w:eastAsia="Calibri"/>
          <w:i/>
          <w:lang w:eastAsia="x-none"/>
        </w:rPr>
        <w:t>Energy requirements for buildings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lastRenderedPageBreak/>
        <w:t>The building regulations put an overarching demand on the number of kWh of primary energy per square meter and year a building may consume. Primary energy encompasses the energy that at normal usage is delivered to a building for heating, cooling, tap water and property energy.</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19:</w:t>
      </w:r>
    </w:p>
    <w:p w:rsidR="008A2514" w:rsidRPr="00044B5B" w:rsidRDefault="008A2514" w:rsidP="008A2514">
      <w:pPr>
        <w:spacing w:line="480" w:lineRule="auto"/>
        <w:jc w:val="both"/>
        <w:rPr>
          <w:rFonts w:eastAsia="Calibri"/>
          <w:i/>
        </w:rPr>
      </w:pPr>
      <w:r w:rsidRPr="00044B5B">
        <w:rPr>
          <w:rFonts w:eastAsia="Calibri"/>
          <w:i/>
          <w:lang w:eastAsia="x-none"/>
        </w:rPr>
        <w:t>Electric power requirements for buildings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For new buildings there are standards of the highest allowed installed electrical power for heating. Installed electrical power for heating refers to the electrical power that is needed for the heating device and also the effect needed for heating of ventilated air.</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20:</w:t>
      </w:r>
    </w:p>
    <w:p w:rsidR="008A2514" w:rsidRPr="00044B5B" w:rsidRDefault="008A2514" w:rsidP="008A2514">
      <w:pPr>
        <w:spacing w:line="480" w:lineRule="auto"/>
        <w:jc w:val="both"/>
        <w:rPr>
          <w:rFonts w:eastAsia="Calibri"/>
          <w:i/>
        </w:rPr>
      </w:pPr>
      <w:r w:rsidRPr="00044B5B">
        <w:rPr>
          <w:rFonts w:eastAsia="Calibri"/>
          <w:i/>
          <w:lang w:eastAsia="x-none"/>
        </w:rPr>
        <w:t>Municipal regulation of small-scale firewood heating</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The municipality is responsible for the local air quality and can affect the access to wood fire equipment by regulating what is allowed in the building permit application. The municipality can also indicate rules for wood fire burning in the local provisions on environmentally harmful activities and health protection.</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21:</w:t>
      </w:r>
    </w:p>
    <w:p w:rsidR="008A2514" w:rsidRPr="00044B5B" w:rsidRDefault="008A2514" w:rsidP="008A2514">
      <w:pPr>
        <w:spacing w:line="480" w:lineRule="auto"/>
        <w:jc w:val="both"/>
        <w:rPr>
          <w:rFonts w:eastAsia="Calibri"/>
          <w:i/>
        </w:rPr>
      </w:pPr>
      <w:r w:rsidRPr="00044B5B">
        <w:rPr>
          <w:rFonts w:eastAsia="Calibri"/>
          <w:i/>
          <w:lang w:eastAsia="x-none"/>
        </w:rPr>
        <w:t>Tax exemption on biofuels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In the fuel tax declaration the person who has sold or consumed biofuels, that is, fuel manufactured from renewable sources, as motor fuel can make an energy tax and carbon dioxide tax deduction. The size of the deduction is dependent on fuel type.</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22:</w:t>
      </w:r>
    </w:p>
    <w:p w:rsidR="008A2514" w:rsidRPr="00044B5B" w:rsidRDefault="008A2514" w:rsidP="008A2514">
      <w:pPr>
        <w:spacing w:line="480" w:lineRule="auto"/>
        <w:jc w:val="both"/>
        <w:rPr>
          <w:rFonts w:eastAsia="Calibri"/>
          <w:i/>
        </w:rPr>
      </w:pPr>
      <w:r w:rsidRPr="00044B5B">
        <w:rPr>
          <w:rFonts w:eastAsia="Calibri"/>
          <w:i/>
          <w:lang w:eastAsia="x-none"/>
        </w:rPr>
        <w:lastRenderedPageBreak/>
        <w:t>Measurement reporting of transferred electricity</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Electrical grid companies are obliged to report the measurement results to the consumer and the supplier of electricity. The measurement results must be reported on a monthly basis and indicate measurement values registered per hour.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23:</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Congestion charge on road traffic </w:t>
      </w:r>
    </w:p>
    <w:p w:rsidR="008A2514" w:rsidRPr="00044B5B" w:rsidRDefault="008A2514" w:rsidP="008A2514">
      <w:pPr>
        <w:spacing w:line="480" w:lineRule="auto"/>
        <w:jc w:val="both"/>
        <w:rPr>
          <w:rFonts w:eastAsia="Calibri"/>
        </w:rPr>
      </w:pPr>
      <w:r w:rsidRPr="00044B5B">
        <w:rPr>
          <w:rFonts w:eastAsia="Calibri"/>
        </w:rPr>
        <w:t xml:space="preserve">Certain Swedish cities have a congestion charge. A congestion charge means that a fee is collected for vehicles registered in Sweden and abroad that pass payment terminals during certain hours of the day.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24:</w:t>
      </w:r>
    </w:p>
    <w:p w:rsidR="008A2514" w:rsidRPr="00044B5B" w:rsidRDefault="008A2514" w:rsidP="008A2514">
      <w:pPr>
        <w:spacing w:line="480" w:lineRule="auto"/>
        <w:jc w:val="both"/>
        <w:rPr>
          <w:rFonts w:eastAsia="Calibri"/>
          <w:i/>
        </w:rPr>
      </w:pPr>
      <w:r w:rsidRPr="00044B5B">
        <w:rPr>
          <w:rFonts w:eastAsia="Calibri"/>
          <w:i/>
          <w:lang w:eastAsia="x-none"/>
        </w:rPr>
        <w:t>Guarantee of origin for electricity</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Guarantees of origin are electronic documents indicating the energy source electricity is made from. Guarantees of origin can be purchased and sold on an open market comprised of producers and suppliers of electricity.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25:</w:t>
      </w:r>
    </w:p>
    <w:p w:rsidR="008A2514" w:rsidRPr="00044B5B" w:rsidRDefault="008A2514" w:rsidP="008A2514">
      <w:pPr>
        <w:spacing w:line="480" w:lineRule="auto"/>
        <w:jc w:val="both"/>
        <w:rPr>
          <w:rFonts w:eastAsia="Calibri"/>
          <w:i/>
        </w:rPr>
      </w:pPr>
      <w:r w:rsidRPr="00044B5B">
        <w:rPr>
          <w:rFonts w:eastAsia="Calibri"/>
          <w:i/>
          <w:lang w:eastAsia="x-none"/>
        </w:rPr>
        <w:t>Information on the origin of food</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Fish, beef, pig, lamb, goat and poultry, and certain other foods such as honey, fruit and olive oil must according to rules always have an origin label, that is, the label must indicate where the product comes from. Other foods should have an origin label if the consumer may otherwise be misled.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26:</w:t>
      </w:r>
    </w:p>
    <w:p w:rsidR="008A2514" w:rsidRPr="00044B5B" w:rsidRDefault="008A2514" w:rsidP="008A2514">
      <w:pPr>
        <w:spacing w:line="480" w:lineRule="auto"/>
        <w:jc w:val="both"/>
        <w:rPr>
          <w:rFonts w:eastAsia="Calibri"/>
          <w:i/>
        </w:rPr>
      </w:pPr>
      <w:r w:rsidRPr="00044B5B">
        <w:rPr>
          <w:rFonts w:eastAsia="Calibri"/>
          <w:i/>
          <w:lang w:eastAsia="x-none"/>
        </w:rPr>
        <w:lastRenderedPageBreak/>
        <w:t>Table of content for foods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Produce being used for the manufacturing of foods must be indicated by their name on the ingredient table of content. Usually, the origin of the produce should be evident by the name.  For some ingredients category labels may be used regardless of the origin of the produce. The table of content may for example state cheese rather than the specific type of cheese.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27:</w:t>
      </w:r>
    </w:p>
    <w:p w:rsidR="008A2514" w:rsidRPr="00044B5B" w:rsidRDefault="008A2514" w:rsidP="008A2514">
      <w:pPr>
        <w:spacing w:line="480" w:lineRule="auto"/>
        <w:jc w:val="both"/>
        <w:rPr>
          <w:rFonts w:eastAsia="Calibri"/>
          <w:i/>
        </w:rPr>
      </w:pPr>
      <w:r w:rsidRPr="00044B5B">
        <w:rPr>
          <w:rFonts w:eastAsia="Calibri"/>
          <w:i/>
          <w:lang w:eastAsia="x-none"/>
        </w:rPr>
        <w:t>Malus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Malus is an increased vehicle tax during the first three years for vehicles that are 1) gasoline and diesel driven private cars class I and II, light busses and light trucks with vehicle year 2018 or later, 2) licensed for use for the first time July 1 2018 or later, 3) emits over 95 grams of carbon dioxide per kilometer (combined) and 4) does not have alternative fuel.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28:</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Subsidy for energy storage </w:t>
      </w:r>
    </w:p>
    <w:p w:rsidR="008A2514" w:rsidRPr="00044B5B" w:rsidRDefault="008A2514" w:rsidP="008A2514">
      <w:pPr>
        <w:spacing w:line="480" w:lineRule="auto"/>
        <w:jc w:val="both"/>
        <w:rPr>
          <w:rFonts w:eastAsia="Calibri"/>
        </w:rPr>
      </w:pPr>
      <w:r w:rsidRPr="00044B5B">
        <w:rPr>
          <w:rFonts w:eastAsia="Calibri"/>
        </w:rPr>
        <w:t xml:space="preserve">The person wanting to store their self-produced electricity can apply for a subsidy. To receive the subsidy the energy storage system must be connected to a facility for self-production of renewable energy. The facility must be connected to the power grid. It is not possible to combine the subsidy with any other governmental support for the same action.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29:</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Emissions trading </w:t>
      </w:r>
    </w:p>
    <w:p w:rsidR="008A2514" w:rsidRPr="00044B5B" w:rsidRDefault="008A2514" w:rsidP="008A2514">
      <w:pPr>
        <w:spacing w:line="480" w:lineRule="auto"/>
        <w:jc w:val="both"/>
        <w:rPr>
          <w:rFonts w:eastAsia="Calibri"/>
        </w:rPr>
      </w:pPr>
      <w:r w:rsidRPr="00044B5B">
        <w:rPr>
          <w:rFonts w:eastAsia="Calibri"/>
        </w:rPr>
        <w:t xml:space="preserve">The EU emissions trading system is built on common EU rules and comprises all member states as well as Norway, Iceland and Liechtenstein. To emit greenhouse gases the participants in the system must have a valid permit with an appurtenant surveillance plan and emission allowances. </w:t>
      </w:r>
      <w:r w:rsidRPr="00044B5B">
        <w:rPr>
          <w:rFonts w:eastAsia="Calibri"/>
        </w:rPr>
        <w:lastRenderedPageBreak/>
        <w:t>Each emission allowance permits the right to emit 1 metric ton CO2 equivalent. Private individuals and organizations can also buy and sell emission allowances. The emission allowances can be bought directly from a company or via any of the many brokers or other intermediaries that are established on the market.</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30:</w:t>
      </w:r>
    </w:p>
    <w:p w:rsidR="008A2514" w:rsidRPr="00044B5B" w:rsidRDefault="008A2514" w:rsidP="008A2514">
      <w:pPr>
        <w:spacing w:line="480" w:lineRule="auto"/>
        <w:jc w:val="both"/>
        <w:rPr>
          <w:rFonts w:eastAsia="Calibri"/>
          <w:i/>
        </w:rPr>
      </w:pPr>
      <w:r w:rsidRPr="00044B5B">
        <w:rPr>
          <w:rFonts w:eastAsia="Calibri"/>
          <w:i/>
          <w:lang w:eastAsia="x-none"/>
        </w:rPr>
        <w:t>Subsidy for electrical bicycles/mopeds/motorcycles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There are subsidies to apply for when purchasing electrical bicycles, electrical mopeds or electrical motorcycles. The subsidy may only be given to individuals who are nationally registered in Sweden and if the electric bicycle, electric moped or electric motorcycle is new, can be identified by a serial number, and has not received any other governmental financial support.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31:</w:t>
      </w:r>
    </w:p>
    <w:p w:rsidR="008A2514" w:rsidRPr="00044B5B" w:rsidRDefault="008A2514" w:rsidP="008A2514">
      <w:pPr>
        <w:spacing w:line="480" w:lineRule="auto"/>
        <w:jc w:val="both"/>
        <w:rPr>
          <w:rFonts w:eastAsia="Calibri"/>
          <w:i/>
        </w:rPr>
      </w:pPr>
      <w:r w:rsidRPr="00044B5B">
        <w:rPr>
          <w:rFonts w:eastAsia="Calibri"/>
          <w:i/>
          <w:lang w:eastAsia="x-none"/>
        </w:rPr>
        <w:t>Subsidy for electrical charging stations, in the form of ROT (repairs, conversions, extensions) deduction</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Private individuals can apply for a ROT (repairs, conversions, extensions) deduction to install a charging station for electrical cars or plug-in hybrid car by their residence.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32:</w:t>
      </w:r>
    </w:p>
    <w:p w:rsidR="008A2514" w:rsidRPr="00044B5B" w:rsidRDefault="008A2514" w:rsidP="008A2514">
      <w:pPr>
        <w:spacing w:line="480" w:lineRule="auto"/>
        <w:jc w:val="both"/>
        <w:rPr>
          <w:rFonts w:eastAsia="Calibri"/>
          <w:i/>
        </w:rPr>
      </w:pPr>
      <w:r w:rsidRPr="00044B5B">
        <w:rPr>
          <w:rFonts w:eastAsia="Calibri"/>
          <w:i/>
          <w:lang w:eastAsia="x-none"/>
        </w:rPr>
        <w:t>Subsidy for electrical charging stations, in the form of installation support</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Private individuals can apply for a subsidy – a so called installation subsidy - to install a charging station for electrical cars or plug-in hybrid cars by their residence.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33:</w:t>
      </w:r>
    </w:p>
    <w:p w:rsidR="008A2514" w:rsidRPr="00044B5B" w:rsidRDefault="008A2514" w:rsidP="008A2514">
      <w:pPr>
        <w:spacing w:line="480" w:lineRule="auto"/>
        <w:jc w:val="both"/>
        <w:rPr>
          <w:rFonts w:eastAsia="Calibri"/>
          <w:i/>
        </w:rPr>
      </w:pPr>
      <w:r w:rsidRPr="00044B5B">
        <w:rPr>
          <w:rFonts w:eastAsia="Calibri"/>
          <w:i/>
          <w:lang w:eastAsia="x-none"/>
        </w:rPr>
        <w:lastRenderedPageBreak/>
        <w:t>Aviation tax</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Aviation companies that carry out flights from airports in Sweden, in aircrafts approved for more than ten passengers, are to pay an aviation tax. The aviation company becomes obliged to pay the tax when an aircraft departs from a Swedish airport, and includes both domestic and foreign travels. How much aviation tax is to be paid per passenger depends on the air travels final destination.</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34:</w:t>
      </w:r>
    </w:p>
    <w:p w:rsidR="008A2514" w:rsidRPr="00044B5B" w:rsidRDefault="008A2514" w:rsidP="008A2514">
      <w:pPr>
        <w:spacing w:line="480" w:lineRule="auto"/>
        <w:jc w:val="both"/>
        <w:rPr>
          <w:rFonts w:eastAsia="Calibri"/>
          <w:i/>
        </w:rPr>
      </w:pPr>
      <w:r w:rsidRPr="00044B5B">
        <w:rPr>
          <w:rFonts w:eastAsia="Calibri"/>
          <w:i/>
          <w:lang w:eastAsia="x-none"/>
        </w:rPr>
        <w:t>Refuse collection charge</w:t>
      </w:r>
    </w:p>
    <w:p w:rsidR="008A2514" w:rsidRPr="00044B5B" w:rsidRDefault="008A2514" w:rsidP="008A2514">
      <w:pPr>
        <w:spacing w:line="480" w:lineRule="auto"/>
        <w:jc w:val="both"/>
        <w:rPr>
          <w:rFonts w:eastAsia="Calibri"/>
        </w:rPr>
      </w:pPr>
      <w:r w:rsidRPr="00044B5B">
        <w:rPr>
          <w:rFonts w:eastAsia="Calibri"/>
        </w:rPr>
        <w:t xml:space="preserve">Property owners pay a refuse collection charge that is decided by the municipality. The refuse collection charge can be lower if a person uses warm compost, sorts out packaging and news papers, or shares a container with a neighbor.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35:</w:t>
      </w:r>
    </w:p>
    <w:p w:rsidR="008A2514" w:rsidRPr="00044B5B" w:rsidRDefault="008A2514" w:rsidP="008A2514">
      <w:pPr>
        <w:spacing w:line="480" w:lineRule="auto"/>
        <w:jc w:val="both"/>
        <w:rPr>
          <w:rFonts w:eastAsia="Calibri"/>
          <w:i/>
          <w:lang w:eastAsia="x-none"/>
        </w:rPr>
      </w:pPr>
      <w:r w:rsidRPr="00044B5B">
        <w:rPr>
          <w:rFonts w:eastAsia="Calibri"/>
          <w:i/>
          <w:lang w:eastAsia="x-none"/>
        </w:rPr>
        <w:t xml:space="preserve">Five year tax exemption on green cars </w:t>
      </w:r>
    </w:p>
    <w:p w:rsidR="008A2514" w:rsidRPr="00044B5B" w:rsidRDefault="008A2514" w:rsidP="008A2514">
      <w:pPr>
        <w:spacing w:line="480" w:lineRule="auto"/>
        <w:jc w:val="both"/>
        <w:rPr>
          <w:rFonts w:eastAsia="Calibri"/>
        </w:rPr>
      </w:pPr>
      <w:r w:rsidRPr="00044B5B">
        <w:rPr>
          <w:rFonts w:eastAsia="Calibri"/>
        </w:rPr>
        <w:t>Private cars, motor homes, light trucks and light buses, that have become taxable for the first time before 1</w:t>
      </w:r>
      <w:r w:rsidRPr="00044B5B">
        <w:rPr>
          <w:rFonts w:eastAsia="Calibri"/>
          <w:vertAlign w:val="superscript"/>
        </w:rPr>
        <w:t>st</w:t>
      </w:r>
      <w:r w:rsidRPr="00044B5B">
        <w:rPr>
          <w:rFonts w:eastAsia="Calibri"/>
        </w:rPr>
        <w:t xml:space="preserve"> of July 2018, and that meet certain emission requirements, are exempt from vehicle tax during the first five years starting from when the vehicle first became taxable.</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36:</w:t>
      </w:r>
    </w:p>
    <w:p w:rsidR="008A2514" w:rsidRPr="00044B5B" w:rsidRDefault="008A2514" w:rsidP="008A2514">
      <w:pPr>
        <w:spacing w:line="480" w:lineRule="auto"/>
        <w:jc w:val="both"/>
        <w:rPr>
          <w:rFonts w:eastAsia="Calibri"/>
          <w:i/>
        </w:rPr>
      </w:pPr>
      <w:r w:rsidRPr="00044B5B">
        <w:rPr>
          <w:rFonts w:eastAsia="Calibri"/>
          <w:i/>
          <w:lang w:eastAsia="x-none"/>
        </w:rPr>
        <w:t>Electricity certificate</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A self-producer of </w:t>
      </w:r>
      <w:r w:rsidRPr="00044B5B">
        <w:rPr>
          <w:rFonts w:eastAsia="Calibri"/>
          <w:lang w:eastAsia="x-none"/>
        </w:rPr>
        <w:t xml:space="preserve">photovoltaic electricity can apply for an electricity certificate. For each produced megawatt hour (MWh) of renewable electricity, a person, self-producing electricity, can receive an electricity certificate from the state. The electricity certificate can then be sold on the free market.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37:</w:t>
      </w:r>
    </w:p>
    <w:p w:rsidR="008A2514" w:rsidRPr="00044B5B" w:rsidRDefault="008A2514" w:rsidP="008A2514">
      <w:pPr>
        <w:spacing w:line="480" w:lineRule="auto"/>
        <w:jc w:val="both"/>
        <w:rPr>
          <w:rFonts w:eastAsia="Calibri"/>
          <w:i/>
        </w:rPr>
      </w:pPr>
      <w:r w:rsidRPr="00044B5B">
        <w:rPr>
          <w:rFonts w:eastAsia="Calibri"/>
          <w:i/>
          <w:lang w:eastAsia="x-none"/>
        </w:rPr>
        <w:t>Tax deduction on micro-production of renewable energy</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 person whose property’s solar cells or wind turbines produces more electricity than it consumes have under certain circumstances a right to a tax deduction for the surplus electricity that is being fed into the power grid. That person can also sell the surplus production to any electricity trading company of their choosing and in addition receive a smaller compensation from their power grid supplier.</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38:</w:t>
      </w:r>
    </w:p>
    <w:p w:rsidR="008A2514" w:rsidRPr="00044B5B" w:rsidRDefault="008A2514" w:rsidP="008A2514">
      <w:pPr>
        <w:spacing w:line="480" w:lineRule="auto"/>
        <w:jc w:val="both"/>
        <w:rPr>
          <w:rFonts w:eastAsia="Calibri"/>
          <w:i/>
        </w:rPr>
      </w:pPr>
      <w:r w:rsidRPr="00044B5B">
        <w:rPr>
          <w:rFonts w:eastAsia="Calibri"/>
          <w:i/>
          <w:lang w:eastAsia="x-none"/>
        </w:rPr>
        <w:t>CO</w:t>
      </w:r>
      <w:r w:rsidRPr="00044B5B">
        <w:rPr>
          <w:rFonts w:eastAsia="Calibri"/>
          <w:i/>
          <w:vertAlign w:val="subscript"/>
          <w:lang w:eastAsia="x-none"/>
        </w:rPr>
        <w:t>2</w:t>
      </w:r>
      <w:r w:rsidRPr="00044B5B">
        <w:rPr>
          <w:rFonts w:eastAsia="Calibri"/>
          <w:i/>
          <w:lang w:eastAsia="x-none"/>
        </w:rPr>
        <w:t xml:space="preserve"> tax on fuel</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 carbon dioxide tax is put on almost all fuels used for motor drive and heating.</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39:</w:t>
      </w:r>
    </w:p>
    <w:p w:rsidR="008A2514" w:rsidRPr="00044B5B" w:rsidRDefault="008A2514" w:rsidP="008A2514">
      <w:pPr>
        <w:spacing w:line="480" w:lineRule="auto"/>
        <w:jc w:val="both"/>
        <w:rPr>
          <w:rFonts w:eastAsia="Calibri"/>
          <w:i/>
        </w:rPr>
      </w:pPr>
      <w:r w:rsidRPr="00044B5B">
        <w:rPr>
          <w:rFonts w:eastAsia="Calibri"/>
          <w:i/>
          <w:lang w:eastAsia="x-none"/>
        </w:rPr>
        <w:t>Energy tax on fuel</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An energy tax is put on almost all fuels used for motor drive and heating.</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40:</w:t>
      </w:r>
    </w:p>
    <w:p w:rsidR="008A2514" w:rsidRPr="00044B5B" w:rsidRDefault="008A2514" w:rsidP="008A2514">
      <w:pPr>
        <w:spacing w:line="480" w:lineRule="auto"/>
        <w:jc w:val="both"/>
        <w:rPr>
          <w:rFonts w:eastAsia="Calibri"/>
          <w:i/>
        </w:rPr>
      </w:pPr>
      <w:r w:rsidRPr="00044B5B">
        <w:rPr>
          <w:rFonts w:eastAsia="Calibri"/>
          <w:i/>
          <w:lang w:eastAsia="x-none"/>
        </w:rPr>
        <w:t>Reduction of green car benefit value</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It is considered a benefit when an employee privately uses their employer’s car. The benefit is most often taxable for the employee. A person who, in service, uses a green car can receive a lower benefit value for their car.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41:</w:t>
      </w:r>
    </w:p>
    <w:p w:rsidR="008A2514" w:rsidRPr="00044B5B" w:rsidRDefault="008A2514" w:rsidP="008A2514">
      <w:pPr>
        <w:spacing w:line="480" w:lineRule="auto"/>
        <w:jc w:val="both"/>
        <w:rPr>
          <w:rFonts w:eastAsia="Calibri"/>
          <w:i/>
        </w:rPr>
      </w:pPr>
      <w:r w:rsidRPr="00044B5B">
        <w:rPr>
          <w:rFonts w:eastAsia="Calibri"/>
          <w:i/>
          <w:lang w:eastAsia="x-none"/>
        </w:rPr>
        <w:t>Tax exemption on bio fuel consumption for heating</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lastRenderedPageBreak/>
        <w:t xml:space="preserve">The person who consumes bio gases, vegetable or animal based oils for heating, of for example residences, may be entitled to a tax exemption for energy tax and carbon dioxide tax. The tax exemption is only given if the fuels are covered by a notification of sustainability.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42:</w:t>
      </w:r>
    </w:p>
    <w:p w:rsidR="008A2514" w:rsidRPr="00044B5B" w:rsidRDefault="008A2514" w:rsidP="008A2514">
      <w:pPr>
        <w:spacing w:line="480" w:lineRule="auto"/>
        <w:jc w:val="both"/>
        <w:rPr>
          <w:rFonts w:eastAsia="Calibri"/>
          <w:i/>
        </w:rPr>
      </w:pPr>
      <w:r w:rsidRPr="00044B5B">
        <w:rPr>
          <w:rFonts w:eastAsia="Calibri"/>
          <w:i/>
          <w:lang w:eastAsia="x-none"/>
        </w:rPr>
        <w:t>Subsidized public transport</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The regional public transport in Sweden is for the most part subsidized. In the subsidized transport the traveler only pays a part of the price and the rest is subsidized by municipalities, county councils or the state.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43:</w:t>
      </w:r>
    </w:p>
    <w:p w:rsidR="008A2514" w:rsidRPr="00044B5B" w:rsidRDefault="008A2514" w:rsidP="008A2514">
      <w:pPr>
        <w:spacing w:line="480" w:lineRule="auto"/>
        <w:jc w:val="both"/>
        <w:rPr>
          <w:rFonts w:eastAsia="Calibri"/>
          <w:i/>
        </w:rPr>
      </w:pPr>
      <w:r w:rsidRPr="00044B5B">
        <w:rPr>
          <w:rFonts w:eastAsia="Calibri"/>
          <w:i/>
          <w:lang w:eastAsia="x-none"/>
        </w:rPr>
        <w:t>Reduction of green car benefit tax</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 xml:space="preserve">It is considered a benefit when an employee privately uses their employers’ car. The benefit is most often taxable for the employee. Green cars fueled by electricity or other more environmentally adapted fuels than petrol and diesel can receive a lower benefit tax. </w:t>
      </w:r>
    </w:p>
    <w:p w:rsidR="008A2514" w:rsidRPr="00044B5B" w:rsidRDefault="008A2514" w:rsidP="008A2514">
      <w:pPr>
        <w:spacing w:line="480" w:lineRule="auto"/>
        <w:jc w:val="both"/>
        <w:rPr>
          <w:rFonts w:eastAsia="Calibri"/>
        </w:rPr>
      </w:pPr>
    </w:p>
    <w:p w:rsidR="008A2514" w:rsidRPr="00044B5B" w:rsidRDefault="008A2514" w:rsidP="008A2514">
      <w:pPr>
        <w:spacing w:line="480" w:lineRule="auto"/>
        <w:jc w:val="both"/>
        <w:rPr>
          <w:rFonts w:eastAsia="Calibri"/>
        </w:rPr>
      </w:pPr>
      <w:r w:rsidRPr="00044B5B">
        <w:rPr>
          <w:rFonts w:eastAsia="Calibri"/>
        </w:rPr>
        <w:t>Item 44:</w:t>
      </w:r>
    </w:p>
    <w:p w:rsidR="008A2514" w:rsidRPr="00044B5B" w:rsidRDefault="008A2514" w:rsidP="008A2514">
      <w:pPr>
        <w:spacing w:line="480" w:lineRule="auto"/>
        <w:jc w:val="both"/>
        <w:rPr>
          <w:rFonts w:eastAsia="Calibri"/>
          <w:i/>
        </w:rPr>
      </w:pPr>
      <w:r w:rsidRPr="00044B5B">
        <w:rPr>
          <w:rFonts w:eastAsia="Calibri"/>
          <w:i/>
          <w:lang w:eastAsia="x-none"/>
        </w:rPr>
        <w:t>Climate bonus</w:t>
      </w:r>
      <w:r w:rsidRPr="00044B5B">
        <w:rPr>
          <w:rFonts w:eastAsia="Calibri"/>
          <w:i/>
        </w:rPr>
        <w:t xml:space="preserve"> </w:t>
      </w:r>
    </w:p>
    <w:p w:rsidR="008A2514" w:rsidRPr="00044B5B" w:rsidRDefault="008A2514" w:rsidP="008A2514">
      <w:pPr>
        <w:spacing w:line="480" w:lineRule="auto"/>
        <w:jc w:val="both"/>
        <w:rPr>
          <w:rFonts w:eastAsia="Calibri"/>
        </w:rPr>
      </w:pPr>
      <w:r w:rsidRPr="00044B5B">
        <w:rPr>
          <w:rFonts w:eastAsia="Calibri"/>
        </w:rPr>
        <w:t>The person who has purchased and put into use a low emissions vehicle after the 30</w:t>
      </w:r>
      <w:r w:rsidRPr="00044B5B">
        <w:rPr>
          <w:rFonts w:eastAsia="Calibri"/>
          <w:vertAlign w:val="superscript"/>
        </w:rPr>
        <w:t>th</w:t>
      </w:r>
      <w:r w:rsidRPr="00044B5B">
        <w:rPr>
          <w:rFonts w:eastAsia="Calibri"/>
        </w:rPr>
        <w:t xml:space="preserve"> of June 2018 and before 1</w:t>
      </w:r>
      <w:r w:rsidRPr="00044B5B">
        <w:rPr>
          <w:rFonts w:eastAsia="Calibri"/>
          <w:vertAlign w:val="superscript"/>
        </w:rPr>
        <w:t>st</w:t>
      </w:r>
      <w:r w:rsidRPr="00044B5B">
        <w:rPr>
          <w:rFonts w:eastAsia="Calibri"/>
        </w:rPr>
        <w:t xml:space="preserve"> of January 2021 can, under certain premises, receive a bonus. </w:t>
      </w:r>
    </w:p>
    <w:p w:rsidR="008A2514" w:rsidRPr="00044B5B" w:rsidRDefault="008A2514" w:rsidP="008A2514">
      <w:pPr>
        <w:spacing w:line="480" w:lineRule="auto"/>
        <w:jc w:val="both"/>
      </w:pPr>
    </w:p>
    <w:p w:rsidR="008A2514" w:rsidRPr="00044B5B" w:rsidRDefault="008A2514" w:rsidP="008A2514">
      <w:pPr>
        <w:spacing w:line="480" w:lineRule="auto"/>
        <w:jc w:val="both"/>
      </w:pPr>
    </w:p>
    <w:p w:rsidR="0028674B" w:rsidRDefault="008A2514">
      <w:bookmarkStart w:id="0" w:name="_GoBack"/>
      <w:bookmarkEnd w:id="0"/>
    </w:p>
    <w:sectPr w:rsidR="0028674B" w:rsidSect="004B30E1">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977CED"/>
    <w:multiLevelType w:val="hybridMultilevel"/>
    <w:tmpl w:val="7F38F5BC"/>
    <w:lvl w:ilvl="0" w:tplc="64B84FE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14"/>
    <w:rsid w:val="004A47B1"/>
    <w:rsid w:val="008A2514"/>
    <w:rsid w:val="00DA6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7A10-FDB0-48A4-9F45-FAB2683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14"/>
    <w:pPr>
      <w:spacing w:after="0" w:line="240" w:lineRule="auto"/>
    </w:pPr>
    <w:rPr>
      <w:rFonts w:ascii="Times New Roman" w:hAnsi="Times New Roman" w:cs="Times New Roman"/>
      <w:sz w:val="24"/>
      <w:szCs w:val="24"/>
      <w:lang w:val="en-US"/>
    </w:rPr>
  </w:style>
  <w:style w:type="paragraph" w:styleId="Rubrik1">
    <w:name w:val="heading 1"/>
    <w:basedOn w:val="Normal"/>
    <w:next w:val="Normal"/>
    <w:link w:val="Rubrik1Char"/>
    <w:uiPriority w:val="9"/>
    <w:qFormat/>
    <w:rsid w:val="008A25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2514"/>
    <w:rPr>
      <w:rFonts w:asciiTheme="majorHAnsi" w:eastAsiaTheme="majorEastAsia" w:hAnsiTheme="majorHAnsi" w:cstheme="majorBidi"/>
      <w:b/>
      <w:bCs/>
      <w:color w:val="2E74B5" w:themeColor="accent1" w:themeShade="BF"/>
      <w:sz w:val="28"/>
      <w:szCs w:val="28"/>
      <w:lang w:val="en-US"/>
    </w:rPr>
  </w:style>
  <w:style w:type="character" w:styleId="Hyperlnk">
    <w:name w:val="Hyperlink"/>
    <w:rsid w:val="008A2514"/>
    <w:rPr>
      <w:u w:val="single"/>
    </w:rPr>
  </w:style>
  <w:style w:type="paragraph" w:styleId="Ballongtext">
    <w:name w:val="Balloon Text"/>
    <w:basedOn w:val="Normal"/>
    <w:link w:val="BallongtextChar"/>
    <w:uiPriority w:val="99"/>
    <w:semiHidden/>
    <w:unhideWhenUsed/>
    <w:rsid w:val="008A2514"/>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514"/>
    <w:rPr>
      <w:rFonts w:ascii="Tahoma" w:hAnsi="Tahoma" w:cs="Tahoma"/>
      <w:sz w:val="16"/>
      <w:szCs w:val="16"/>
      <w:lang w:val="en-US"/>
    </w:rPr>
  </w:style>
  <w:style w:type="character" w:styleId="Kommentarsreferens">
    <w:name w:val="annotation reference"/>
    <w:basedOn w:val="Standardstycketeckensnitt"/>
    <w:uiPriority w:val="99"/>
    <w:semiHidden/>
    <w:unhideWhenUsed/>
    <w:rsid w:val="008A2514"/>
    <w:rPr>
      <w:sz w:val="16"/>
      <w:szCs w:val="16"/>
    </w:rPr>
  </w:style>
  <w:style w:type="paragraph" w:styleId="Kommentarer">
    <w:name w:val="annotation text"/>
    <w:basedOn w:val="Normal"/>
    <w:link w:val="KommentarerChar"/>
    <w:uiPriority w:val="99"/>
    <w:unhideWhenUsed/>
    <w:rsid w:val="008A2514"/>
    <w:rPr>
      <w:sz w:val="20"/>
      <w:szCs w:val="20"/>
    </w:rPr>
  </w:style>
  <w:style w:type="character" w:customStyle="1" w:styleId="KommentarerChar">
    <w:name w:val="Kommentarer Char"/>
    <w:basedOn w:val="Standardstycketeckensnitt"/>
    <w:link w:val="Kommentarer"/>
    <w:uiPriority w:val="99"/>
    <w:rsid w:val="008A2514"/>
    <w:rPr>
      <w:rFonts w:ascii="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8A2514"/>
    <w:rPr>
      <w:b/>
      <w:bCs/>
    </w:rPr>
  </w:style>
  <w:style w:type="character" w:customStyle="1" w:styleId="KommentarsmneChar">
    <w:name w:val="Kommentarsämne Char"/>
    <w:basedOn w:val="KommentarerChar"/>
    <w:link w:val="Kommentarsmne"/>
    <w:uiPriority w:val="99"/>
    <w:semiHidden/>
    <w:rsid w:val="008A2514"/>
    <w:rPr>
      <w:rFonts w:ascii="Times New Roman" w:hAnsi="Times New Roman" w:cs="Times New Roman"/>
      <w:b/>
      <w:bCs/>
      <w:sz w:val="20"/>
      <w:szCs w:val="20"/>
      <w:lang w:val="en-US"/>
    </w:rPr>
  </w:style>
  <w:style w:type="table" w:styleId="Tabellrutnt">
    <w:name w:val="Table Grid"/>
    <w:basedOn w:val="Normaltabell"/>
    <w:uiPriority w:val="39"/>
    <w:rsid w:val="008A2514"/>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8A2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8A2514"/>
    <w:rPr>
      <w:rFonts w:ascii="Courier New" w:eastAsia="Times New Roman" w:hAnsi="Courier New" w:cs="Courier New"/>
      <w:sz w:val="20"/>
      <w:szCs w:val="20"/>
      <w:lang w:eastAsia="sv-SE"/>
    </w:rPr>
  </w:style>
  <w:style w:type="character" w:customStyle="1" w:styleId="gnkrckgcgsb">
    <w:name w:val="gnkrckgcgsb"/>
    <w:basedOn w:val="Standardstycketeckensnitt"/>
    <w:rsid w:val="008A2514"/>
  </w:style>
  <w:style w:type="paragraph" w:styleId="Fotnotstext">
    <w:name w:val="footnote text"/>
    <w:basedOn w:val="Normal"/>
    <w:link w:val="FotnotstextChar"/>
    <w:uiPriority w:val="99"/>
    <w:semiHidden/>
    <w:unhideWhenUsed/>
    <w:rsid w:val="008A2514"/>
    <w:pPr>
      <w:pBdr>
        <w:top w:val="nil"/>
        <w:left w:val="nil"/>
        <w:bottom w:val="nil"/>
        <w:right w:val="nil"/>
        <w:between w:val="nil"/>
        <w:bar w:val="nil"/>
      </w:pBdr>
    </w:pPr>
    <w:rPr>
      <w:rFonts w:eastAsia="Arial Unicode MS"/>
      <w:sz w:val="20"/>
      <w:szCs w:val="20"/>
      <w:bdr w:val="nil"/>
    </w:rPr>
  </w:style>
  <w:style w:type="character" w:customStyle="1" w:styleId="FotnotstextChar">
    <w:name w:val="Fotnotstext Char"/>
    <w:basedOn w:val="Standardstycketeckensnitt"/>
    <w:link w:val="Fotnotstext"/>
    <w:uiPriority w:val="99"/>
    <w:semiHidden/>
    <w:rsid w:val="008A2514"/>
    <w:rPr>
      <w:rFonts w:ascii="Times New Roman" w:eastAsia="Arial Unicode MS" w:hAnsi="Times New Roman" w:cs="Times New Roman"/>
      <w:sz w:val="20"/>
      <w:szCs w:val="20"/>
      <w:bdr w:val="nil"/>
      <w:lang w:val="en-US"/>
    </w:rPr>
  </w:style>
  <w:style w:type="character" w:styleId="Radnummer">
    <w:name w:val="line number"/>
    <w:basedOn w:val="Standardstycketeckensnitt"/>
    <w:uiPriority w:val="99"/>
    <w:semiHidden/>
    <w:unhideWhenUsed/>
    <w:rsid w:val="008A2514"/>
  </w:style>
  <w:style w:type="paragraph" w:styleId="Sidhuvud">
    <w:name w:val="header"/>
    <w:basedOn w:val="Normal"/>
    <w:link w:val="SidhuvudChar"/>
    <w:uiPriority w:val="99"/>
    <w:unhideWhenUsed/>
    <w:rsid w:val="008A2514"/>
    <w:pPr>
      <w:tabs>
        <w:tab w:val="center" w:pos="4513"/>
        <w:tab w:val="right" w:pos="9026"/>
      </w:tabs>
    </w:pPr>
  </w:style>
  <w:style w:type="character" w:customStyle="1" w:styleId="SidhuvudChar">
    <w:name w:val="Sidhuvud Char"/>
    <w:basedOn w:val="Standardstycketeckensnitt"/>
    <w:link w:val="Sidhuvud"/>
    <w:uiPriority w:val="99"/>
    <w:rsid w:val="008A2514"/>
    <w:rPr>
      <w:rFonts w:ascii="Times New Roman" w:hAnsi="Times New Roman" w:cs="Times New Roman"/>
      <w:sz w:val="24"/>
      <w:szCs w:val="24"/>
      <w:lang w:val="en-US"/>
    </w:rPr>
  </w:style>
  <w:style w:type="paragraph" w:styleId="Sidfot">
    <w:name w:val="footer"/>
    <w:basedOn w:val="Normal"/>
    <w:link w:val="SidfotChar"/>
    <w:uiPriority w:val="99"/>
    <w:unhideWhenUsed/>
    <w:rsid w:val="008A2514"/>
    <w:pPr>
      <w:tabs>
        <w:tab w:val="center" w:pos="4513"/>
        <w:tab w:val="right" w:pos="9026"/>
      </w:tabs>
    </w:pPr>
  </w:style>
  <w:style w:type="character" w:customStyle="1" w:styleId="SidfotChar">
    <w:name w:val="Sidfot Char"/>
    <w:basedOn w:val="Standardstycketeckensnitt"/>
    <w:link w:val="Sidfot"/>
    <w:uiPriority w:val="99"/>
    <w:rsid w:val="008A2514"/>
    <w:rPr>
      <w:rFonts w:ascii="Times New Roman" w:hAnsi="Times New Roman" w:cs="Times New Roman"/>
      <w:sz w:val="24"/>
      <w:szCs w:val="24"/>
      <w:lang w:val="en-US"/>
    </w:rPr>
  </w:style>
  <w:style w:type="character" w:customStyle="1" w:styleId="apple-converted-space">
    <w:name w:val="apple-converted-space"/>
    <w:basedOn w:val="Standardstycketeckensnitt"/>
    <w:rsid w:val="008A2514"/>
  </w:style>
  <w:style w:type="paragraph" w:customStyle="1" w:styleId="MDPI71References">
    <w:name w:val="MDPI_7.1_References"/>
    <w:basedOn w:val="Normal"/>
    <w:qFormat/>
    <w:rsid w:val="008A2514"/>
    <w:pPr>
      <w:numPr>
        <w:numId w:val="1"/>
      </w:numPr>
      <w:adjustRightInd w:val="0"/>
      <w:snapToGrid w:val="0"/>
      <w:spacing w:line="260" w:lineRule="atLeast"/>
      <w:ind w:left="425" w:hanging="425"/>
      <w:jc w:val="both"/>
    </w:pPr>
    <w:rPr>
      <w:rFonts w:ascii="Palatino Linotype" w:eastAsia="Times New Roman" w:hAnsi="Palatino Linotype"/>
      <w:snapToGrid w:val="0"/>
      <w:color w:val="000000"/>
      <w:sz w:val="18"/>
      <w:szCs w:val="20"/>
      <w:lang w:eastAsia="de-DE" w:bidi="en-US"/>
    </w:rPr>
  </w:style>
  <w:style w:type="character" w:customStyle="1" w:styleId="ref-lnk">
    <w:name w:val="ref-lnk"/>
    <w:basedOn w:val="Standardstycketeckensnitt"/>
    <w:rsid w:val="008A2514"/>
  </w:style>
  <w:style w:type="character" w:customStyle="1" w:styleId="hlfld-contribauthor">
    <w:name w:val="hlfld-contribauthor"/>
    <w:basedOn w:val="Standardstycketeckensnitt"/>
    <w:rsid w:val="008A2514"/>
  </w:style>
  <w:style w:type="character" w:customStyle="1" w:styleId="nlmgiven-names">
    <w:name w:val="nlm_given-names"/>
    <w:basedOn w:val="Standardstycketeckensnitt"/>
    <w:rsid w:val="008A2514"/>
  </w:style>
  <w:style w:type="character" w:customStyle="1" w:styleId="nlmyear">
    <w:name w:val="nlm_year"/>
    <w:basedOn w:val="Standardstycketeckensnitt"/>
    <w:rsid w:val="008A2514"/>
  </w:style>
  <w:style w:type="character" w:customStyle="1" w:styleId="nlmarticle-title">
    <w:name w:val="nlm_article-title"/>
    <w:basedOn w:val="Standardstycketeckensnitt"/>
    <w:rsid w:val="008A2514"/>
  </w:style>
  <w:style w:type="character" w:customStyle="1" w:styleId="nlmfpage">
    <w:name w:val="nlm_fpage"/>
    <w:basedOn w:val="Standardstycketeckensnitt"/>
    <w:rsid w:val="008A2514"/>
  </w:style>
  <w:style w:type="character" w:customStyle="1" w:styleId="nlmlpage">
    <w:name w:val="nlm_lpage"/>
    <w:basedOn w:val="Standardstycketeckensnitt"/>
    <w:rsid w:val="008A2514"/>
  </w:style>
  <w:style w:type="character" w:customStyle="1" w:styleId="nlmpub-id">
    <w:name w:val="nlm_pub-id"/>
    <w:basedOn w:val="Standardstycketeckensnitt"/>
    <w:rsid w:val="008A2514"/>
  </w:style>
  <w:style w:type="paragraph" w:styleId="Revision">
    <w:name w:val="Revision"/>
    <w:hidden/>
    <w:uiPriority w:val="99"/>
    <w:semiHidden/>
    <w:rsid w:val="008A2514"/>
    <w:pPr>
      <w:spacing w:after="0" w:line="240" w:lineRule="auto"/>
    </w:pPr>
    <w:rPr>
      <w:rFonts w:ascii="Times New Roman" w:hAnsi="Times New Roman" w:cs="Times New Roman"/>
      <w:sz w:val="24"/>
      <w:szCs w:val="24"/>
      <w:lang w:val="en-US"/>
    </w:rPr>
  </w:style>
  <w:style w:type="character" w:customStyle="1" w:styleId="reflink-block">
    <w:name w:val="reflink-block"/>
    <w:basedOn w:val="Standardstycketeckensnitt"/>
    <w:rsid w:val="008A2514"/>
  </w:style>
  <w:style w:type="character" w:customStyle="1" w:styleId="a">
    <w:name w:val="_"/>
    <w:basedOn w:val="Standardstycketeckensnitt"/>
    <w:rsid w:val="008A2514"/>
  </w:style>
  <w:style w:type="character" w:customStyle="1" w:styleId="ff3">
    <w:name w:val="ff3"/>
    <w:basedOn w:val="Standardstycketeckensnitt"/>
    <w:rsid w:val="008A2514"/>
  </w:style>
  <w:style w:type="character" w:customStyle="1" w:styleId="ff2">
    <w:name w:val="ff2"/>
    <w:basedOn w:val="Standardstycketeckensnitt"/>
    <w:rsid w:val="008A2514"/>
  </w:style>
  <w:style w:type="paragraph" w:styleId="Liststycke">
    <w:name w:val="List Paragraph"/>
    <w:basedOn w:val="Normal"/>
    <w:uiPriority w:val="34"/>
    <w:qFormat/>
    <w:rsid w:val="008A2514"/>
    <w:pPr>
      <w:ind w:left="720"/>
      <w:contextualSpacing/>
    </w:pPr>
  </w:style>
  <w:style w:type="paragraph" w:styleId="Slutkommentar">
    <w:name w:val="endnote text"/>
    <w:basedOn w:val="Normal"/>
    <w:link w:val="SlutkommentarChar"/>
    <w:uiPriority w:val="99"/>
    <w:semiHidden/>
    <w:unhideWhenUsed/>
    <w:rsid w:val="008A2514"/>
    <w:rPr>
      <w:sz w:val="20"/>
      <w:szCs w:val="20"/>
    </w:rPr>
  </w:style>
  <w:style w:type="character" w:customStyle="1" w:styleId="SlutkommentarChar">
    <w:name w:val="Slutkommentar Char"/>
    <w:basedOn w:val="Standardstycketeckensnitt"/>
    <w:link w:val="Slutkommentar"/>
    <w:uiPriority w:val="99"/>
    <w:semiHidden/>
    <w:rsid w:val="008A2514"/>
    <w:rPr>
      <w:rFonts w:ascii="Times New Roman" w:hAnsi="Times New Roman" w:cs="Times New Roman"/>
      <w:sz w:val="20"/>
      <w:szCs w:val="20"/>
      <w:lang w:val="en-US"/>
    </w:rPr>
  </w:style>
  <w:style w:type="character" w:styleId="Slutkommentarsreferens">
    <w:name w:val="endnote reference"/>
    <w:basedOn w:val="Standardstycketeckensnitt"/>
    <w:uiPriority w:val="99"/>
    <w:semiHidden/>
    <w:unhideWhenUsed/>
    <w:rsid w:val="008A25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4776</Words>
  <Characters>25318</Characters>
  <Application>Microsoft Office Word</Application>
  <DocSecurity>0</DocSecurity>
  <Lines>210</Lines>
  <Paragraphs>60</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Ejelöv</dc:creator>
  <cp:keywords/>
  <dc:description/>
  <cp:lastModifiedBy>Emma Ejelöv</cp:lastModifiedBy>
  <cp:revision>1</cp:revision>
  <dcterms:created xsi:type="dcterms:W3CDTF">2021-11-25T13:48:00Z</dcterms:created>
  <dcterms:modified xsi:type="dcterms:W3CDTF">2021-11-25T13:48:00Z</dcterms:modified>
</cp:coreProperties>
</file>