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Appendix 1. List of interviewees: policymakers (PMs) and key informants (Kis)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9129" w:type="dxa"/>
        <w:jc w:val="left"/>
        <w:tblInd w:w="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329"/>
        <w:gridCol w:w="6218"/>
        <w:gridCol w:w="1582"/>
      </w:tblGrid>
      <w:tr>
        <w:trPr>
          <w:trHeight w:val="236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both"/>
              <w:rPr/>
            </w:pPr>
            <w:r>
              <w:rPr>
                <w:b/>
                <w:sz w:val="20"/>
              </w:rPr>
              <w:t>Interview code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both"/>
              <w:rPr/>
            </w:pPr>
            <w:r>
              <w:rPr>
                <w:b/>
                <w:sz w:val="20"/>
              </w:rPr>
              <w:t>Interviewee institution/role/political affiliation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rPr/>
            </w:pPr>
            <w:r>
              <w:rPr>
                <w:b/>
                <w:sz w:val="20"/>
              </w:rPr>
              <w:t>Interview date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PM-1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  <w:lang w:val="it-IT"/>
              </w:rPr>
              <w:t>Lombardy, regional Councillor, FI- Forza Italia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21 December 2016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PM-2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Lombardy, municipal Councillor (county capital), Mayor’s list (Catholic background)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21 October 2016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PM-3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Lombardy, municipal Councillor (county capital), External expert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22 July 2016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PM-4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Lombardy, municipal Councillor (county capital), PD-Democratic Party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29 November 2016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PM-5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Lombardy, regional Councillor, AN - National Alliance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19 December 2016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PM-6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Lombardy, Public official, managing position (Health and Social Services)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14 November 2016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PM-7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Liguria, municipal Councillor (county capital), Municipal list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7 October 2016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PM-8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Liguria, municipal Councillor (county capital), Municipal list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6 December 2016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PM-9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Liguria, county Councillor, Left (Socialist)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3 October 2016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PM-10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Liguria, municipal Mayor (small municipality), Municipal list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21 September 2016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PM-11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Apulia, municipal Mayor (medium-size municipality), Municipal list (Centre-left)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9 November 2016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PM-12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Apulia, regional Councillor, Five Star Movement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10 November 2016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KI-13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Caritas (Charity of Italian Episcopal Conference), spokesperson, Catholic Church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28 February 2019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KI-14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Director, Social Cooperative Consortium, Catholic inspired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28 February 2019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KI-15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Activist, SlotMob Movement, Focolare Movement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15 March 2019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KI-16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Journalist, Catholic Press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27 March 2019</w:t>
            </w:r>
          </w:p>
        </w:tc>
      </w:tr>
      <w:tr>
        <w:trPr>
          <w:trHeight w:val="460" w:hRule="atLeast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KI-17</w:t>
            </w:r>
          </w:p>
        </w:tc>
        <w:tc>
          <w:tcPr>
            <w:tcW w:w="6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sz w:val="20"/>
              </w:rPr>
              <w:t>President, Non-profit organisation, lay/independent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Paragraph"/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6 April 2019</w:t>
            </w:r>
          </w:p>
        </w:tc>
      </w:tr>
    </w:tbl>
    <w:p>
      <w:pPr>
        <w:pStyle w:val="Normal"/>
        <w:suppressAutoHyphens w:val="true"/>
        <w:jc w:val="both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suppressAutoHyphens w:val="true"/>
        <w:spacing w:lineRule="auto" w:line="276" w:before="0" w:after="0"/>
        <w:rPr>
          <w:color w:val="000000"/>
          <w:sz w:val="22"/>
        </w:rPr>
      </w:pPr>
      <w:r>
        <w:rPr>
          <w:color w:val="000000"/>
          <w:sz w:val="22"/>
        </w:rPr>
      </w:r>
      <w:r>
        <w:br w:type="page"/>
      </w:r>
    </w:p>
    <w:p>
      <w:pPr>
        <w:pStyle w:val="Normal"/>
        <w:suppressAutoHyphens w:val="true"/>
        <w:jc w:val="both"/>
        <w:rPr/>
      </w:pPr>
      <w:r>
        <w:rPr>
          <w:color w:val="000000"/>
        </w:rPr>
        <w:t>Appendix 2. Data structure</w:t>
      </w:r>
    </w:p>
    <w:tbl>
      <w:tblPr>
        <w:tblW w:w="9070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20" w:noVBand="1" w:noHBand="0" w:lastColumn="0" w:firstColumn="0" w:lastRow="0" w:firstRow="1"/>
      </w:tblPr>
      <w:tblGrid>
        <w:gridCol w:w="4927"/>
        <w:gridCol w:w="2552"/>
        <w:gridCol w:w="1591"/>
      </w:tblGrid>
      <w:tr>
        <w:trPr/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order codes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order themes</w:t>
            </w:r>
          </w:p>
        </w:tc>
        <w:tc>
          <w:tcPr>
            <w:tcW w:w="159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Aggregate theoretical dimensions</w:t>
            </w:r>
          </w:p>
        </w:tc>
      </w:tr>
      <w:tr>
        <w:trPr>
          <w:trHeight w:val="571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The need to protect children from the risks of gambling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Protection of minors from specific games (e.g. betting)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Educational issues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Morality frame</w:t>
            </w:r>
          </w:p>
        </w:tc>
      </w:tr>
      <w:tr>
        <w:trPr>
          <w:trHeight w:val="1009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"Ethical Discount" (tax incentives) for bars/tobacco shops which do not install gaming machines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Anti-EGM (electronic gambling machines)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campaign as a “just cause”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Gambling as a game not requiring skill (merit vs. luck)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Conflict of values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37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Hypocrisy of state institutions that allow gambling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 xml:space="preserve">Persons on subsistence incomes who require financial assistance after gambling losses 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 xml:space="preserve">Ambivalence of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the social actors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Gaming as a problematic phenomenon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Gaming as an addiction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Underestimation of the pathological dimensions of gambling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Increase in requests for health services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Gambling as a source of problems for the welfare system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 xml:space="preserve">Gambling as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a medical problem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Health and social frame</w:t>
            </w:r>
          </w:p>
        </w:tc>
      </w:tr>
      <w:tr>
        <w:trPr>
          <w:trHeight w:val="452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Problems experienced by the families of gamblers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Fragility and marginalization of the vulnerable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The risks for social cohesion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Protection of the vulnerable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/>
            </w:pPr>
            <w:r>
              <w:rPr>
                <w:sz w:val="20"/>
              </w:rPr>
              <w:t>Protection of the elderly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Anti-gambling policies which target vulnerable social groups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051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Concerns about the proliferation of gambling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Gambling creates situations which municipalities find unacceptable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Gambling as a general problem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Gambling as an uncontrollable phenomenon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Security and public order frame</w:t>
            </w:r>
          </w:p>
        </w:tc>
      </w:tr>
      <w:tr>
        <w:trPr>
          <w:trHeight w:val="519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 xml:space="preserve">The degradation of the vicinity of gambling sites 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Gambling as the source of degradation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379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 xml:space="preserve">The need for tools to block the proliferation of gambling sites 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The need to suppress the phenomenon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“</w:t>
            </w:r>
            <w:r>
              <w:rPr>
                <w:color w:val="000000"/>
                <w:sz w:val="20"/>
              </w:rPr>
              <w:t xml:space="preserve">Deterrents are needed” 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The role of the local police force.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 xml:space="preserve">The need for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repressive action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30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 xml:space="preserve">Gambling site managers seen as entrepreneurs 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 xml:space="preserve">The impossibility of banning a legal business (authorized by the State) 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Gambling as a legal economic sector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Economic and fiscal frame</w:t>
            </w:r>
          </w:p>
        </w:tc>
      </w:tr>
      <w:tr>
        <w:trPr>
          <w:trHeight w:val="503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The State as the sole recipient of gambling tax revenues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No revenue gain for local authorities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Asymmetry in the State/local authority management of fiscal revenues from gambling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69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Use of local tax incentives and funding to limit gambling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Use of local tax disincentives and funding to limit gambling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Local fiscal policies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893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The economic problems of indebted gamblers who require public support (health and social services)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Social costs of gambling addictions borne by the local authorities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 xml:space="preserve">The problematic relationship between local and central governments 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The State benefits from gambling at a national level but the risks are borne and managed at the local level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Divergence of interests between central and local institutions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Institutional frame</w:t>
            </w:r>
          </w:p>
        </w:tc>
      </w:tr>
      <w:tr>
        <w:trPr>
          <w:trHeight w:val="536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Conflict between institutions both locally and regionally (e.g. municipalities and the regional police headquarters)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Conflict on legal questions between political and administrative institutions (Regional Administrative Court and national courts)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Alliances between the regions and municipalities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 xml:space="preserve">Alliances between municipalities (e.g. in the drafting and application of hours of operation for gambling sites) 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Variations in regulations between neighbouring municipalities (need for harmonization);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Conflict vs alliances between local institutions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State as in part responsible for the spread of gambling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Institutions unable to defend citizens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 xml:space="preserve">The hypocrisy of prohibitions that are ineffective 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Declining credibility of institutions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104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The institutions need new tools to curb the phenomenon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Local ad hoc regulations on the basis of local needs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Pressure (only partially effective) of local institutions on operators of gambling sites (public operators)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Regulatory interventions which are blatantly ineffective in controlling the proliferation of gambling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Ineffective legal instruments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Attempts to gain political consensus by campaigning against gambling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Political exploitation of local public anti-gambling views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Anti-gambling policies as a battleground for the creation of political consensus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670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 xml:space="preserve">Citizen involvement 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Involvement of anti-gambling associations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Involvement of associations sensitive to the ethical and social problems (e.g. Catholic associations)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 xml:space="preserve">Need to involve citizens unaffected by the problem 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Civil society involvement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Citizens’ frame</w:t>
            </w:r>
          </w:p>
        </w:tc>
      </w:tr>
      <w:tr>
        <w:trPr>
          <w:trHeight w:val="1682" w:hRule="atLeast"/>
        </w:trPr>
        <w:tc>
          <w:tcPr>
            <w:tcW w:w="49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Legality as a responsibility shared with citizens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Alliance between the municipality and citizens to report problem cases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The active role of associations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The active role of the Catholic Church</w:t>
            </w:r>
          </w:p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rPr/>
            </w:pPr>
            <w:r>
              <w:rPr>
                <w:color w:val="000000"/>
                <w:sz w:val="20"/>
              </w:rPr>
              <w:t>Allowing the families who are victims of pathological gambling to voice an opinion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</w:rPr>
              <w:t>The third sector and civil society as positive resources</w:t>
            </w:r>
          </w:p>
        </w:tc>
        <w:tc>
          <w:tcPr>
            <w:tcW w:w="159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rPr/>
      </w:pPr>
      <w:r>
        <w:rPr/>
      </w:r>
    </w:p>
    <w:p>
      <w:pPr>
        <w:pStyle w:val="Normal"/>
        <w:suppressAutoHyphens w:val="true"/>
        <w:jc w:val="both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Paragraph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it-IT" w:eastAsia="zh-CN" w:bidi="hi-IN"/>
    </w:rPr>
  </w:style>
  <w:style w:type="character" w:styleId="ListLabel1211">
    <w:name w:val="ListLabel 1211"/>
    <w:qFormat/>
    <w:rPr>
      <w:rFonts w:cs="Symbol"/>
      <w:sz w:val="20"/>
    </w:rPr>
  </w:style>
  <w:style w:type="character" w:styleId="ListLabel1212">
    <w:name w:val="ListLabel 1212"/>
    <w:qFormat/>
    <w:rPr>
      <w:rFonts w:cs="Courier New"/>
    </w:rPr>
  </w:style>
  <w:style w:type="character" w:styleId="ListLabel1213">
    <w:name w:val="ListLabel 1213"/>
    <w:qFormat/>
    <w:rPr>
      <w:rFonts w:cs="Wingdings"/>
    </w:rPr>
  </w:style>
  <w:style w:type="character" w:styleId="ListLabel1214">
    <w:name w:val="ListLabel 1214"/>
    <w:qFormat/>
    <w:rPr>
      <w:rFonts w:cs="Symbol"/>
    </w:rPr>
  </w:style>
  <w:style w:type="character" w:styleId="ListLabel1215">
    <w:name w:val="ListLabel 1215"/>
    <w:qFormat/>
    <w:rPr>
      <w:rFonts w:cs="Courier New"/>
    </w:rPr>
  </w:style>
  <w:style w:type="character" w:styleId="ListLabel1216">
    <w:name w:val="ListLabel 1216"/>
    <w:qFormat/>
    <w:rPr>
      <w:rFonts w:cs="Wingdings"/>
    </w:rPr>
  </w:style>
  <w:style w:type="character" w:styleId="ListLabel1217">
    <w:name w:val="ListLabel 1217"/>
    <w:qFormat/>
    <w:rPr>
      <w:rFonts w:cs="Symbol"/>
    </w:rPr>
  </w:style>
  <w:style w:type="character" w:styleId="ListLabel1218">
    <w:name w:val="ListLabel 1218"/>
    <w:qFormat/>
    <w:rPr>
      <w:rFonts w:cs="Courier New"/>
    </w:rPr>
  </w:style>
  <w:style w:type="character" w:styleId="ListLabel1219">
    <w:name w:val="ListLabel 1219"/>
    <w:qFormat/>
    <w:rPr>
      <w:rFonts w:cs="Wingdings"/>
    </w:rPr>
  </w:style>
  <w:style w:type="character" w:styleId="ListLabel1256">
    <w:name w:val="ListLabel 1256"/>
    <w:qFormat/>
    <w:rPr>
      <w:rFonts w:cs="Symbol"/>
      <w:sz w:val="20"/>
    </w:rPr>
  </w:style>
  <w:style w:type="character" w:styleId="ListLabel1257">
    <w:name w:val="ListLabel 1257"/>
    <w:qFormat/>
    <w:rPr>
      <w:rFonts w:cs="Courier New"/>
    </w:rPr>
  </w:style>
  <w:style w:type="character" w:styleId="ListLabel1258">
    <w:name w:val="ListLabel 1258"/>
    <w:qFormat/>
    <w:rPr>
      <w:rFonts w:cs="Wingdings"/>
    </w:rPr>
  </w:style>
  <w:style w:type="character" w:styleId="ListLabel1259">
    <w:name w:val="ListLabel 1259"/>
    <w:qFormat/>
    <w:rPr>
      <w:rFonts w:cs="Symbol"/>
    </w:rPr>
  </w:style>
  <w:style w:type="character" w:styleId="ListLabel1260">
    <w:name w:val="ListLabel 1260"/>
    <w:qFormat/>
    <w:rPr>
      <w:rFonts w:cs="Courier New"/>
    </w:rPr>
  </w:style>
  <w:style w:type="character" w:styleId="ListLabel1261">
    <w:name w:val="ListLabel 1261"/>
    <w:qFormat/>
    <w:rPr>
      <w:rFonts w:cs="Wingdings"/>
    </w:rPr>
  </w:style>
  <w:style w:type="character" w:styleId="ListLabel1262">
    <w:name w:val="ListLabel 1262"/>
    <w:qFormat/>
    <w:rPr>
      <w:rFonts w:cs="Symbol"/>
    </w:rPr>
  </w:style>
  <w:style w:type="character" w:styleId="ListLabel1263">
    <w:name w:val="ListLabel 1263"/>
    <w:qFormat/>
    <w:rPr>
      <w:rFonts w:cs="Courier New"/>
    </w:rPr>
  </w:style>
  <w:style w:type="character" w:styleId="ListLabel1264">
    <w:name w:val="ListLabel 1264"/>
    <w:qFormat/>
    <w:rPr>
      <w:rFonts w:cs="Wingdings"/>
    </w:rPr>
  </w:style>
  <w:style w:type="character" w:styleId="ListLabel1265">
    <w:name w:val="ListLabel 1265"/>
    <w:qFormat/>
    <w:rPr>
      <w:rFonts w:cs="Symbol"/>
      <w:sz w:val="20"/>
    </w:rPr>
  </w:style>
  <w:style w:type="character" w:styleId="ListLabel1266">
    <w:name w:val="ListLabel 1266"/>
    <w:qFormat/>
    <w:rPr>
      <w:rFonts w:cs="Courier New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Courier New"/>
    </w:rPr>
  </w:style>
  <w:style w:type="character" w:styleId="ListLabel1270">
    <w:name w:val="ListLabel 1270"/>
    <w:qFormat/>
    <w:rPr>
      <w:rFonts w:cs="Wingdings"/>
    </w:rPr>
  </w:style>
  <w:style w:type="character" w:styleId="ListLabel1271">
    <w:name w:val="ListLabel 1271"/>
    <w:qFormat/>
    <w:rPr>
      <w:rFonts w:cs="Symbol"/>
    </w:rPr>
  </w:style>
  <w:style w:type="character" w:styleId="ListLabel1272">
    <w:name w:val="ListLabel 1272"/>
    <w:qFormat/>
    <w:rPr>
      <w:rFonts w:cs="Courier New"/>
    </w:rPr>
  </w:style>
  <w:style w:type="character" w:styleId="ListLabel1273">
    <w:name w:val="ListLabel 1273"/>
    <w:qFormat/>
    <w:rPr>
      <w:rFonts w:cs="Wingdings"/>
    </w:rPr>
  </w:style>
  <w:style w:type="character" w:styleId="ListLabel1247">
    <w:name w:val="ListLabel 1247"/>
    <w:qFormat/>
    <w:rPr>
      <w:rFonts w:cs="Symbol"/>
      <w:sz w:val="20"/>
    </w:rPr>
  </w:style>
  <w:style w:type="character" w:styleId="ListLabel1248">
    <w:name w:val="ListLabel 1248"/>
    <w:qFormat/>
    <w:rPr>
      <w:rFonts w:cs="Courier New"/>
    </w:rPr>
  </w:style>
  <w:style w:type="character" w:styleId="ListLabel1249">
    <w:name w:val="ListLabel 1249"/>
    <w:qFormat/>
    <w:rPr>
      <w:rFonts w:cs="Wingdings"/>
    </w:rPr>
  </w:style>
  <w:style w:type="character" w:styleId="ListLabel1250">
    <w:name w:val="ListLabel 1250"/>
    <w:qFormat/>
    <w:rPr>
      <w:rFonts w:cs="Symbol"/>
    </w:rPr>
  </w:style>
  <w:style w:type="character" w:styleId="ListLabel1251">
    <w:name w:val="ListLabel 1251"/>
    <w:qFormat/>
    <w:rPr>
      <w:rFonts w:cs="Courier New"/>
    </w:rPr>
  </w:style>
  <w:style w:type="character" w:styleId="ListLabel1252">
    <w:name w:val="ListLabel 1252"/>
    <w:qFormat/>
    <w:rPr>
      <w:rFonts w:cs="Wingdings"/>
    </w:rPr>
  </w:style>
  <w:style w:type="character" w:styleId="ListLabel1253">
    <w:name w:val="ListLabel 1253"/>
    <w:qFormat/>
    <w:rPr>
      <w:rFonts w:cs="Symbol"/>
    </w:rPr>
  </w:style>
  <w:style w:type="character" w:styleId="ListLabel1254">
    <w:name w:val="ListLabel 1254"/>
    <w:qFormat/>
    <w:rPr>
      <w:rFonts w:cs="Courier New"/>
    </w:rPr>
  </w:style>
  <w:style w:type="character" w:styleId="ListLabel1255">
    <w:name w:val="ListLabel 1255"/>
    <w:qFormat/>
    <w:rPr>
      <w:rFonts w:cs="Wingdings"/>
    </w:rPr>
  </w:style>
  <w:style w:type="character" w:styleId="ListLabel1238">
    <w:name w:val="ListLabel 1238"/>
    <w:qFormat/>
    <w:rPr>
      <w:rFonts w:cs="Symbol"/>
      <w:sz w:val="20"/>
    </w:rPr>
  </w:style>
  <w:style w:type="character" w:styleId="ListLabel1239">
    <w:name w:val="ListLabel 1239"/>
    <w:qFormat/>
    <w:rPr>
      <w:rFonts w:cs="Courier New"/>
    </w:rPr>
  </w:style>
  <w:style w:type="character" w:styleId="ListLabel1240">
    <w:name w:val="ListLabel 1240"/>
    <w:qFormat/>
    <w:rPr>
      <w:rFonts w:cs="Wingdings"/>
    </w:rPr>
  </w:style>
  <w:style w:type="character" w:styleId="ListLabel1241">
    <w:name w:val="ListLabel 1241"/>
    <w:qFormat/>
    <w:rPr>
      <w:rFonts w:cs="Symbol"/>
    </w:rPr>
  </w:style>
  <w:style w:type="character" w:styleId="ListLabel1242">
    <w:name w:val="ListLabel 1242"/>
    <w:qFormat/>
    <w:rPr>
      <w:rFonts w:cs="Courier New"/>
    </w:rPr>
  </w:style>
  <w:style w:type="character" w:styleId="ListLabel1243">
    <w:name w:val="ListLabel 1243"/>
    <w:qFormat/>
    <w:rPr>
      <w:rFonts w:cs="Wingdings"/>
    </w:rPr>
  </w:style>
  <w:style w:type="character" w:styleId="ListLabel1244">
    <w:name w:val="ListLabel 1244"/>
    <w:qFormat/>
    <w:rPr>
      <w:rFonts w:cs="Symbol"/>
    </w:rPr>
  </w:style>
  <w:style w:type="character" w:styleId="ListLabel1245">
    <w:name w:val="ListLabel 1245"/>
    <w:qFormat/>
    <w:rPr>
      <w:rFonts w:cs="Courier New"/>
    </w:rPr>
  </w:style>
  <w:style w:type="character" w:styleId="ListLabel1246">
    <w:name w:val="ListLabel 1246"/>
    <w:qFormat/>
    <w:rPr>
      <w:rFonts w:cs="Wingdings"/>
    </w:rPr>
  </w:style>
  <w:style w:type="character" w:styleId="ListLabel1229">
    <w:name w:val="ListLabel 1229"/>
    <w:qFormat/>
    <w:rPr>
      <w:rFonts w:cs="Symbol"/>
      <w:sz w:val="20"/>
    </w:rPr>
  </w:style>
  <w:style w:type="character" w:styleId="ListLabel1230">
    <w:name w:val="ListLabel 1230"/>
    <w:qFormat/>
    <w:rPr>
      <w:rFonts w:cs="Courier New"/>
    </w:rPr>
  </w:style>
  <w:style w:type="character" w:styleId="ListLabel1231">
    <w:name w:val="ListLabel 1231"/>
    <w:qFormat/>
    <w:rPr>
      <w:rFonts w:cs="Wingdings"/>
    </w:rPr>
  </w:style>
  <w:style w:type="character" w:styleId="ListLabel1232">
    <w:name w:val="ListLabel 1232"/>
    <w:qFormat/>
    <w:rPr>
      <w:rFonts w:cs="Symbol"/>
    </w:rPr>
  </w:style>
  <w:style w:type="character" w:styleId="ListLabel1233">
    <w:name w:val="ListLabel 1233"/>
    <w:qFormat/>
    <w:rPr>
      <w:rFonts w:cs="Courier New"/>
    </w:rPr>
  </w:style>
  <w:style w:type="character" w:styleId="ListLabel1234">
    <w:name w:val="ListLabel 1234"/>
    <w:qFormat/>
    <w:rPr>
      <w:rFonts w:cs="Wingdings"/>
    </w:rPr>
  </w:style>
  <w:style w:type="character" w:styleId="ListLabel1235">
    <w:name w:val="ListLabel 1235"/>
    <w:qFormat/>
    <w:rPr>
      <w:rFonts w:cs="Symbol"/>
    </w:rPr>
  </w:style>
  <w:style w:type="character" w:styleId="ListLabel1236">
    <w:name w:val="ListLabel 1236"/>
    <w:qFormat/>
    <w:rPr>
      <w:rFonts w:cs="Courier New"/>
    </w:rPr>
  </w:style>
  <w:style w:type="character" w:styleId="ListLabel1237">
    <w:name w:val="ListLabel 1237"/>
    <w:qFormat/>
    <w:rPr>
      <w:rFonts w:cs="Wingdings"/>
    </w:rPr>
  </w:style>
  <w:style w:type="character" w:styleId="ListLabel1220">
    <w:name w:val="ListLabel 1220"/>
    <w:qFormat/>
    <w:rPr>
      <w:rFonts w:cs="Symbol"/>
      <w:sz w:val="20"/>
    </w:rPr>
  </w:style>
  <w:style w:type="character" w:styleId="ListLabel1221">
    <w:name w:val="ListLabel 1221"/>
    <w:qFormat/>
    <w:rPr>
      <w:rFonts w:cs="Courier New"/>
    </w:rPr>
  </w:style>
  <w:style w:type="character" w:styleId="ListLabel1222">
    <w:name w:val="ListLabel 1222"/>
    <w:qFormat/>
    <w:rPr>
      <w:rFonts w:cs="Wingdings"/>
    </w:rPr>
  </w:style>
  <w:style w:type="character" w:styleId="ListLabel1223">
    <w:name w:val="ListLabel 1223"/>
    <w:qFormat/>
    <w:rPr>
      <w:rFonts w:cs="Symbol"/>
    </w:rPr>
  </w:style>
  <w:style w:type="character" w:styleId="ListLabel1224">
    <w:name w:val="ListLabel 1224"/>
    <w:qFormat/>
    <w:rPr>
      <w:rFonts w:cs="Courier New"/>
    </w:rPr>
  </w:style>
  <w:style w:type="character" w:styleId="ListLabel1225">
    <w:name w:val="ListLabel 1225"/>
    <w:qFormat/>
    <w:rPr>
      <w:rFonts w:cs="Wingdings"/>
    </w:rPr>
  </w:style>
  <w:style w:type="character" w:styleId="ListLabel1226">
    <w:name w:val="ListLabel 1226"/>
    <w:qFormat/>
    <w:rPr>
      <w:rFonts w:cs="Symbol"/>
    </w:rPr>
  </w:style>
  <w:style w:type="character" w:styleId="ListLabel1227">
    <w:name w:val="ListLabel 1227"/>
    <w:qFormat/>
    <w:rPr>
      <w:rFonts w:cs="Courier New"/>
    </w:rPr>
  </w:style>
  <w:style w:type="character" w:styleId="ListLabel1228">
    <w:name w:val="ListLabel 122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ph">
    <w:name w:val="Paragraph"/>
    <w:basedOn w:val="Normal"/>
    <w:qFormat/>
    <w:pPr>
      <w:widowControl w:val="false"/>
      <w:spacing w:before="240" w:after="20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LibreOffice/5.2.6.2$MacOSX_X86_64 LibreOffice_project/a3100ed2409ebf1c212f5048fbe377c281438fdc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2019-12-04T13:14:57Z</dcterms:created>
  <dc:creator>Matteo Bassoli</dc:creator>
  <dc:description/>
  <dc:language>it-IT</dc:language>
  <cp:lastModifiedBy>Matteo Bassoli</cp:lastModifiedBy>
  <dcterms:modified xsi:type="dcterms:W3CDTF">2019-12-04T13:15:44Z</dcterms:modified>
  <cp:revision>1</cp:revision>
  <dc:subject/>
  <dc:title/>
</cp:coreProperties>
</file>