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C0" w:rsidRPr="00535B98" w:rsidRDefault="00FF73C0" w:rsidP="00535B98">
      <w:pPr>
        <w:keepNext/>
        <w:keepLines/>
        <w:spacing w:before="480" w:after="240" w:line="240" w:lineRule="auto"/>
        <w:jc w:val="center"/>
        <w:rPr>
          <w:rFonts w:ascii="Calibri" w:eastAsia="MS ????" w:hAnsi="Calibri" w:cs="Arial"/>
          <w:b/>
          <w:bCs/>
          <w:color w:val="000000"/>
          <w:sz w:val="36"/>
          <w:szCs w:val="36"/>
          <w:vertAlign w:val="superscript"/>
          <w:lang w:val="en-US"/>
        </w:rPr>
      </w:pPr>
      <w:r>
        <w:rPr>
          <w:rFonts w:ascii="Calibri" w:eastAsia="MS ????" w:hAnsi="Calibri" w:cs="Calibri"/>
          <w:b/>
          <w:bCs/>
          <w:color w:val="000000"/>
          <w:sz w:val="36"/>
          <w:szCs w:val="36"/>
          <w:lang w:val="en-US"/>
        </w:rPr>
        <w:t>Endogeneity and reverse causality in the study of local state-owned enterprises in Norway. Problems and solutions</w:t>
      </w:r>
    </w:p>
    <w:p w:rsidR="00FF73C0" w:rsidRPr="00535B98" w:rsidRDefault="00FF73C0" w:rsidP="00535B98">
      <w:pPr>
        <w:keepNext/>
        <w:keepLines/>
        <w:spacing w:before="480" w:after="240" w:line="240" w:lineRule="auto"/>
        <w:jc w:val="center"/>
        <w:rPr>
          <w:rFonts w:ascii="Calibri" w:eastAsia="MS ????" w:hAnsi="Calibri" w:cs="Calibri"/>
          <w:b/>
          <w:bCs/>
          <w:color w:val="000000"/>
          <w:sz w:val="36"/>
          <w:szCs w:val="36"/>
          <w:lang w:val="en-US"/>
        </w:rPr>
      </w:pPr>
      <w:r w:rsidRPr="00535B98">
        <w:rPr>
          <w:rFonts w:ascii="Calibri" w:eastAsia="MS ????" w:hAnsi="Calibri" w:cs="Calibri"/>
          <w:b/>
          <w:bCs/>
          <w:color w:val="000000"/>
          <w:sz w:val="36"/>
          <w:szCs w:val="36"/>
          <w:lang w:val="en-US"/>
        </w:rPr>
        <w:t xml:space="preserve">Online Appendix </w:t>
      </w:r>
    </w:p>
    <w:p w:rsidR="00FF73C0" w:rsidRPr="00535B98" w:rsidRDefault="00FF73C0" w:rsidP="00535B98">
      <w:pPr>
        <w:keepNext/>
        <w:keepLines/>
        <w:spacing w:after="200" w:line="240" w:lineRule="auto"/>
        <w:jc w:val="center"/>
        <w:rPr>
          <w:rFonts w:ascii="Cambria" w:eastAsia="Cambria" w:hAnsi="Cambria" w:cs="Cambria"/>
          <w:sz w:val="24"/>
          <w:szCs w:val="24"/>
          <w:lang w:val="en-US"/>
        </w:rPr>
      </w:pPr>
      <w:r>
        <w:rPr>
          <w:rFonts w:ascii="Cambria" w:eastAsia="Cambria" w:hAnsi="Cambria" w:cs="Cambria"/>
          <w:sz w:val="24"/>
          <w:szCs w:val="24"/>
          <w:lang w:val="en-US"/>
        </w:rPr>
        <w:t>Jan Erling Klausen</w:t>
      </w:r>
      <w:r w:rsidRPr="00535B98">
        <w:rPr>
          <w:rFonts w:ascii="Cambria" w:eastAsia="Cambria" w:hAnsi="Cambria" w:cs="Cambria"/>
          <w:sz w:val="24"/>
          <w:szCs w:val="24"/>
          <w:vertAlign w:val="superscript"/>
          <w:lang w:val="en-US"/>
        </w:rPr>
        <w:footnoteReference w:id="1"/>
      </w:r>
      <w:r w:rsidRPr="00535B98">
        <w:rPr>
          <w:rFonts w:ascii="Cambria" w:eastAsia="Cambria" w:hAnsi="Cambria" w:cs="Cambria"/>
          <w:sz w:val="24"/>
          <w:szCs w:val="24"/>
          <w:lang w:val="en-US"/>
        </w:rPr>
        <w:br/>
      </w:r>
      <w:r>
        <w:rPr>
          <w:rFonts w:ascii="Cambria" w:eastAsia="Cambria" w:hAnsi="Cambria" w:cs="Cambria"/>
          <w:sz w:val="24"/>
          <w:szCs w:val="24"/>
          <w:lang w:val="en-US"/>
        </w:rPr>
        <w:t>Marte Winsvold</w:t>
      </w:r>
      <w:r w:rsidRPr="00535B98">
        <w:rPr>
          <w:rFonts w:ascii="Cambria" w:eastAsia="Cambria" w:hAnsi="Cambria" w:cs="Cambria"/>
          <w:sz w:val="24"/>
          <w:szCs w:val="24"/>
          <w:vertAlign w:val="superscript"/>
          <w:lang w:val="en-US"/>
        </w:rPr>
        <w:footnoteReference w:id="2"/>
      </w:r>
    </w:p>
    <w:p w:rsidR="00FF73C0" w:rsidRDefault="00FF73C0">
      <w:pPr>
        <w:rPr>
          <w:lang w:val="en-US"/>
        </w:rPr>
      </w:pPr>
    </w:p>
    <w:p w:rsidR="00FF73C0" w:rsidRDefault="00FF73C0">
      <w:pPr>
        <w:rPr>
          <w:lang w:val="en-US"/>
        </w:rPr>
      </w:pPr>
      <w:r>
        <w:rPr>
          <w:lang w:val="en-US"/>
        </w:rPr>
        <w:br w:type="page"/>
      </w:r>
    </w:p>
    <w:p w:rsidR="00FF73C0" w:rsidRPr="00452E88" w:rsidRDefault="00FF73C0" w:rsidP="00452E88">
      <w:pPr>
        <w:keepNext/>
        <w:keepLines/>
        <w:spacing w:before="480" w:after="0" w:line="240" w:lineRule="auto"/>
        <w:outlineLvl w:val="0"/>
        <w:rPr>
          <w:rFonts w:ascii="Calibri" w:eastAsia="MS ????" w:hAnsi="Calibri" w:cs="Calibri"/>
          <w:b/>
          <w:bCs/>
          <w:color w:val="000000"/>
          <w:sz w:val="36"/>
          <w:szCs w:val="36"/>
          <w:lang w:val="en-US"/>
        </w:rPr>
      </w:pPr>
      <w:bookmarkStart w:id="0" w:name="sampling"/>
      <w:r>
        <w:rPr>
          <w:rFonts w:ascii="Calibri" w:eastAsia="MS ????" w:hAnsi="Calibri" w:cs="Calibri"/>
          <w:b/>
          <w:bCs/>
          <w:color w:val="000000"/>
          <w:sz w:val="36"/>
          <w:szCs w:val="36"/>
          <w:lang w:val="en-US"/>
        </w:rPr>
        <w:lastRenderedPageBreak/>
        <w:t>Reverse causality</w:t>
      </w:r>
    </w:p>
    <w:bookmarkEnd w:id="0"/>
    <w:p w:rsidR="00FF73C0" w:rsidRDefault="00FF73C0" w:rsidP="00452E88">
      <w:pPr>
        <w:rPr>
          <w:rFonts w:ascii="Cambria" w:eastAsia="Cambria" w:hAnsi="Cambria" w:cs="Cambria"/>
          <w:sz w:val="24"/>
          <w:szCs w:val="24"/>
          <w:lang w:val="en-US"/>
        </w:rPr>
      </w:pPr>
    </w:p>
    <w:p w:rsidR="00FF73C0" w:rsidRDefault="00FF73C0" w:rsidP="00353A2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analyze </w:t>
      </w:r>
      <w:r>
        <w:rPr>
          <w:rFonts w:ascii="Times New Roman" w:hAnsi="Times New Roman" w:cs="Times New Roman"/>
          <w:sz w:val="24"/>
          <w:szCs w:val="24"/>
          <w:lang w:val="en-GB"/>
        </w:rPr>
        <w:t xml:space="preserve">the impact of various accountability practices on perceived control based on data taken from a </w:t>
      </w:r>
      <w:r w:rsidRPr="00435B34">
        <w:rPr>
          <w:rFonts w:ascii="Times New Roman" w:hAnsi="Times New Roman" w:cs="Times New Roman"/>
          <w:sz w:val="24"/>
          <w:szCs w:val="24"/>
          <w:lang w:val="en-GB"/>
        </w:rPr>
        <w:t xml:space="preserve">web-based survey </w:t>
      </w:r>
      <w:r>
        <w:rPr>
          <w:rFonts w:ascii="Times New Roman" w:hAnsi="Times New Roman" w:cs="Times New Roman"/>
          <w:sz w:val="24"/>
          <w:szCs w:val="24"/>
          <w:lang w:val="en-GB"/>
        </w:rPr>
        <w:t>to</w:t>
      </w:r>
      <w:r w:rsidRPr="00435B34">
        <w:rPr>
          <w:rFonts w:ascii="Times New Roman" w:hAnsi="Times New Roman" w:cs="Times New Roman"/>
          <w:sz w:val="24"/>
          <w:szCs w:val="24"/>
          <w:lang w:val="en-GB"/>
        </w:rPr>
        <w:t xml:space="preserve"> all Norw</w:t>
      </w:r>
      <w:r>
        <w:rPr>
          <w:rFonts w:ascii="Times New Roman" w:hAnsi="Times New Roman" w:cs="Times New Roman"/>
          <w:sz w:val="24"/>
          <w:szCs w:val="24"/>
          <w:lang w:val="en-GB"/>
        </w:rPr>
        <w:t>egian</w:t>
      </w:r>
      <w:r w:rsidRPr="00435B34">
        <w:rPr>
          <w:rFonts w:ascii="Times New Roman" w:hAnsi="Times New Roman" w:cs="Times New Roman"/>
          <w:sz w:val="24"/>
          <w:szCs w:val="24"/>
          <w:lang w:val="en-GB"/>
        </w:rPr>
        <w:t xml:space="preserve"> municipalities that own at least one SOE.</w:t>
      </w:r>
      <w:r>
        <w:rPr>
          <w:rFonts w:ascii="Times New Roman" w:hAnsi="Times New Roman" w:cs="Times New Roman"/>
          <w:sz w:val="24"/>
          <w:szCs w:val="24"/>
          <w:lang w:val="en-GB"/>
        </w:rPr>
        <w:t xml:space="preserve"> Specifically, we test assumptions about causality between seven indicators of the flow of information from the SOE to elected representatives and chief managers (COs), respectively, and the COs’ evaluation of </w:t>
      </w:r>
      <w:r w:rsidRPr="009C4FC6">
        <w:rPr>
          <w:rFonts w:ascii="Times New Roman" w:hAnsi="Times New Roman" w:cs="Times New Roman"/>
          <w:sz w:val="24"/>
          <w:szCs w:val="24"/>
          <w:lang w:val="en-GB"/>
        </w:rPr>
        <w:t xml:space="preserve">control </w:t>
      </w:r>
      <w:r>
        <w:rPr>
          <w:rFonts w:ascii="Times New Roman" w:hAnsi="Times New Roman" w:cs="Times New Roman"/>
          <w:sz w:val="24"/>
          <w:szCs w:val="24"/>
          <w:lang w:val="en-GB"/>
        </w:rPr>
        <w:t>(the dependent variable). The results from the ordered logistic regression analysis largely corroborated our assumptions, as the majority of estimates were significant and in the expected direction. However, a</w:t>
      </w:r>
      <w:r w:rsidRPr="00353A24">
        <w:rPr>
          <w:rFonts w:ascii="Times New Roman" w:hAnsi="Times New Roman" w:cs="Times New Roman"/>
          <w:sz w:val="24"/>
          <w:szCs w:val="24"/>
          <w:lang w:val="en-US"/>
        </w:rPr>
        <w:t xml:space="preserve"> distinct limitation of survey-based research is that </w:t>
      </w:r>
      <w:r>
        <w:rPr>
          <w:rFonts w:ascii="Times New Roman" w:hAnsi="Times New Roman" w:cs="Times New Roman"/>
          <w:sz w:val="24"/>
          <w:szCs w:val="24"/>
          <w:lang w:val="en-US"/>
        </w:rPr>
        <w:t xml:space="preserve">correlation does not establish causation </w:t>
      </w:r>
      <w:r>
        <w:rPr>
          <w:rFonts w:ascii="Times New Roman" w:hAnsi="Times New Roman" w:cs="Times New Roman"/>
          <w:noProof/>
          <w:sz w:val="24"/>
          <w:szCs w:val="24"/>
          <w:lang w:val="en-US"/>
        </w:rPr>
        <w:t>(Dowding 2016, 142)</w:t>
      </w:r>
      <w:r>
        <w:rPr>
          <w:rFonts w:ascii="Times New Roman" w:hAnsi="Times New Roman" w:cs="Times New Roman"/>
          <w:sz w:val="24"/>
          <w:szCs w:val="24"/>
          <w:lang w:val="en-US"/>
        </w:rPr>
        <w:t xml:space="preserve">; </w:t>
      </w:r>
      <w:r w:rsidRPr="00353A24">
        <w:rPr>
          <w:rFonts w:ascii="Times New Roman" w:hAnsi="Times New Roman" w:cs="Times New Roman"/>
          <w:sz w:val="24"/>
          <w:szCs w:val="24"/>
          <w:lang w:val="en-US"/>
        </w:rPr>
        <w:t xml:space="preserve">causal relationships </w:t>
      </w:r>
      <w:r>
        <w:rPr>
          <w:rFonts w:ascii="Times New Roman" w:hAnsi="Times New Roman" w:cs="Times New Roman"/>
          <w:sz w:val="24"/>
          <w:szCs w:val="24"/>
          <w:lang w:val="en-US"/>
        </w:rPr>
        <w:t>and</w:t>
      </w:r>
      <w:r w:rsidRPr="00353A24">
        <w:rPr>
          <w:rFonts w:ascii="Times New Roman" w:hAnsi="Times New Roman" w:cs="Times New Roman"/>
          <w:sz w:val="24"/>
          <w:szCs w:val="24"/>
          <w:lang w:val="en-US"/>
        </w:rPr>
        <w:t xml:space="preserve"> the </w:t>
      </w:r>
      <w:r>
        <w:rPr>
          <w:rFonts w:ascii="Times New Roman" w:hAnsi="Times New Roman" w:cs="Times New Roman"/>
          <w:sz w:val="24"/>
          <w:szCs w:val="24"/>
          <w:lang w:val="en-US"/>
        </w:rPr>
        <w:t>causal ordering of the variables</w:t>
      </w:r>
      <w:r w:rsidRPr="00353A24">
        <w:rPr>
          <w:rFonts w:ascii="Times New Roman" w:hAnsi="Times New Roman" w:cs="Times New Roman"/>
          <w:sz w:val="24"/>
          <w:szCs w:val="24"/>
          <w:lang w:val="en-US"/>
        </w:rPr>
        <w:t xml:space="preserve"> cannot be established based on the identification of statistically significant associations alone </w:t>
      </w:r>
      <w:r>
        <w:rPr>
          <w:rFonts w:ascii="Times New Roman" w:hAnsi="Times New Roman" w:cs="Times New Roman"/>
          <w:noProof/>
          <w:sz w:val="24"/>
          <w:szCs w:val="24"/>
          <w:lang w:val="en-US"/>
        </w:rPr>
        <w:t>(Davis 1985, Kleinbaum 1998)</w:t>
      </w:r>
      <w:r w:rsidRPr="00353A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following, we discuss how the problem of reverse causality may affect the credibility and robustness of our findings, and carry out statistical tests. </w:t>
      </w:r>
    </w:p>
    <w:p w:rsidR="00FF73C0" w:rsidRDefault="00FF73C0" w:rsidP="00C81D8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Reverse causality means that the analytical model is based on invalid assumptions about the causal ordering of the independent and dependent variables. </w:t>
      </w:r>
      <w:proofErr w:type="gramStart"/>
      <w:r>
        <w:rPr>
          <w:rFonts w:ascii="Times New Roman" w:hAnsi="Times New Roman" w:cs="Times New Roman"/>
          <w:sz w:val="24"/>
          <w:szCs w:val="24"/>
          <w:lang w:val="en-US"/>
        </w:rPr>
        <w:t>While the model assumes that variation in a dependent variable (Y) is caused by one or several independent variables (X), it is actually the variable Y that affects X.</w:t>
      </w:r>
      <w:proofErr w:type="gramEnd"/>
      <w:r>
        <w:rPr>
          <w:rFonts w:ascii="Times New Roman" w:hAnsi="Times New Roman" w:cs="Times New Roman"/>
          <w:sz w:val="24"/>
          <w:szCs w:val="24"/>
          <w:lang w:val="en-US"/>
        </w:rPr>
        <w:t xml:space="preserve"> If so, observed correlation between X and Y cannot be interpreted as a valid indicator in support of the analytical model. The survey method is particularly susceptible to this validity threat, since the values of independent and dependent variables are observed simultaneously. </w:t>
      </w:r>
    </w:p>
    <w:p w:rsidR="00FF73C0" w:rsidRDefault="00FF73C0" w:rsidP="00CB42EF">
      <w:pPr>
        <w:spacing w:line="480" w:lineRule="auto"/>
        <w:rPr>
          <w:rFonts w:ascii="Times New Roman" w:hAnsi="Times New Roman" w:cs="Times New Roman"/>
          <w:sz w:val="24"/>
          <w:szCs w:val="24"/>
          <w:lang w:val="en-GB"/>
        </w:rPr>
      </w:pPr>
      <w:r>
        <w:rPr>
          <w:rFonts w:ascii="Times New Roman" w:hAnsi="Times New Roman" w:cs="Times New Roman"/>
          <w:sz w:val="24"/>
          <w:szCs w:val="24"/>
          <w:lang w:val="en-US"/>
        </w:rPr>
        <w:t xml:space="preserve">In the present analysis, reverse causality would imply that the CO’s sense of control affects the structuring of information flows between the SOEs and </w:t>
      </w:r>
      <w:r>
        <w:rPr>
          <w:rFonts w:ascii="Times New Roman" w:hAnsi="Times New Roman" w:cs="Times New Roman"/>
          <w:sz w:val="24"/>
          <w:szCs w:val="24"/>
          <w:lang w:val="en-GB"/>
        </w:rPr>
        <w:t xml:space="preserve">elected representatives/COs – not the other way around, as assumed by the model. In other words, some COs would perceive to be in control because they themselves have ensured that the said information flows run in the </w:t>
      </w:r>
      <w:r>
        <w:rPr>
          <w:rFonts w:ascii="Times New Roman" w:hAnsi="Times New Roman" w:cs="Times New Roman"/>
          <w:sz w:val="24"/>
          <w:szCs w:val="24"/>
          <w:lang w:val="en-GB"/>
        </w:rPr>
        <w:lastRenderedPageBreak/>
        <w:t xml:space="preserve">desired directions. It follows logically that a precondition for reverse causality is that COs are actually capable of structuring information flows as they see fit. At first sight, this precondition does not seem to </w:t>
      </w:r>
      <w:proofErr w:type="gramStart"/>
      <w:r>
        <w:rPr>
          <w:rFonts w:ascii="Times New Roman" w:hAnsi="Times New Roman" w:cs="Times New Roman"/>
          <w:sz w:val="24"/>
          <w:szCs w:val="24"/>
          <w:lang w:val="en-GB"/>
        </w:rPr>
        <w:t>be corroborated</w:t>
      </w:r>
      <w:proofErr w:type="gramEnd"/>
      <w:r>
        <w:rPr>
          <w:rFonts w:ascii="Times New Roman" w:hAnsi="Times New Roman" w:cs="Times New Roman"/>
          <w:sz w:val="24"/>
          <w:szCs w:val="24"/>
          <w:lang w:val="en-GB"/>
        </w:rPr>
        <w:t xml:space="preserve"> by evidence. Because SOEs are independent legal entities, they are not integral parts of the municipal administration and so not subsumed under the COs chain of command. Consequently, the COs do not possess any legal mandate for making interventions in the governance of SOEs. Because the local government act designates the mayor as the legal representative of the municipality, all information from the SOE to the municipality passes through the mayor’s office. The mayor is the municipal owner’s representative in the general assembly (Ltd.) and the corporate assembly (IMCs). Because it seems unlikely from a legal perspective that the COs are in a position to structure the information flows between the SOEs and the municipality, the causal ordering in the analytical model seems appropriate. </w:t>
      </w:r>
    </w:p>
    <w:p w:rsidR="00FF73C0" w:rsidRDefault="00FF73C0" w:rsidP="00CB42EF">
      <w:pPr>
        <w:spacing w:line="480" w:lineRule="auto"/>
        <w:rPr>
          <w:rFonts w:ascii="Times New Roman" w:hAnsi="Times New Roman" w:cs="Times New Roman"/>
          <w:sz w:val="24"/>
          <w:szCs w:val="24"/>
          <w:lang w:val="en-GB"/>
        </w:rPr>
      </w:pPr>
      <w:r>
        <w:rPr>
          <w:rFonts w:ascii="Times New Roman" w:hAnsi="Times New Roman" w:cs="Times New Roman"/>
          <w:sz w:val="24"/>
          <w:szCs w:val="24"/>
          <w:lang w:val="en-US"/>
        </w:rPr>
        <w:t xml:space="preserve">An appropriate method for testing assumptions about causal ordering is the </w:t>
      </w:r>
      <w:r w:rsidRPr="00866FE4">
        <w:rPr>
          <w:rFonts w:ascii="Times New Roman" w:hAnsi="Times New Roman" w:cs="Times New Roman"/>
          <w:i/>
          <w:sz w:val="24"/>
          <w:szCs w:val="24"/>
          <w:lang w:val="en-US"/>
        </w:rPr>
        <w:t>instrumental variables</w:t>
      </w:r>
      <w:r>
        <w:rPr>
          <w:rFonts w:ascii="Times New Roman" w:hAnsi="Times New Roman" w:cs="Times New Roman"/>
          <w:sz w:val="24"/>
          <w:szCs w:val="24"/>
          <w:lang w:val="en-US"/>
        </w:rPr>
        <w:t xml:space="preserve"> method </w:t>
      </w:r>
      <w:r>
        <w:rPr>
          <w:rFonts w:ascii="Times New Roman" w:hAnsi="Times New Roman" w:cs="Times New Roman"/>
          <w:noProof/>
          <w:sz w:val="24"/>
          <w:szCs w:val="24"/>
          <w:lang w:val="en-US"/>
        </w:rPr>
        <w:t>(Angrist and Pischke 2015)</w:t>
      </w:r>
      <w:r>
        <w:rPr>
          <w:rFonts w:ascii="Times New Roman" w:hAnsi="Times New Roman" w:cs="Times New Roman"/>
          <w:sz w:val="24"/>
          <w:szCs w:val="24"/>
          <w:lang w:val="en-US"/>
        </w:rPr>
        <w:t>. An “instrument” is a contextually occurring phenomenon that has a causal effect on the independent variable but is uncorrelated with the dependent variable. Furthermore, values on the instrumental variable needs to be randomly assigned so as not to correlate with control variables included in the analytical model. The existence of an instrumental variable allows the researcher to test the causal ordering of the analytical model even when controlled experiments are unfeasible. In the context of the present analysis, there is however no “instrument” that could serve this purpose. Because the instrumental variables method is unavailable for testing the causal ordering of the model, we analyze the feasibility of the reverse causality assumption as regards the COs’ capacity for organizing the accountability process.</w:t>
      </w:r>
    </w:p>
    <w:p w:rsidR="00FF73C0" w:rsidRPr="004765D6" w:rsidRDefault="00FF73C0" w:rsidP="004765D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Given that COs were actually in a position to structure the information flows in the accountability process through deliberate intervention (the precondition for reverse causality)</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we would expect systematic differences between long-serving COs and newly employed COs. </w:t>
      </w:r>
      <w:r>
        <w:rPr>
          <w:rFonts w:ascii="Times New Roman" w:hAnsi="Times New Roman" w:cs="Times New Roman"/>
          <w:sz w:val="24"/>
          <w:szCs w:val="24"/>
          <w:lang w:val="en-GB"/>
        </w:rPr>
        <w:t xml:space="preserve">Because restructuring of procedures for information processing presumably takes time, </w:t>
      </w:r>
      <w:r w:rsidRPr="004765D6">
        <w:rPr>
          <w:rFonts w:ascii="Times New Roman" w:hAnsi="Times New Roman" w:cs="Times New Roman"/>
          <w:sz w:val="24"/>
          <w:szCs w:val="24"/>
          <w:lang w:val="en-US"/>
        </w:rPr>
        <w:t xml:space="preserve">newly employed managers </w:t>
      </w:r>
      <w:r>
        <w:rPr>
          <w:rFonts w:ascii="Times New Roman" w:hAnsi="Times New Roman" w:cs="Times New Roman"/>
          <w:sz w:val="24"/>
          <w:szCs w:val="24"/>
          <w:lang w:val="en-US"/>
        </w:rPr>
        <w:t>would have to</w:t>
      </w:r>
      <w:r w:rsidRPr="004765D6">
        <w:rPr>
          <w:rFonts w:ascii="Times New Roman" w:hAnsi="Times New Roman" w:cs="Times New Roman"/>
          <w:sz w:val="24"/>
          <w:szCs w:val="24"/>
          <w:lang w:val="en-US"/>
        </w:rPr>
        <w:t xml:space="preserve"> operate within the accountability regime established by </w:t>
      </w:r>
      <w:r>
        <w:rPr>
          <w:rFonts w:ascii="Times New Roman" w:hAnsi="Times New Roman" w:cs="Times New Roman"/>
          <w:sz w:val="24"/>
          <w:szCs w:val="24"/>
          <w:lang w:val="en-US"/>
        </w:rPr>
        <w:t>their predecessors</w:t>
      </w:r>
      <w:r w:rsidRPr="004765D6">
        <w:rPr>
          <w:rFonts w:ascii="Times New Roman" w:hAnsi="Times New Roman" w:cs="Times New Roman"/>
          <w:sz w:val="24"/>
          <w:szCs w:val="24"/>
          <w:lang w:val="en-US"/>
        </w:rPr>
        <w:t xml:space="preserve">. </w:t>
      </w:r>
      <w:r>
        <w:rPr>
          <w:rFonts w:ascii="Times New Roman" w:hAnsi="Times New Roman" w:cs="Times New Roman"/>
          <w:sz w:val="24"/>
          <w:szCs w:val="24"/>
          <w:lang w:val="en-US"/>
        </w:rPr>
        <w:t>Consequently, t</w:t>
      </w:r>
      <w:r w:rsidRPr="004765D6">
        <w:rPr>
          <w:rFonts w:ascii="Times New Roman" w:hAnsi="Times New Roman" w:cs="Times New Roman"/>
          <w:sz w:val="24"/>
          <w:szCs w:val="24"/>
          <w:lang w:val="en-US"/>
        </w:rPr>
        <w:t>he</w:t>
      </w:r>
      <w:r>
        <w:rPr>
          <w:rFonts w:ascii="Times New Roman" w:hAnsi="Times New Roman" w:cs="Times New Roman"/>
          <w:sz w:val="24"/>
          <w:szCs w:val="24"/>
          <w:lang w:val="en-US"/>
        </w:rPr>
        <w:t xml:space="preserve"> perception</w:t>
      </w:r>
      <w:r w:rsidRPr="004765D6">
        <w:rPr>
          <w:rFonts w:ascii="Times New Roman" w:hAnsi="Times New Roman" w:cs="Times New Roman"/>
          <w:sz w:val="24"/>
          <w:szCs w:val="24"/>
          <w:lang w:val="en-US"/>
        </w:rPr>
        <w:t xml:space="preserve"> of control</w:t>
      </w:r>
      <w:r>
        <w:rPr>
          <w:rFonts w:ascii="Times New Roman" w:hAnsi="Times New Roman" w:cs="Times New Roman"/>
          <w:sz w:val="24"/>
          <w:szCs w:val="24"/>
          <w:lang w:val="en-US"/>
        </w:rPr>
        <w:t xml:space="preserve"> cannot </w:t>
      </w:r>
      <w:r w:rsidRPr="004765D6">
        <w:rPr>
          <w:rFonts w:ascii="Times New Roman" w:hAnsi="Times New Roman" w:cs="Times New Roman"/>
          <w:sz w:val="24"/>
          <w:szCs w:val="24"/>
          <w:lang w:val="en-US"/>
        </w:rPr>
        <w:t>have affected the accountability practices</w:t>
      </w:r>
      <w:r w:rsidRPr="0069742E">
        <w:rPr>
          <w:rFonts w:ascii="Times New Roman" w:hAnsi="Times New Roman" w:cs="Times New Roman"/>
          <w:sz w:val="24"/>
          <w:szCs w:val="24"/>
          <w:lang w:val="en-US"/>
        </w:rPr>
        <w:t xml:space="preserve"> </w:t>
      </w:r>
      <w:r>
        <w:rPr>
          <w:rFonts w:ascii="Times New Roman" w:hAnsi="Times New Roman" w:cs="Times New Roman"/>
          <w:sz w:val="24"/>
          <w:szCs w:val="24"/>
          <w:lang w:val="en-US"/>
        </w:rPr>
        <w:t>among newly employed COs</w:t>
      </w:r>
      <w:r w:rsidRPr="004765D6">
        <w:rPr>
          <w:rFonts w:ascii="Times New Roman" w:hAnsi="Times New Roman" w:cs="Times New Roman"/>
          <w:sz w:val="24"/>
          <w:szCs w:val="24"/>
          <w:lang w:val="en-US"/>
        </w:rPr>
        <w:t>.</w:t>
      </w:r>
      <w:r>
        <w:rPr>
          <w:rFonts w:ascii="Times New Roman" w:hAnsi="Times New Roman" w:cs="Times New Roman"/>
          <w:sz w:val="24"/>
          <w:szCs w:val="24"/>
          <w:lang w:val="en-US"/>
        </w:rPr>
        <w:t xml:space="preserve"> We use data on the tenure of COs to test this assumption. </w:t>
      </w:r>
      <w:r w:rsidRPr="004765D6">
        <w:rPr>
          <w:rFonts w:ascii="Times New Roman" w:hAnsi="Times New Roman" w:cs="Times New Roman"/>
          <w:sz w:val="24"/>
          <w:szCs w:val="24"/>
          <w:lang w:val="en-US"/>
        </w:rPr>
        <w:t xml:space="preserve">Two reservations to this test must be made. First, </w:t>
      </w:r>
      <w:r>
        <w:rPr>
          <w:rFonts w:ascii="Times New Roman" w:hAnsi="Times New Roman" w:cs="Times New Roman"/>
          <w:sz w:val="24"/>
          <w:szCs w:val="24"/>
          <w:lang w:val="en-US"/>
        </w:rPr>
        <w:t xml:space="preserve">as noted, the survey respondent in each municipality was </w:t>
      </w:r>
      <w:r w:rsidRPr="004765D6">
        <w:rPr>
          <w:rFonts w:ascii="Times New Roman" w:hAnsi="Times New Roman" w:cs="Times New Roman"/>
          <w:sz w:val="24"/>
          <w:szCs w:val="24"/>
          <w:lang w:val="en-US"/>
        </w:rPr>
        <w:t xml:space="preserve">the person responsible for </w:t>
      </w:r>
      <w:r>
        <w:rPr>
          <w:rFonts w:ascii="Times New Roman" w:hAnsi="Times New Roman" w:cs="Times New Roman"/>
          <w:sz w:val="24"/>
          <w:szCs w:val="24"/>
          <w:lang w:val="en-US"/>
        </w:rPr>
        <w:t>SOE management</w:t>
      </w:r>
      <w:r w:rsidRPr="004765D6">
        <w:rPr>
          <w:rFonts w:ascii="Times New Roman" w:hAnsi="Times New Roman" w:cs="Times New Roman"/>
          <w:sz w:val="24"/>
          <w:szCs w:val="24"/>
          <w:lang w:val="en-US"/>
        </w:rPr>
        <w:t xml:space="preserve">. In some of the larger municipalities, </w:t>
      </w:r>
      <w:r>
        <w:rPr>
          <w:rFonts w:ascii="Times New Roman" w:hAnsi="Times New Roman" w:cs="Times New Roman"/>
          <w:sz w:val="24"/>
          <w:szCs w:val="24"/>
          <w:lang w:val="en-US"/>
        </w:rPr>
        <w:t xml:space="preserve">the respondent would have been </w:t>
      </w:r>
      <w:r w:rsidRPr="004765D6">
        <w:rPr>
          <w:rFonts w:ascii="Times New Roman" w:hAnsi="Times New Roman" w:cs="Times New Roman"/>
          <w:sz w:val="24"/>
          <w:szCs w:val="24"/>
          <w:lang w:val="en-US"/>
        </w:rPr>
        <w:t>some</w:t>
      </w:r>
      <w:r>
        <w:rPr>
          <w:rFonts w:ascii="Times New Roman" w:hAnsi="Times New Roman" w:cs="Times New Roman"/>
          <w:sz w:val="24"/>
          <w:szCs w:val="24"/>
          <w:lang w:val="en-US"/>
        </w:rPr>
        <w:t>one</w:t>
      </w:r>
      <w:r w:rsidRPr="004765D6">
        <w:rPr>
          <w:rFonts w:ascii="Times New Roman" w:hAnsi="Times New Roman" w:cs="Times New Roman"/>
          <w:sz w:val="24"/>
          <w:szCs w:val="24"/>
          <w:lang w:val="en-US"/>
        </w:rPr>
        <w:t xml:space="preserve"> other than the </w:t>
      </w:r>
      <w:r>
        <w:rPr>
          <w:rFonts w:ascii="Times New Roman" w:hAnsi="Times New Roman" w:cs="Times New Roman"/>
          <w:sz w:val="24"/>
          <w:szCs w:val="24"/>
          <w:lang w:val="en-US"/>
        </w:rPr>
        <w:t>CO</w:t>
      </w:r>
      <w:r w:rsidRPr="004765D6">
        <w:rPr>
          <w:rFonts w:ascii="Times New Roman" w:hAnsi="Times New Roman" w:cs="Times New Roman"/>
          <w:sz w:val="24"/>
          <w:szCs w:val="24"/>
          <w:lang w:val="en-US"/>
        </w:rPr>
        <w:t xml:space="preserve">, but </w:t>
      </w:r>
      <w:r>
        <w:rPr>
          <w:rFonts w:ascii="Times New Roman" w:hAnsi="Times New Roman" w:cs="Times New Roman"/>
          <w:sz w:val="24"/>
          <w:szCs w:val="24"/>
          <w:lang w:val="en-US"/>
        </w:rPr>
        <w:t xml:space="preserve">regrettably, exact data on the identity of each respondent is unavailable. </w:t>
      </w:r>
      <w:r w:rsidRPr="004765D6">
        <w:rPr>
          <w:rFonts w:ascii="Times New Roman" w:hAnsi="Times New Roman" w:cs="Times New Roman"/>
          <w:sz w:val="24"/>
          <w:szCs w:val="24"/>
          <w:lang w:val="en-US"/>
        </w:rPr>
        <w:t xml:space="preserve">We have therefore </w:t>
      </w:r>
      <w:r>
        <w:rPr>
          <w:rFonts w:ascii="Times New Roman" w:hAnsi="Times New Roman" w:cs="Times New Roman"/>
          <w:sz w:val="24"/>
          <w:szCs w:val="24"/>
          <w:lang w:val="en-US"/>
        </w:rPr>
        <w:t>excluded</w:t>
      </w:r>
      <w:r w:rsidRPr="004765D6">
        <w:rPr>
          <w:rFonts w:ascii="Times New Roman" w:hAnsi="Times New Roman" w:cs="Times New Roman"/>
          <w:sz w:val="24"/>
          <w:szCs w:val="24"/>
          <w:lang w:val="en-US"/>
        </w:rPr>
        <w:t xml:space="preserve"> the respondents from the </w:t>
      </w:r>
      <w:r>
        <w:rPr>
          <w:rFonts w:ascii="Times New Roman" w:hAnsi="Times New Roman" w:cs="Times New Roman"/>
          <w:sz w:val="24"/>
          <w:szCs w:val="24"/>
          <w:lang w:val="en-US"/>
        </w:rPr>
        <w:t>four</w:t>
      </w:r>
      <w:r w:rsidRPr="004765D6">
        <w:rPr>
          <w:rFonts w:ascii="Times New Roman" w:hAnsi="Times New Roman" w:cs="Times New Roman"/>
          <w:sz w:val="24"/>
          <w:szCs w:val="24"/>
          <w:lang w:val="en-US"/>
        </w:rPr>
        <w:t xml:space="preserve"> largest municipalities from the </w:t>
      </w:r>
      <w:r>
        <w:rPr>
          <w:rFonts w:ascii="Times New Roman" w:hAnsi="Times New Roman" w:cs="Times New Roman"/>
          <w:sz w:val="24"/>
          <w:szCs w:val="24"/>
          <w:lang w:val="en-US"/>
        </w:rPr>
        <w:t>test</w:t>
      </w:r>
      <w:r w:rsidRPr="004765D6">
        <w:rPr>
          <w:rFonts w:ascii="Times New Roman" w:hAnsi="Times New Roman" w:cs="Times New Roman"/>
          <w:sz w:val="24"/>
          <w:szCs w:val="24"/>
          <w:lang w:val="en-US"/>
        </w:rPr>
        <w:t xml:space="preserve">. The second reservation to this test is that some of the </w:t>
      </w:r>
      <w:r>
        <w:rPr>
          <w:rFonts w:ascii="Times New Roman" w:hAnsi="Times New Roman" w:cs="Times New Roman"/>
          <w:sz w:val="24"/>
          <w:szCs w:val="24"/>
          <w:lang w:val="en-US"/>
        </w:rPr>
        <w:t>COs</w:t>
      </w:r>
      <w:r w:rsidRPr="004765D6">
        <w:rPr>
          <w:rFonts w:ascii="Times New Roman" w:hAnsi="Times New Roman" w:cs="Times New Roman"/>
          <w:sz w:val="24"/>
          <w:szCs w:val="24"/>
          <w:lang w:val="en-US"/>
        </w:rPr>
        <w:t xml:space="preserve"> could have acted very quickly</w:t>
      </w:r>
      <w:r>
        <w:rPr>
          <w:rFonts w:ascii="Times New Roman" w:hAnsi="Times New Roman" w:cs="Times New Roman"/>
          <w:sz w:val="24"/>
          <w:szCs w:val="24"/>
          <w:lang w:val="en-US"/>
        </w:rPr>
        <w:t>, in terms of restructuring the accountability process in their new municipality</w:t>
      </w:r>
      <w:r w:rsidRPr="004765D6">
        <w:rPr>
          <w:rFonts w:ascii="Times New Roman" w:hAnsi="Times New Roman" w:cs="Times New Roman"/>
          <w:sz w:val="24"/>
          <w:szCs w:val="24"/>
          <w:lang w:val="en-US"/>
        </w:rPr>
        <w:t>. The survey was conducted in spring 2014, and we have counted as “new</w:t>
      </w:r>
      <w:r>
        <w:rPr>
          <w:rFonts w:ascii="Times New Roman" w:hAnsi="Times New Roman" w:cs="Times New Roman"/>
          <w:sz w:val="24"/>
          <w:szCs w:val="24"/>
          <w:lang w:val="en-US"/>
        </w:rPr>
        <w:t>ly employed</w:t>
      </w:r>
      <w:r w:rsidRPr="004765D6">
        <w:rPr>
          <w:rFonts w:ascii="Times New Roman" w:hAnsi="Times New Roman" w:cs="Times New Roman"/>
          <w:sz w:val="24"/>
          <w:szCs w:val="24"/>
          <w:lang w:val="en-US"/>
        </w:rPr>
        <w:t xml:space="preserve">” those who </w:t>
      </w:r>
      <w:r>
        <w:rPr>
          <w:rFonts w:ascii="Times New Roman" w:hAnsi="Times New Roman" w:cs="Times New Roman"/>
          <w:sz w:val="24"/>
          <w:szCs w:val="24"/>
          <w:lang w:val="en-US"/>
        </w:rPr>
        <w:t>became COs</w:t>
      </w:r>
      <w:r w:rsidRPr="004765D6">
        <w:rPr>
          <w:rFonts w:ascii="Times New Roman" w:hAnsi="Times New Roman" w:cs="Times New Roman"/>
          <w:sz w:val="24"/>
          <w:szCs w:val="24"/>
          <w:lang w:val="en-US"/>
        </w:rPr>
        <w:t xml:space="preserve"> in 2013 or 2014. </w:t>
      </w:r>
    </w:p>
    <w:p w:rsidR="00FF73C0" w:rsidRDefault="00FF73C0" w:rsidP="0009421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Table A1 presents bivariate correlations between the COs’ length of service and the seven independent variables denoting the three phases of the accountability process in the analytical model.</w:t>
      </w:r>
    </w:p>
    <w:p w:rsidR="00FF73C0" w:rsidRPr="00094210" w:rsidRDefault="00FF73C0" w:rsidP="003E047F">
      <w:pPr>
        <w:keepNext/>
        <w:keepLines/>
        <w:spacing w:line="480" w:lineRule="auto"/>
        <w:rPr>
          <w:rFonts w:ascii="Times New Roman" w:hAnsi="Times New Roman" w:cs="Times New Roman"/>
          <w:i/>
          <w:sz w:val="24"/>
          <w:szCs w:val="24"/>
          <w:lang w:val="en-GB"/>
        </w:rPr>
      </w:pPr>
      <w:r w:rsidRPr="00094210">
        <w:rPr>
          <w:rFonts w:ascii="Times New Roman" w:hAnsi="Times New Roman" w:cs="Times New Roman"/>
          <w:i/>
          <w:sz w:val="24"/>
          <w:szCs w:val="24"/>
          <w:lang w:val="en-GB"/>
        </w:rPr>
        <w:lastRenderedPageBreak/>
        <w:t xml:space="preserve">Table A1: CO length of service and indicators of accountability practices. </w:t>
      </w:r>
      <w:r>
        <w:rPr>
          <w:rFonts w:ascii="Times New Roman" w:hAnsi="Times New Roman" w:cs="Times New Roman"/>
          <w:i/>
          <w:sz w:val="24"/>
          <w:szCs w:val="24"/>
          <w:lang w:val="en-GB"/>
        </w:rPr>
        <w:t>Bivariate correlations (P</w:t>
      </w:r>
      <w:r w:rsidRPr="00094210">
        <w:rPr>
          <w:rFonts w:ascii="Times New Roman" w:hAnsi="Times New Roman" w:cs="Times New Roman"/>
          <w:i/>
          <w:sz w:val="24"/>
          <w:szCs w:val="24"/>
          <w:lang w:val="en-GB"/>
        </w:rPr>
        <w:t>earson’s r), p-values</w:t>
      </w:r>
    </w:p>
    <w:tbl>
      <w:tblPr>
        <w:tblStyle w:val="Tabellrutenett1"/>
        <w:tblW w:w="926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907"/>
        <w:gridCol w:w="1770"/>
        <w:gridCol w:w="797"/>
      </w:tblGrid>
      <w:tr w:rsidR="00FF73C0" w:rsidTr="00890991">
        <w:trPr>
          <w:trHeight w:val="567"/>
        </w:trPr>
        <w:tc>
          <w:tcPr>
            <w:tcW w:w="1795" w:type="dxa"/>
            <w:tcBorders>
              <w:top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p>
        </w:tc>
        <w:tc>
          <w:tcPr>
            <w:tcW w:w="4907" w:type="dxa"/>
            <w:tcBorders>
              <w:top w:val="single" w:sz="4" w:space="0" w:color="auto"/>
              <w:right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p>
        </w:tc>
        <w:tc>
          <w:tcPr>
            <w:tcW w:w="1770" w:type="dxa"/>
            <w:tcBorders>
              <w:top w:val="single" w:sz="4" w:space="0" w:color="auto"/>
              <w:left w:val="single" w:sz="4" w:space="0" w:color="auto"/>
              <w:bottom w:val="single" w:sz="4" w:space="0" w:color="auto"/>
            </w:tcBorders>
          </w:tcPr>
          <w:p w:rsidR="00FF73C0" w:rsidRDefault="00FF73C0" w:rsidP="003E047F">
            <w:pPr>
              <w:keepNext/>
              <w:keepLine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Tenure 0 and 1</w:t>
            </w:r>
          </w:p>
        </w:tc>
        <w:tc>
          <w:tcPr>
            <w:tcW w:w="797" w:type="dxa"/>
            <w:tcBorders>
              <w:top w:val="single" w:sz="4" w:space="0" w:color="auto"/>
              <w:bottom w:val="single" w:sz="4" w:space="0" w:color="auto"/>
            </w:tcBorders>
          </w:tcPr>
          <w:p w:rsidR="00FF73C0" w:rsidRDefault="00FF73C0" w:rsidP="003E047F">
            <w:pPr>
              <w:keepNext/>
              <w:keepLine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w:t>
            </w:r>
          </w:p>
        </w:tc>
      </w:tr>
      <w:tr w:rsidR="00FF73C0" w:rsidRPr="00B45B15" w:rsidTr="00890991">
        <w:trPr>
          <w:trHeight w:val="556"/>
        </w:trPr>
        <w:tc>
          <w:tcPr>
            <w:tcW w:w="1795" w:type="dxa"/>
            <w:tcBorders>
              <w:top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Information</w:t>
            </w:r>
          </w:p>
        </w:tc>
        <w:tc>
          <w:tcPr>
            <w:tcW w:w="4907" w:type="dxa"/>
            <w:tcBorders>
              <w:top w:val="single" w:sz="4" w:space="0" w:color="auto"/>
              <w:right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Politicians informed of goal obtainment</w:t>
            </w:r>
          </w:p>
        </w:tc>
        <w:tc>
          <w:tcPr>
            <w:tcW w:w="1770" w:type="dxa"/>
            <w:tcBorders>
              <w:top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sidRPr="00890991">
              <w:rPr>
                <w:rFonts w:ascii="Times New Roman" w:hAnsi="Times New Roman" w:cs="Times New Roman"/>
                <w:sz w:val="24"/>
                <w:szCs w:val="24"/>
              </w:rPr>
              <w:t>-.11**</w:t>
            </w:r>
          </w:p>
        </w:tc>
        <w:tc>
          <w:tcPr>
            <w:tcW w:w="797" w:type="dxa"/>
            <w:tcBorders>
              <w:top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.02</w:t>
            </w:r>
          </w:p>
        </w:tc>
      </w:tr>
      <w:tr w:rsidR="00FF73C0" w:rsidRPr="00B45B15" w:rsidTr="00890991">
        <w:trPr>
          <w:trHeight w:val="586"/>
        </w:trPr>
        <w:tc>
          <w:tcPr>
            <w:tcW w:w="1795" w:type="dxa"/>
          </w:tcPr>
          <w:p w:rsidR="00FF73C0" w:rsidRPr="00B45B15" w:rsidRDefault="00FF73C0" w:rsidP="003E047F">
            <w:pPr>
              <w:keepNext/>
              <w:keepLines/>
              <w:spacing w:line="480" w:lineRule="auto"/>
              <w:rPr>
                <w:rFonts w:ascii="Times New Roman" w:hAnsi="Times New Roman" w:cs="Times New Roman"/>
                <w:sz w:val="24"/>
                <w:szCs w:val="24"/>
                <w:lang w:val="en-GB"/>
              </w:rPr>
            </w:pPr>
          </w:p>
        </w:tc>
        <w:tc>
          <w:tcPr>
            <w:tcW w:w="4907" w:type="dxa"/>
            <w:tcBorders>
              <w:right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Administration informed of goal obtainment</w:t>
            </w:r>
          </w:p>
        </w:tc>
        <w:tc>
          <w:tcPr>
            <w:tcW w:w="1770" w:type="dxa"/>
          </w:tcPr>
          <w:p w:rsidR="00FF73C0" w:rsidRPr="00B45B15" w:rsidRDefault="00FF73C0" w:rsidP="003E047F">
            <w:pPr>
              <w:keepNext/>
              <w:keepLines/>
              <w:spacing w:line="480" w:lineRule="auto"/>
              <w:rPr>
                <w:rFonts w:ascii="Times New Roman" w:hAnsi="Times New Roman" w:cs="Times New Roman"/>
                <w:sz w:val="24"/>
                <w:szCs w:val="24"/>
                <w:lang w:val="en-GB"/>
              </w:rPr>
            </w:pPr>
            <w:r w:rsidRPr="00890991">
              <w:rPr>
                <w:rFonts w:ascii="Times New Roman" w:hAnsi="Times New Roman" w:cs="Times New Roman"/>
                <w:sz w:val="24"/>
                <w:szCs w:val="24"/>
              </w:rPr>
              <w:t>.012</w:t>
            </w:r>
          </w:p>
        </w:tc>
        <w:tc>
          <w:tcPr>
            <w:tcW w:w="797" w:type="dxa"/>
          </w:tcPr>
          <w:p w:rsidR="00FF73C0" w:rsidRPr="00B45B15" w:rsidRDefault="00FF73C0" w:rsidP="003E047F">
            <w:pPr>
              <w:keepNext/>
              <w:keepLine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.88</w:t>
            </w:r>
          </w:p>
        </w:tc>
      </w:tr>
      <w:tr w:rsidR="00FF73C0" w:rsidRPr="00B45B15" w:rsidTr="00890991">
        <w:trPr>
          <w:trHeight w:val="556"/>
        </w:trPr>
        <w:tc>
          <w:tcPr>
            <w:tcW w:w="1795" w:type="dxa"/>
          </w:tcPr>
          <w:p w:rsidR="00FF73C0" w:rsidRPr="00B45B15" w:rsidRDefault="00FF73C0" w:rsidP="003E047F">
            <w:pPr>
              <w:keepNext/>
              <w:keepLines/>
              <w:spacing w:line="480" w:lineRule="auto"/>
              <w:rPr>
                <w:rFonts w:ascii="Times New Roman" w:hAnsi="Times New Roman" w:cs="Times New Roman"/>
                <w:sz w:val="24"/>
                <w:szCs w:val="24"/>
                <w:lang w:val="en-GB"/>
              </w:rPr>
            </w:pPr>
          </w:p>
        </w:tc>
        <w:tc>
          <w:tcPr>
            <w:tcW w:w="4907" w:type="dxa"/>
            <w:tcBorders>
              <w:right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Politicians informed of running operations</w:t>
            </w:r>
          </w:p>
        </w:tc>
        <w:tc>
          <w:tcPr>
            <w:tcW w:w="1770" w:type="dxa"/>
          </w:tcPr>
          <w:p w:rsidR="00FF73C0" w:rsidRPr="00B45B15" w:rsidRDefault="00FF73C0" w:rsidP="003E047F">
            <w:pPr>
              <w:keepNext/>
              <w:keepLines/>
              <w:spacing w:line="480" w:lineRule="auto"/>
              <w:rPr>
                <w:rFonts w:ascii="Times New Roman" w:hAnsi="Times New Roman" w:cs="Times New Roman"/>
                <w:sz w:val="24"/>
                <w:szCs w:val="24"/>
                <w:lang w:val="en-GB"/>
              </w:rPr>
            </w:pPr>
            <w:r w:rsidRPr="00890991">
              <w:rPr>
                <w:rFonts w:ascii="Times New Roman" w:hAnsi="Times New Roman" w:cs="Times New Roman"/>
                <w:sz w:val="24"/>
                <w:szCs w:val="24"/>
              </w:rPr>
              <w:t>-.15**</w:t>
            </w:r>
          </w:p>
        </w:tc>
        <w:tc>
          <w:tcPr>
            <w:tcW w:w="797" w:type="dxa"/>
          </w:tcPr>
          <w:p w:rsidR="00FF73C0" w:rsidRPr="00B45B15" w:rsidRDefault="00FF73C0" w:rsidP="003E047F">
            <w:pPr>
              <w:keepNext/>
              <w:keepLine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FF73C0" w:rsidRPr="00B45B15" w:rsidTr="00890991">
        <w:trPr>
          <w:trHeight w:val="638"/>
        </w:trPr>
        <w:tc>
          <w:tcPr>
            <w:tcW w:w="1795" w:type="dxa"/>
            <w:tcBorders>
              <w:bottom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p>
        </w:tc>
        <w:tc>
          <w:tcPr>
            <w:tcW w:w="4907" w:type="dxa"/>
            <w:tcBorders>
              <w:bottom w:val="single" w:sz="4" w:space="0" w:color="auto"/>
              <w:right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Administration informed of running operations</w:t>
            </w:r>
          </w:p>
        </w:tc>
        <w:tc>
          <w:tcPr>
            <w:tcW w:w="1770" w:type="dxa"/>
            <w:tcBorders>
              <w:bottom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sidRPr="00890991">
              <w:rPr>
                <w:rFonts w:ascii="Times New Roman" w:hAnsi="Times New Roman" w:cs="Times New Roman"/>
                <w:sz w:val="24"/>
                <w:szCs w:val="24"/>
              </w:rPr>
              <w:t>.03</w:t>
            </w:r>
          </w:p>
        </w:tc>
        <w:tc>
          <w:tcPr>
            <w:tcW w:w="797" w:type="dxa"/>
            <w:tcBorders>
              <w:bottom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.69</w:t>
            </w:r>
          </w:p>
        </w:tc>
      </w:tr>
      <w:tr w:rsidR="00FF73C0" w:rsidRPr="00B45B15" w:rsidTr="00890991">
        <w:trPr>
          <w:trHeight w:val="516"/>
        </w:trPr>
        <w:tc>
          <w:tcPr>
            <w:tcW w:w="1795" w:type="dxa"/>
            <w:tcBorders>
              <w:top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Discussion</w:t>
            </w:r>
          </w:p>
        </w:tc>
        <w:tc>
          <w:tcPr>
            <w:tcW w:w="4907" w:type="dxa"/>
            <w:tcBorders>
              <w:top w:val="single" w:sz="4" w:space="0" w:color="auto"/>
              <w:right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Enterprise goals discussed with politicians</w:t>
            </w:r>
          </w:p>
        </w:tc>
        <w:tc>
          <w:tcPr>
            <w:tcW w:w="1770" w:type="dxa"/>
            <w:tcBorders>
              <w:top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sidRPr="00890991">
              <w:rPr>
                <w:rFonts w:ascii="Times New Roman" w:hAnsi="Times New Roman" w:cs="Times New Roman"/>
                <w:sz w:val="24"/>
                <w:szCs w:val="24"/>
              </w:rPr>
              <w:t>-.12</w:t>
            </w:r>
          </w:p>
        </w:tc>
        <w:tc>
          <w:tcPr>
            <w:tcW w:w="797" w:type="dxa"/>
            <w:tcBorders>
              <w:top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.08</w:t>
            </w:r>
          </w:p>
        </w:tc>
      </w:tr>
      <w:tr w:rsidR="00FF73C0" w:rsidRPr="00B45B15" w:rsidTr="00890991">
        <w:trPr>
          <w:trHeight w:val="520"/>
        </w:trPr>
        <w:tc>
          <w:tcPr>
            <w:tcW w:w="1795" w:type="dxa"/>
            <w:tcBorders>
              <w:bottom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p>
        </w:tc>
        <w:tc>
          <w:tcPr>
            <w:tcW w:w="4907" w:type="dxa"/>
            <w:tcBorders>
              <w:bottom w:val="single" w:sz="4" w:space="0" w:color="auto"/>
              <w:right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Enterprise goals discussed with administration</w:t>
            </w:r>
          </w:p>
        </w:tc>
        <w:tc>
          <w:tcPr>
            <w:tcW w:w="1770" w:type="dxa"/>
          </w:tcPr>
          <w:p w:rsidR="00FF73C0" w:rsidRPr="00B45B15" w:rsidRDefault="00FF73C0" w:rsidP="003E047F">
            <w:pPr>
              <w:keepNext/>
              <w:keepLines/>
              <w:spacing w:line="480" w:lineRule="auto"/>
              <w:rPr>
                <w:rFonts w:ascii="Times New Roman" w:hAnsi="Times New Roman" w:cs="Times New Roman"/>
                <w:sz w:val="24"/>
                <w:szCs w:val="24"/>
                <w:lang w:val="en-GB"/>
              </w:rPr>
            </w:pPr>
            <w:r w:rsidRPr="00890991">
              <w:rPr>
                <w:rFonts w:ascii="Times New Roman" w:hAnsi="Times New Roman" w:cs="Times New Roman"/>
                <w:sz w:val="24"/>
                <w:szCs w:val="24"/>
              </w:rPr>
              <w:t>-.03</w:t>
            </w:r>
          </w:p>
        </w:tc>
        <w:tc>
          <w:tcPr>
            <w:tcW w:w="797" w:type="dxa"/>
            <w:tcBorders>
              <w:bottom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.70</w:t>
            </w:r>
          </w:p>
        </w:tc>
      </w:tr>
      <w:tr w:rsidR="00FF73C0" w:rsidRPr="00B45B15" w:rsidTr="00890991">
        <w:trPr>
          <w:trHeight w:val="541"/>
        </w:trPr>
        <w:tc>
          <w:tcPr>
            <w:tcW w:w="1795" w:type="dxa"/>
            <w:tcBorders>
              <w:top w:val="single" w:sz="4" w:space="0" w:color="auto"/>
              <w:bottom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Consequence</w:t>
            </w:r>
          </w:p>
        </w:tc>
        <w:tc>
          <w:tcPr>
            <w:tcW w:w="4907" w:type="dxa"/>
            <w:tcBorders>
              <w:top w:val="single" w:sz="4" w:space="0" w:color="auto"/>
              <w:bottom w:val="single" w:sz="4" w:space="0" w:color="auto"/>
              <w:right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Noncompliance results in board being fired</w:t>
            </w:r>
          </w:p>
        </w:tc>
        <w:tc>
          <w:tcPr>
            <w:tcW w:w="1770" w:type="dxa"/>
            <w:tcBorders>
              <w:top w:val="single" w:sz="4" w:space="0" w:color="auto"/>
              <w:left w:val="single" w:sz="4" w:space="0" w:color="auto"/>
              <w:bottom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.06</w:t>
            </w:r>
          </w:p>
        </w:tc>
        <w:tc>
          <w:tcPr>
            <w:tcW w:w="797" w:type="dxa"/>
            <w:tcBorders>
              <w:top w:val="single" w:sz="4" w:space="0" w:color="auto"/>
              <w:bottom w:val="single" w:sz="4" w:space="0" w:color="auto"/>
            </w:tcBorders>
          </w:tcPr>
          <w:p w:rsidR="00FF73C0" w:rsidRPr="00B45B15" w:rsidRDefault="00FF73C0" w:rsidP="003E047F">
            <w:pPr>
              <w:keepNext/>
              <w:keepLine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.43</w:t>
            </w:r>
          </w:p>
        </w:tc>
      </w:tr>
    </w:tbl>
    <w:p w:rsidR="00FF73C0" w:rsidRPr="00890991" w:rsidRDefault="00FF73C0" w:rsidP="003E047F">
      <w:pPr>
        <w:keepNext/>
        <w:keepLines/>
        <w:spacing w:line="480" w:lineRule="auto"/>
        <w:rPr>
          <w:rFonts w:ascii="Times New Roman" w:hAnsi="Times New Roman" w:cs="Times New Roman"/>
          <w:sz w:val="24"/>
          <w:szCs w:val="24"/>
        </w:rPr>
      </w:pPr>
      <w:r w:rsidRPr="00890991">
        <w:rPr>
          <w:rFonts w:ascii="Times New Roman" w:hAnsi="Times New Roman" w:cs="Times New Roman"/>
          <w:sz w:val="24"/>
          <w:szCs w:val="24"/>
        </w:rPr>
        <w:t xml:space="preserve">** </w:t>
      </w:r>
      <w:proofErr w:type="spellStart"/>
      <w:r w:rsidRPr="00890991">
        <w:rPr>
          <w:rFonts w:ascii="Times New Roman" w:hAnsi="Times New Roman" w:cs="Times New Roman"/>
          <w:sz w:val="24"/>
          <w:szCs w:val="24"/>
        </w:rPr>
        <w:t>significant</w:t>
      </w:r>
      <w:proofErr w:type="spellEnd"/>
      <w:r w:rsidRPr="00890991">
        <w:rPr>
          <w:rFonts w:ascii="Times New Roman" w:hAnsi="Times New Roman" w:cs="Times New Roman"/>
          <w:sz w:val="24"/>
          <w:szCs w:val="24"/>
        </w:rPr>
        <w:t xml:space="preserve"> at .05-level</w:t>
      </w:r>
      <w:r w:rsidRPr="00890991">
        <w:rPr>
          <w:rFonts w:ascii="Times New Roman" w:hAnsi="Times New Roman" w:cs="Times New Roman"/>
          <w:sz w:val="24"/>
          <w:szCs w:val="24"/>
        </w:rPr>
        <w:tab/>
      </w:r>
    </w:p>
    <w:p w:rsidR="00FF73C0" w:rsidRDefault="00FF73C0" w:rsidP="00CE780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results in table A1 indicates that there are few significant differences between newly employed COs (tenure 0) and longer-serving COs (tenure 1) as regards the structuring of the accountability processes. Furthermore, while there is significant difference between the newly employed and the longer-serving COs as regards the first and the third variable denoting the information phase (</w:t>
      </w:r>
      <w:r w:rsidRPr="00CE7802">
        <w:rPr>
          <w:rFonts w:ascii="Times New Roman" w:hAnsi="Times New Roman" w:cs="Times New Roman"/>
          <w:i/>
          <w:sz w:val="24"/>
          <w:szCs w:val="24"/>
          <w:lang w:val="en-GB"/>
        </w:rPr>
        <w:t>Politicians informed of goal obtainment</w:t>
      </w:r>
      <w:r>
        <w:rPr>
          <w:rFonts w:ascii="Times New Roman" w:hAnsi="Times New Roman" w:cs="Times New Roman"/>
          <w:sz w:val="24"/>
          <w:szCs w:val="24"/>
          <w:lang w:val="en-GB"/>
        </w:rPr>
        <w:t xml:space="preserve"> and </w:t>
      </w:r>
      <w:r w:rsidRPr="00CE7802">
        <w:rPr>
          <w:rFonts w:ascii="Times New Roman" w:hAnsi="Times New Roman" w:cs="Times New Roman"/>
          <w:i/>
          <w:sz w:val="24"/>
          <w:szCs w:val="24"/>
          <w:lang w:val="en-GB"/>
        </w:rPr>
        <w:t>Politicians informed of running operations</w:t>
      </w:r>
      <w:r>
        <w:rPr>
          <w:rFonts w:ascii="Times New Roman" w:hAnsi="Times New Roman" w:cs="Times New Roman"/>
          <w:sz w:val="24"/>
          <w:szCs w:val="24"/>
          <w:lang w:val="en-GB"/>
        </w:rPr>
        <w:t xml:space="preserve">) the differences are only partially congruent with the model </w:t>
      </w:r>
      <w:r w:rsidRPr="00435B34">
        <w:rPr>
          <w:rFonts w:ascii="Times New Roman" w:hAnsi="Times New Roman" w:cs="Times New Roman"/>
          <w:sz w:val="24"/>
          <w:szCs w:val="24"/>
          <w:lang w:val="en-GB"/>
        </w:rPr>
        <w:t>for structuring accountability relations</w:t>
      </w:r>
      <w:r>
        <w:rPr>
          <w:rFonts w:ascii="Times New Roman" w:hAnsi="Times New Roman" w:cs="Times New Roman"/>
          <w:sz w:val="24"/>
          <w:szCs w:val="24"/>
          <w:lang w:val="en-GB"/>
        </w:rPr>
        <w:t xml:space="preserve"> that we test in the article. Notably, we would expect </w:t>
      </w:r>
      <w:proofErr w:type="gramStart"/>
      <w:r>
        <w:rPr>
          <w:rFonts w:ascii="Times New Roman" w:hAnsi="Times New Roman" w:cs="Times New Roman"/>
          <w:sz w:val="24"/>
          <w:szCs w:val="24"/>
          <w:lang w:val="en-GB"/>
        </w:rPr>
        <w:t>longer-serving</w:t>
      </w:r>
      <w:proofErr w:type="gramEnd"/>
      <w:r>
        <w:rPr>
          <w:rFonts w:ascii="Times New Roman" w:hAnsi="Times New Roman" w:cs="Times New Roman"/>
          <w:sz w:val="24"/>
          <w:szCs w:val="24"/>
          <w:lang w:val="en-GB"/>
        </w:rPr>
        <w:t xml:space="preserve"> COs to structure information flows so that politicians to a greater extent receive information about goal obtainment, but the results in table A1 indicates the reverse. </w:t>
      </w:r>
    </w:p>
    <w:p w:rsidR="00FF73C0" w:rsidRDefault="00FF73C0" w:rsidP="00C8734C">
      <w:pPr>
        <w:spacing w:line="48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On the other hand, the results in table A1 indicates that municipalities with longer-serving COs to a lesser extent than those with newly employed </w:t>
      </w:r>
      <w:proofErr w:type="gramStart"/>
      <w:r>
        <w:rPr>
          <w:rFonts w:ascii="Times New Roman" w:hAnsi="Times New Roman" w:cs="Times New Roman"/>
          <w:sz w:val="24"/>
          <w:szCs w:val="24"/>
          <w:lang w:val="en-GB"/>
        </w:rPr>
        <w:t>COs</w:t>
      </w:r>
      <w:proofErr w:type="gramEnd"/>
      <w:r>
        <w:rPr>
          <w:rFonts w:ascii="Times New Roman" w:hAnsi="Times New Roman" w:cs="Times New Roman"/>
          <w:sz w:val="24"/>
          <w:szCs w:val="24"/>
          <w:lang w:val="en-GB"/>
        </w:rPr>
        <w:t xml:space="preserve"> keep politicians informed about running operations. Because this finding supports the assumption that longer-serving COs tend to structure the accountability process in accordance with our model, we cannot discount </w:t>
      </w:r>
      <w:r>
        <w:rPr>
          <w:rFonts w:ascii="Times New Roman" w:hAnsi="Times New Roman" w:cs="Times New Roman"/>
          <w:sz w:val="24"/>
          <w:szCs w:val="24"/>
          <w:lang w:val="en-GB"/>
        </w:rPr>
        <w:lastRenderedPageBreak/>
        <w:t xml:space="preserve">the reverse causality assumption based on the results reported in table A1 alone. We therefore </w:t>
      </w:r>
      <w:r>
        <w:rPr>
          <w:rFonts w:ascii="Times New Roman" w:hAnsi="Times New Roman" w:cs="Times New Roman"/>
          <w:sz w:val="24"/>
          <w:szCs w:val="24"/>
          <w:lang w:val="en-US"/>
        </w:rPr>
        <w:t>carry out</w:t>
      </w:r>
      <w:r w:rsidRPr="00C8734C">
        <w:rPr>
          <w:rFonts w:ascii="Times New Roman" w:hAnsi="Times New Roman" w:cs="Times New Roman"/>
          <w:sz w:val="24"/>
          <w:szCs w:val="24"/>
          <w:lang w:val="en-US"/>
        </w:rPr>
        <w:t xml:space="preserve"> a logistic regression </w:t>
      </w:r>
      <w:r>
        <w:rPr>
          <w:rFonts w:ascii="Times New Roman" w:hAnsi="Times New Roman" w:cs="Times New Roman"/>
          <w:sz w:val="24"/>
          <w:szCs w:val="24"/>
          <w:lang w:val="en-US"/>
        </w:rPr>
        <w:t xml:space="preserve">analysis similar to the one reported in the article (table 4), </w:t>
      </w:r>
      <w:r w:rsidRPr="00C8734C">
        <w:rPr>
          <w:rFonts w:ascii="Times New Roman" w:hAnsi="Times New Roman" w:cs="Times New Roman"/>
          <w:sz w:val="24"/>
          <w:szCs w:val="24"/>
          <w:lang w:val="en-US"/>
        </w:rPr>
        <w:t xml:space="preserve">on the subsample of newly employed </w:t>
      </w:r>
      <w:r>
        <w:rPr>
          <w:rFonts w:ascii="Times New Roman" w:hAnsi="Times New Roman" w:cs="Times New Roman"/>
          <w:sz w:val="24"/>
          <w:szCs w:val="24"/>
          <w:lang w:val="en-US"/>
        </w:rPr>
        <w:t>COs</w:t>
      </w:r>
      <w:r w:rsidRPr="00C873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results are reported in table A2.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4288"/>
        <w:gridCol w:w="1223"/>
        <w:gridCol w:w="846"/>
        <w:gridCol w:w="1053"/>
      </w:tblGrid>
      <w:tr w:rsidR="00FF73C0" w:rsidRPr="00DF1407" w:rsidTr="009D236C">
        <w:tc>
          <w:tcPr>
            <w:tcW w:w="9026" w:type="dxa"/>
            <w:gridSpan w:val="5"/>
          </w:tcPr>
          <w:p w:rsidR="00FF73C0" w:rsidRPr="009551A6" w:rsidRDefault="00FF73C0" w:rsidP="00DF1407">
            <w:pPr>
              <w:spacing w:line="480" w:lineRule="auto"/>
              <w:rPr>
                <w:rFonts w:ascii="Times New Roman" w:hAnsi="Times New Roman" w:cs="Times New Roman"/>
                <w:i/>
                <w:sz w:val="24"/>
                <w:szCs w:val="24"/>
                <w:lang w:val="en-US"/>
              </w:rPr>
            </w:pPr>
            <w:r w:rsidRPr="009D236C">
              <w:rPr>
                <w:rFonts w:ascii="Times New Roman" w:hAnsi="Times New Roman" w:cs="Times New Roman"/>
                <w:i/>
                <w:sz w:val="24"/>
                <w:szCs w:val="24"/>
                <w:lang w:val="en-US"/>
              </w:rPr>
              <w:t xml:space="preserve">Table A2. </w:t>
            </w:r>
            <w:r>
              <w:rPr>
                <w:rFonts w:ascii="Times New Roman" w:hAnsi="Times New Roman" w:cs="Times New Roman"/>
                <w:i/>
                <w:sz w:val="24"/>
                <w:szCs w:val="24"/>
                <w:lang w:val="en-GB"/>
              </w:rPr>
              <w:t>CO</w:t>
            </w:r>
            <w:r w:rsidRPr="009D236C">
              <w:rPr>
                <w:rFonts w:ascii="Times New Roman" w:hAnsi="Times New Roman" w:cs="Times New Roman"/>
                <w:i/>
                <w:sz w:val="24"/>
                <w:szCs w:val="24"/>
                <w:lang w:val="en-GB"/>
              </w:rPr>
              <w:t>s’ Assessments of Municipal Control over Ownership Positions. Ordered logistic regression. N = 59</w:t>
            </w:r>
          </w:p>
        </w:tc>
      </w:tr>
      <w:tr w:rsidR="00FF73C0" w:rsidRPr="00D0777A" w:rsidTr="009D236C">
        <w:tc>
          <w:tcPr>
            <w:tcW w:w="1616" w:type="dxa"/>
            <w:tcBorders>
              <w:top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p>
        </w:tc>
        <w:tc>
          <w:tcPr>
            <w:tcW w:w="4288" w:type="dxa"/>
            <w:tcBorders>
              <w:top w:val="single" w:sz="4" w:space="0" w:color="auto"/>
              <w:righ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p>
        </w:tc>
        <w:tc>
          <w:tcPr>
            <w:tcW w:w="1223" w:type="dxa"/>
            <w:tcBorders>
              <w:top w:val="single" w:sz="4" w:space="0" w:color="auto"/>
              <w:left w:val="single" w:sz="4" w:space="0" w:color="auto"/>
            </w:tcBorders>
          </w:tcPr>
          <w:p w:rsidR="00FF73C0"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Odds ratio</w:t>
            </w:r>
          </w:p>
        </w:tc>
        <w:tc>
          <w:tcPr>
            <w:tcW w:w="846" w:type="dxa"/>
            <w:tcBorders>
              <w:top w:val="single" w:sz="4" w:space="0" w:color="auto"/>
            </w:tcBorders>
          </w:tcPr>
          <w:p w:rsidR="00FF73C0"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z</w:t>
            </w:r>
          </w:p>
        </w:tc>
        <w:tc>
          <w:tcPr>
            <w:tcW w:w="1053" w:type="dxa"/>
            <w:tcBorders>
              <w:top w:val="single" w:sz="4" w:space="0" w:color="auto"/>
            </w:tcBorders>
          </w:tcPr>
          <w:p w:rsidR="00FF73C0"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P&gt;z</w:t>
            </w:r>
          </w:p>
        </w:tc>
      </w:tr>
      <w:tr w:rsidR="00FF73C0" w:rsidRPr="00B45B15" w:rsidTr="009D236C">
        <w:tc>
          <w:tcPr>
            <w:tcW w:w="1616" w:type="dxa"/>
            <w:tcBorders>
              <w:top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Information</w:t>
            </w:r>
          </w:p>
        </w:tc>
        <w:tc>
          <w:tcPr>
            <w:tcW w:w="4288" w:type="dxa"/>
            <w:tcBorders>
              <w:top w:val="single" w:sz="4" w:space="0" w:color="auto"/>
              <w:righ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Politicians informed of goal obtainment</w:t>
            </w:r>
          </w:p>
        </w:tc>
        <w:tc>
          <w:tcPr>
            <w:tcW w:w="1223" w:type="dxa"/>
            <w:tcBorders>
              <w:top w:val="single" w:sz="4" w:space="0" w:color="auto"/>
              <w:lef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6.51***</w:t>
            </w:r>
          </w:p>
        </w:tc>
        <w:tc>
          <w:tcPr>
            <w:tcW w:w="846" w:type="dxa"/>
            <w:tcBorders>
              <w:top w:val="single" w:sz="4" w:space="0" w:color="auto"/>
            </w:tcBorders>
          </w:tcPr>
          <w:p w:rsidR="00FF73C0"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2.44</w:t>
            </w:r>
          </w:p>
        </w:tc>
        <w:tc>
          <w:tcPr>
            <w:tcW w:w="1053" w:type="dxa"/>
            <w:tcBorders>
              <w:top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0.014</w:t>
            </w:r>
          </w:p>
        </w:tc>
      </w:tr>
      <w:tr w:rsidR="00FF73C0" w:rsidRPr="00746E57" w:rsidTr="009D236C">
        <w:tc>
          <w:tcPr>
            <w:tcW w:w="1616" w:type="dxa"/>
          </w:tcPr>
          <w:p w:rsidR="00FF73C0" w:rsidRPr="00B45B15" w:rsidRDefault="00FF73C0" w:rsidP="00F76320">
            <w:pPr>
              <w:spacing w:line="480" w:lineRule="auto"/>
              <w:rPr>
                <w:rFonts w:ascii="Times New Roman" w:hAnsi="Times New Roman" w:cs="Times New Roman"/>
                <w:sz w:val="24"/>
                <w:szCs w:val="24"/>
                <w:lang w:val="en-GB"/>
              </w:rPr>
            </w:pPr>
          </w:p>
        </w:tc>
        <w:tc>
          <w:tcPr>
            <w:tcW w:w="4288" w:type="dxa"/>
            <w:tcBorders>
              <w:righ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Administration informed of goal obtainment</w:t>
            </w:r>
          </w:p>
        </w:tc>
        <w:tc>
          <w:tcPr>
            <w:tcW w:w="1223" w:type="dxa"/>
            <w:tcBorders>
              <w:lef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.19*</w:t>
            </w:r>
          </w:p>
        </w:tc>
        <w:tc>
          <w:tcPr>
            <w:tcW w:w="846" w:type="dxa"/>
          </w:tcPr>
          <w:p w:rsidR="00FF73C0"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-1.77</w:t>
            </w:r>
          </w:p>
        </w:tc>
        <w:tc>
          <w:tcPr>
            <w:tcW w:w="1053" w:type="dxa"/>
          </w:tcPr>
          <w:p w:rsidR="00FF73C0" w:rsidRPr="00B45B15"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0.077</w:t>
            </w:r>
          </w:p>
        </w:tc>
      </w:tr>
      <w:tr w:rsidR="00FF73C0" w:rsidRPr="00746E57" w:rsidTr="009D236C">
        <w:tc>
          <w:tcPr>
            <w:tcW w:w="1616" w:type="dxa"/>
          </w:tcPr>
          <w:p w:rsidR="00FF73C0" w:rsidRPr="00B45B15" w:rsidRDefault="00FF73C0" w:rsidP="00F76320">
            <w:pPr>
              <w:spacing w:line="480" w:lineRule="auto"/>
              <w:rPr>
                <w:rFonts w:ascii="Times New Roman" w:hAnsi="Times New Roman" w:cs="Times New Roman"/>
                <w:sz w:val="24"/>
                <w:szCs w:val="24"/>
                <w:lang w:val="en-GB"/>
              </w:rPr>
            </w:pPr>
          </w:p>
        </w:tc>
        <w:tc>
          <w:tcPr>
            <w:tcW w:w="4288" w:type="dxa"/>
            <w:tcBorders>
              <w:righ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Politicians informed of running operations</w:t>
            </w:r>
          </w:p>
        </w:tc>
        <w:tc>
          <w:tcPr>
            <w:tcW w:w="1223" w:type="dxa"/>
            <w:tcBorders>
              <w:lef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.68</w:t>
            </w:r>
          </w:p>
        </w:tc>
        <w:tc>
          <w:tcPr>
            <w:tcW w:w="846" w:type="dxa"/>
          </w:tcPr>
          <w:p w:rsidR="00FF73C0"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-0.55</w:t>
            </w:r>
          </w:p>
        </w:tc>
        <w:tc>
          <w:tcPr>
            <w:tcW w:w="1053" w:type="dxa"/>
          </w:tcPr>
          <w:p w:rsidR="00FF73C0" w:rsidRPr="00B45B15"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0.585</w:t>
            </w:r>
          </w:p>
        </w:tc>
      </w:tr>
      <w:tr w:rsidR="00FF73C0" w:rsidRPr="00CD7750" w:rsidTr="009D236C">
        <w:tc>
          <w:tcPr>
            <w:tcW w:w="1616" w:type="dxa"/>
            <w:tcBorders>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p>
        </w:tc>
        <w:tc>
          <w:tcPr>
            <w:tcW w:w="4288" w:type="dxa"/>
            <w:tcBorders>
              <w:bottom w:val="single" w:sz="4" w:space="0" w:color="auto"/>
              <w:righ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Administration informed of running operations</w:t>
            </w:r>
          </w:p>
        </w:tc>
        <w:tc>
          <w:tcPr>
            <w:tcW w:w="1223" w:type="dxa"/>
            <w:tcBorders>
              <w:left w:val="single" w:sz="4" w:space="0" w:color="auto"/>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6.01*</w:t>
            </w:r>
          </w:p>
        </w:tc>
        <w:tc>
          <w:tcPr>
            <w:tcW w:w="846" w:type="dxa"/>
            <w:tcBorders>
              <w:bottom w:val="single" w:sz="4" w:space="0" w:color="auto"/>
            </w:tcBorders>
          </w:tcPr>
          <w:p w:rsidR="00FF73C0"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1.66</w:t>
            </w:r>
          </w:p>
        </w:tc>
        <w:tc>
          <w:tcPr>
            <w:tcW w:w="1053" w:type="dxa"/>
            <w:tcBorders>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0.098</w:t>
            </w:r>
          </w:p>
        </w:tc>
      </w:tr>
      <w:tr w:rsidR="00FF73C0" w:rsidRPr="00746E57" w:rsidTr="009D236C">
        <w:tc>
          <w:tcPr>
            <w:tcW w:w="1616" w:type="dxa"/>
            <w:tcBorders>
              <w:top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Discussion</w:t>
            </w:r>
          </w:p>
        </w:tc>
        <w:tc>
          <w:tcPr>
            <w:tcW w:w="4288" w:type="dxa"/>
            <w:tcBorders>
              <w:top w:val="single" w:sz="4" w:space="0" w:color="auto"/>
              <w:righ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Enterprise goals discussed with politicians</w:t>
            </w:r>
          </w:p>
        </w:tc>
        <w:tc>
          <w:tcPr>
            <w:tcW w:w="1223" w:type="dxa"/>
            <w:tcBorders>
              <w:top w:val="single" w:sz="4" w:space="0" w:color="auto"/>
              <w:lef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1.91***</w:t>
            </w:r>
          </w:p>
        </w:tc>
        <w:tc>
          <w:tcPr>
            <w:tcW w:w="846" w:type="dxa"/>
            <w:tcBorders>
              <w:top w:val="single" w:sz="4" w:space="0" w:color="auto"/>
            </w:tcBorders>
          </w:tcPr>
          <w:p w:rsidR="00FF73C0"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2.65</w:t>
            </w:r>
          </w:p>
        </w:tc>
        <w:tc>
          <w:tcPr>
            <w:tcW w:w="1053" w:type="dxa"/>
            <w:tcBorders>
              <w:top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0.008</w:t>
            </w:r>
          </w:p>
        </w:tc>
      </w:tr>
      <w:tr w:rsidR="00FF73C0" w:rsidRPr="00746E57" w:rsidTr="009D236C">
        <w:tc>
          <w:tcPr>
            <w:tcW w:w="1616" w:type="dxa"/>
            <w:tcBorders>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p>
        </w:tc>
        <w:tc>
          <w:tcPr>
            <w:tcW w:w="4288" w:type="dxa"/>
            <w:tcBorders>
              <w:bottom w:val="single" w:sz="4" w:space="0" w:color="auto"/>
              <w:righ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Enterprise goals discussed with administration</w:t>
            </w:r>
          </w:p>
        </w:tc>
        <w:tc>
          <w:tcPr>
            <w:tcW w:w="1223" w:type="dxa"/>
            <w:tcBorders>
              <w:left w:val="single" w:sz="4" w:space="0" w:color="auto"/>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.76</w:t>
            </w:r>
          </w:p>
        </w:tc>
        <w:tc>
          <w:tcPr>
            <w:tcW w:w="846" w:type="dxa"/>
            <w:tcBorders>
              <w:bottom w:val="single" w:sz="4" w:space="0" w:color="auto"/>
            </w:tcBorders>
          </w:tcPr>
          <w:p w:rsidR="00FF73C0"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-1.03</w:t>
            </w:r>
          </w:p>
        </w:tc>
        <w:tc>
          <w:tcPr>
            <w:tcW w:w="1053" w:type="dxa"/>
            <w:tcBorders>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0.305</w:t>
            </w:r>
          </w:p>
        </w:tc>
      </w:tr>
      <w:tr w:rsidR="00FF73C0" w:rsidRPr="00B45B15" w:rsidTr="009D236C">
        <w:tc>
          <w:tcPr>
            <w:tcW w:w="1616" w:type="dxa"/>
            <w:tcBorders>
              <w:top w:val="single" w:sz="4" w:space="0" w:color="auto"/>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Consequence</w:t>
            </w:r>
          </w:p>
        </w:tc>
        <w:tc>
          <w:tcPr>
            <w:tcW w:w="4288" w:type="dxa"/>
            <w:tcBorders>
              <w:top w:val="single" w:sz="4" w:space="0" w:color="auto"/>
              <w:bottom w:val="single" w:sz="4" w:space="0" w:color="auto"/>
              <w:righ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Noncompliance results in board being fired</w:t>
            </w:r>
          </w:p>
        </w:tc>
        <w:tc>
          <w:tcPr>
            <w:tcW w:w="1223" w:type="dxa"/>
            <w:tcBorders>
              <w:top w:val="single" w:sz="4" w:space="0" w:color="auto"/>
              <w:left w:val="single" w:sz="4" w:space="0" w:color="auto"/>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1.57**</w:t>
            </w:r>
          </w:p>
        </w:tc>
        <w:tc>
          <w:tcPr>
            <w:tcW w:w="846" w:type="dxa"/>
            <w:tcBorders>
              <w:top w:val="single" w:sz="4" w:space="0" w:color="auto"/>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2.14</w:t>
            </w:r>
          </w:p>
        </w:tc>
        <w:tc>
          <w:tcPr>
            <w:tcW w:w="1053" w:type="dxa"/>
            <w:tcBorders>
              <w:top w:val="single" w:sz="4" w:space="0" w:color="auto"/>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0.032</w:t>
            </w:r>
          </w:p>
        </w:tc>
      </w:tr>
      <w:tr w:rsidR="00FF73C0" w:rsidRPr="00B45B15" w:rsidTr="009D236C">
        <w:tc>
          <w:tcPr>
            <w:tcW w:w="1616" w:type="dxa"/>
            <w:tcBorders>
              <w:top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p>
        </w:tc>
        <w:tc>
          <w:tcPr>
            <w:tcW w:w="4288" w:type="dxa"/>
            <w:tcBorders>
              <w:top w:val="single" w:sz="4" w:space="0" w:color="auto"/>
              <w:righ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Number of administrative employees</w:t>
            </w:r>
          </w:p>
        </w:tc>
        <w:tc>
          <w:tcPr>
            <w:tcW w:w="1223" w:type="dxa"/>
            <w:tcBorders>
              <w:top w:val="single" w:sz="4" w:space="0" w:color="auto"/>
              <w:lef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1.06</w:t>
            </w:r>
          </w:p>
        </w:tc>
        <w:tc>
          <w:tcPr>
            <w:tcW w:w="846" w:type="dxa"/>
            <w:tcBorders>
              <w:top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0.14</w:t>
            </w:r>
          </w:p>
        </w:tc>
        <w:tc>
          <w:tcPr>
            <w:tcW w:w="1053" w:type="dxa"/>
            <w:tcBorders>
              <w:top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0.886</w:t>
            </w:r>
          </w:p>
        </w:tc>
      </w:tr>
      <w:tr w:rsidR="00FF73C0" w:rsidRPr="00B45B15" w:rsidTr="009D236C">
        <w:tc>
          <w:tcPr>
            <w:tcW w:w="1616" w:type="dxa"/>
          </w:tcPr>
          <w:p w:rsidR="00FF73C0" w:rsidRPr="00B45B15" w:rsidRDefault="00FF73C0" w:rsidP="00F76320">
            <w:pPr>
              <w:spacing w:line="480" w:lineRule="auto"/>
              <w:rPr>
                <w:rFonts w:ascii="Times New Roman" w:hAnsi="Times New Roman" w:cs="Times New Roman"/>
                <w:sz w:val="24"/>
                <w:szCs w:val="24"/>
                <w:lang w:val="en-GB"/>
              </w:rPr>
            </w:pPr>
          </w:p>
        </w:tc>
        <w:tc>
          <w:tcPr>
            <w:tcW w:w="4288" w:type="dxa"/>
            <w:tcBorders>
              <w:righ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Number of SOEs</w:t>
            </w:r>
            <w:r>
              <w:rPr>
                <w:rFonts w:ascii="Times New Roman" w:hAnsi="Times New Roman" w:cs="Times New Roman"/>
                <w:sz w:val="24"/>
                <w:szCs w:val="24"/>
                <w:lang w:val="en-GB"/>
              </w:rPr>
              <w:t xml:space="preserve"> (ln)</w:t>
            </w:r>
          </w:p>
        </w:tc>
        <w:tc>
          <w:tcPr>
            <w:tcW w:w="1223" w:type="dxa"/>
            <w:tcBorders>
              <w:lef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.61</w:t>
            </w:r>
          </w:p>
        </w:tc>
        <w:tc>
          <w:tcPr>
            <w:tcW w:w="846" w:type="dxa"/>
          </w:tcPr>
          <w:p w:rsidR="00FF73C0"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-1.11</w:t>
            </w:r>
          </w:p>
        </w:tc>
        <w:tc>
          <w:tcPr>
            <w:tcW w:w="1053" w:type="dxa"/>
          </w:tcPr>
          <w:p w:rsidR="00FF73C0" w:rsidRPr="00B45B15"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0.267</w:t>
            </w:r>
          </w:p>
        </w:tc>
      </w:tr>
      <w:tr w:rsidR="00FF73C0" w:rsidRPr="00E67B8F" w:rsidTr="009D236C">
        <w:tc>
          <w:tcPr>
            <w:tcW w:w="1616" w:type="dxa"/>
          </w:tcPr>
          <w:p w:rsidR="00FF73C0" w:rsidRPr="00B45B15" w:rsidRDefault="00FF73C0" w:rsidP="00F76320">
            <w:pPr>
              <w:spacing w:line="480" w:lineRule="auto"/>
              <w:rPr>
                <w:rFonts w:ascii="Times New Roman" w:hAnsi="Times New Roman" w:cs="Times New Roman"/>
                <w:sz w:val="24"/>
                <w:szCs w:val="24"/>
                <w:lang w:val="en-GB"/>
              </w:rPr>
            </w:pPr>
          </w:p>
        </w:tc>
        <w:tc>
          <w:tcPr>
            <w:tcW w:w="4288" w:type="dxa"/>
            <w:tcBorders>
              <w:righ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Net operating result per capita</w:t>
            </w:r>
          </w:p>
        </w:tc>
        <w:tc>
          <w:tcPr>
            <w:tcW w:w="1223" w:type="dxa"/>
            <w:tcBorders>
              <w:lef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1.06</w:t>
            </w:r>
          </w:p>
        </w:tc>
        <w:tc>
          <w:tcPr>
            <w:tcW w:w="846" w:type="dxa"/>
          </w:tcPr>
          <w:p w:rsidR="00FF73C0"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1.01</w:t>
            </w:r>
          </w:p>
        </w:tc>
        <w:tc>
          <w:tcPr>
            <w:tcW w:w="1053" w:type="dxa"/>
          </w:tcPr>
          <w:p w:rsidR="00FF73C0" w:rsidRPr="00B45B15"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0.312</w:t>
            </w:r>
          </w:p>
        </w:tc>
      </w:tr>
      <w:tr w:rsidR="00FF73C0" w:rsidRPr="00E67B8F" w:rsidTr="009D236C">
        <w:tc>
          <w:tcPr>
            <w:tcW w:w="1616" w:type="dxa"/>
            <w:tcBorders>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p>
        </w:tc>
        <w:tc>
          <w:tcPr>
            <w:tcW w:w="4288" w:type="dxa"/>
            <w:tcBorders>
              <w:bottom w:val="single" w:sz="4" w:space="0" w:color="auto"/>
              <w:righ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Political fragmentation (</w:t>
            </w:r>
            <w:proofErr w:type="spellStart"/>
            <w:r>
              <w:rPr>
                <w:rFonts w:ascii="Times New Roman" w:hAnsi="Times New Roman" w:cs="Times New Roman"/>
                <w:sz w:val="24"/>
                <w:szCs w:val="24"/>
                <w:lang w:val="en-GB"/>
              </w:rPr>
              <w:t>Herfindahl</w:t>
            </w:r>
            <w:proofErr w:type="spellEnd"/>
            <w:r>
              <w:rPr>
                <w:rFonts w:ascii="Times New Roman" w:hAnsi="Times New Roman" w:cs="Times New Roman"/>
                <w:sz w:val="24"/>
                <w:szCs w:val="24"/>
                <w:lang w:val="en-GB"/>
              </w:rPr>
              <w:t xml:space="preserve"> index)</w:t>
            </w:r>
          </w:p>
        </w:tc>
        <w:tc>
          <w:tcPr>
            <w:tcW w:w="1223" w:type="dxa"/>
            <w:tcBorders>
              <w:left w:val="single" w:sz="4" w:space="0" w:color="auto"/>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3.79*</w:t>
            </w:r>
          </w:p>
        </w:tc>
        <w:tc>
          <w:tcPr>
            <w:tcW w:w="846" w:type="dxa"/>
            <w:tcBorders>
              <w:bottom w:val="single" w:sz="4" w:space="0" w:color="auto"/>
            </w:tcBorders>
          </w:tcPr>
          <w:p w:rsidR="00FF73C0"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1.76</w:t>
            </w:r>
          </w:p>
        </w:tc>
        <w:tc>
          <w:tcPr>
            <w:tcW w:w="1053" w:type="dxa"/>
            <w:tcBorders>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C8734C">
              <w:rPr>
                <w:rFonts w:ascii="Times New Roman" w:hAnsi="Times New Roman" w:cs="Times New Roman"/>
                <w:sz w:val="24"/>
                <w:szCs w:val="24"/>
                <w:lang w:val="en-GB"/>
              </w:rPr>
              <w:t>0.079</w:t>
            </w:r>
          </w:p>
        </w:tc>
      </w:tr>
      <w:tr w:rsidR="00FF73C0" w:rsidRPr="00B45B15" w:rsidTr="009D236C">
        <w:tc>
          <w:tcPr>
            <w:tcW w:w="1616" w:type="dxa"/>
            <w:tcBorders>
              <w:top w:val="single" w:sz="4" w:space="0" w:color="auto"/>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p>
        </w:tc>
        <w:tc>
          <w:tcPr>
            <w:tcW w:w="4288" w:type="dxa"/>
            <w:tcBorders>
              <w:top w:val="single" w:sz="4" w:space="0" w:color="auto"/>
              <w:bottom w:val="single" w:sz="4" w:space="0" w:color="auto"/>
              <w:right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sidRPr="00B45B15">
              <w:rPr>
                <w:rFonts w:ascii="Times New Roman" w:hAnsi="Times New Roman" w:cs="Times New Roman"/>
                <w:sz w:val="24"/>
                <w:szCs w:val="24"/>
                <w:lang w:val="en-GB"/>
              </w:rPr>
              <w:t xml:space="preserve">Pseudo </w:t>
            </w:r>
            <w:r w:rsidRPr="00B45B15">
              <w:rPr>
                <w:rFonts w:ascii="Times New Roman" w:hAnsi="Times New Roman" w:cs="Times New Roman"/>
                <w:i/>
                <w:sz w:val="24"/>
                <w:szCs w:val="24"/>
                <w:lang w:val="en-GB"/>
              </w:rPr>
              <w:t>R</w:t>
            </w:r>
            <w:r w:rsidRPr="00B45B15">
              <w:rPr>
                <w:rFonts w:ascii="Times New Roman" w:hAnsi="Times New Roman" w:cs="Times New Roman"/>
                <w:sz w:val="24"/>
                <w:szCs w:val="24"/>
                <w:vertAlign w:val="superscript"/>
                <w:lang w:val="en-GB"/>
              </w:rPr>
              <w:t>2</w:t>
            </w:r>
          </w:p>
        </w:tc>
        <w:tc>
          <w:tcPr>
            <w:tcW w:w="1223" w:type="dxa"/>
            <w:tcBorders>
              <w:top w:val="single" w:sz="4" w:space="0" w:color="auto"/>
              <w:left w:val="single" w:sz="4" w:space="0" w:color="auto"/>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0.15</w:t>
            </w:r>
          </w:p>
        </w:tc>
        <w:tc>
          <w:tcPr>
            <w:tcW w:w="846" w:type="dxa"/>
            <w:tcBorders>
              <w:top w:val="single" w:sz="4" w:space="0" w:color="auto"/>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p>
        </w:tc>
        <w:tc>
          <w:tcPr>
            <w:tcW w:w="1053" w:type="dxa"/>
            <w:tcBorders>
              <w:top w:val="single" w:sz="4" w:space="0" w:color="auto"/>
              <w:bottom w:val="single" w:sz="4" w:space="0" w:color="auto"/>
            </w:tcBorders>
          </w:tcPr>
          <w:p w:rsidR="00FF73C0" w:rsidRPr="00B45B15" w:rsidRDefault="00FF73C0" w:rsidP="00F76320">
            <w:pPr>
              <w:spacing w:line="480" w:lineRule="auto"/>
              <w:rPr>
                <w:rFonts w:ascii="Times New Roman" w:hAnsi="Times New Roman" w:cs="Times New Roman"/>
                <w:sz w:val="24"/>
                <w:szCs w:val="24"/>
                <w:lang w:val="en-GB"/>
              </w:rPr>
            </w:pPr>
          </w:p>
        </w:tc>
      </w:tr>
    </w:tbl>
    <w:p w:rsidR="00FF73C0" w:rsidRPr="00FD49C6" w:rsidRDefault="00FF73C0" w:rsidP="009D236C">
      <w:pPr>
        <w:spacing w:line="480" w:lineRule="auto"/>
        <w:rPr>
          <w:rFonts w:ascii="Times New Roman" w:hAnsi="Times New Roman" w:cs="Times New Roman"/>
          <w:sz w:val="24"/>
          <w:szCs w:val="24"/>
          <w:lang w:val="fr-FR"/>
        </w:rPr>
      </w:pPr>
      <w:proofErr w:type="gramStart"/>
      <w:r w:rsidRPr="00FD49C6">
        <w:rPr>
          <w:rFonts w:ascii="Times New Roman" w:hAnsi="Times New Roman" w:cs="Times New Roman"/>
          <w:i/>
          <w:sz w:val="24"/>
          <w:szCs w:val="24"/>
          <w:lang w:val="fr-FR"/>
        </w:rPr>
        <w:t>Notes:</w:t>
      </w:r>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 xml:space="preserve"> *p&lt;0.10, **</w:t>
      </w:r>
      <w:r w:rsidRPr="00FD49C6">
        <w:rPr>
          <w:rFonts w:ascii="Times New Roman" w:hAnsi="Times New Roman" w:cs="Times New Roman"/>
          <w:i/>
          <w:sz w:val="24"/>
          <w:szCs w:val="24"/>
          <w:lang w:val="fr-FR"/>
        </w:rPr>
        <w:t>p</w:t>
      </w:r>
      <w:r>
        <w:rPr>
          <w:rFonts w:ascii="Times New Roman" w:hAnsi="Times New Roman" w:cs="Times New Roman"/>
          <w:sz w:val="24"/>
          <w:szCs w:val="24"/>
          <w:lang w:val="fr-FR"/>
        </w:rPr>
        <w:t xml:space="preserve"> &lt; 0.05, *</w:t>
      </w:r>
      <w:r w:rsidRPr="00FD49C6">
        <w:rPr>
          <w:rFonts w:ascii="Times New Roman" w:hAnsi="Times New Roman" w:cs="Times New Roman"/>
          <w:sz w:val="24"/>
          <w:szCs w:val="24"/>
          <w:lang w:val="fr-FR"/>
        </w:rPr>
        <w:t>*</w:t>
      </w:r>
      <w:r>
        <w:rPr>
          <w:rFonts w:ascii="Times New Roman" w:hAnsi="Times New Roman" w:cs="Times New Roman"/>
          <w:sz w:val="24"/>
          <w:szCs w:val="24"/>
          <w:lang w:val="fr-FR"/>
        </w:rPr>
        <w:t>*</w:t>
      </w:r>
      <w:r w:rsidRPr="00FD49C6">
        <w:rPr>
          <w:rFonts w:ascii="Times New Roman" w:hAnsi="Times New Roman" w:cs="Times New Roman"/>
          <w:i/>
          <w:sz w:val="24"/>
          <w:szCs w:val="24"/>
          <w:lang w:val="fr-FR"/>
        </w:rPr>
        <w:t>p</w:t>
      </w:r>
      <w:r w:rsidRPr="00FD49C6">
        <w:rPr>
          <w:rFonts w:ascii="Times New Roman" w:hAnsi="Times New Roman" w:cs="Times New Roman"/>
          <w:sz w:val="24"/>
          <w:szCs w:val="24"/>
          <w:lang w:val="fr-FR"/>
        </w:rPr>
        <w:t xml:space="preserve"> &lt; 0.01.</w:t>
      </w:r>
    </w:p>
    <w:p w:rsidR="00FF73C0" w:rsidRDefault="00FF73C0" w:rsidP="00C8734C">
      <w:pPr>
        <w:spacing w:line="480" w:lineRule="auto"/>
        <w:rPr>
          <w:rFonts w:ascii="Times New Roman" w:hAnsi="Times New Roman" w:cs="Times New Roman"/>
          <w:sz w:val="24"/>
          <w:szCs w:val="24"/>
          <w:lang w:val="en-US"/>
        </w:rPr>
      </w:pPr>
      <w:r w:rsidRPr="00C8734C">
        <w:rPr>
          <w:rFonts w:ascii="Times New Roman" w:hAnsi="Times New Roman" w:cs="Times New Roman"/>
          <w:sz w:val="24"/>
          <w:szCs w:val="24"/>
          <w:lang w:val="en-US"/>
        </w:rPr>
        <w:lastRenderedPageBreak/>
        <w:t xml:space="preserve">The </w:t>
      </w:r>
      <w:r>
        <w:rPr>
          <w:rFonts w:ascii="Times New Roman" w:hAnsi="Times New Roman" w:cs="Times New Roman"/>
          <w:sz w:val="24"/>
          <w:szCs w:val="24"/>
          <w:lang w:val="en-US"/>
        </w:rPr>
        <w:t xml:space="preserve">results reported in table A2 should be interpreted with caution, as the analysis is carried out on a very small sample (N=59) and </w:t>
      </w:r>
      <w:r w:rsidRPr="00C8734C">
        <w:rPr>
          <w:rFonts w:ascii="Times New Roman" w:hAnsi="Times New Roman" w:cs="Times New Roman"/>
          <w:sz w:val="24"/>
          <w:szCs w:val="24"/>
          <w:lang w:val="en-US"/>
        </w:rPr>
        <w:t xml:space="preserve">some of the effects are only significant at a 0.1 level. </w:t>
      </w:r>
      <w:r>
        <w:rPr>
          <w:rFonts w:ascii="Times New Roman" w:hAnsi="Times New Roman" w:cs="Times New Roman"/>
          <w:sz w:val="24"/>
          <w:szCs w:val="24"/>
          <w:lang w:val="en-US"/>
        </w:rPr>
        <w:t xml:space="preserve">We note however that the results </w:t>
      </w:r>
      <w:proofErr w:type="gramStart"/>
      <w:r>
        <w:rPr>
          <w:rFonts w:ascii="Times New Roman" w:hAnsi="Times New Roman" w:cs="Times New Roman"/>
          <w:sz w:val="24"/>
          <w:szCs w:val="24"/>
          <w:lang w:val="en-US"/>
        </w:rPr>
        <w:t>by and large</w:t>
      </w:r>
      <w:proofErr w:type="gramEnd"/>
      <w:r>
        <w:rPr>
          <w:rFonts w:ascii="Times New Roman" w:hAnsi="Times New Roman" w:cs="Times New Roman"/>
          <w:sz w:val="24"/>
          <w:szCs w:val="24"/>
          <w:lang w:val="en-US"/>
        </w:rPr>
        <w:t xml:space="preserve"> corroborate the results of the analysis carried out on the full sample (N=169) as reported in the main text of the article (table 4). The directionality of all the estimates are the same, and the effects that were found to be statistically significant in the analysis of the full sample are either significant or approaching significance in the analysis of the restricted sample as well. The fact that the results of the main analysis holds out even in the analysis of the restricted sample attenuates the assumption of reverse causality. </w:t>
      </w:r>
    </w:p>
    <w:p w:rsidR="00FF73C0" w:rsidRDefault="00FF73C0" w:rsidP="00E95E9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As a final test of robustness, we included the COs’ tenure as a control variable in the analysis carried out in the main text of the article (table 4), as we suspect tenure to be a confounder. Table A3 reports on the results from estimation of three models: (1) the model reported in table 4; (2) a model where CO tenure is included as a continuous variable (number of years since employment in the current position)</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and (3) a model where CO tenure is included as a dichotomous variable similar to table A1. </w:t>
      </w:r>
    </w:p>
    <w:p w:rsidR="00FF73C0" w:rsidRDefault="00FF73C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F73C0" w:rsidRDefault="00FF73C0" w:rsidP="00E95E98">
      <w:pPr>
        <w:spacing w:line="480" w:lineRule="auto"/>
        <w:rPr>
          <w:rFonts w:ascii="Times New Roman" w:hAnsi="Times New Roman" w:cs="Times New Roman"/>
          <w:sz w:val="24"/>
          <w:szCs w:val="24"/>
          <w:lang w:val="en-US"/>
        </w:rPr>
      </w:pPr>
      <w:r w:rsidRPr="00D31D16">
        <w:rPr>
          <w:rFonts w:ascii="Times New Roman" w:hAnsi="Times New Roman" w:cs="Times New Roman"/>
          <w:i/>
          <w:sz w:val="24"/>
          <w:szCs w:val="24"/>
          <w:lang w:val="en-US"/>
        </w:rPr>
        <w:lastRenderedPageBreak/>
        <w:t xml:space="preserve">Table A3. </w:t>
      </w:r>
      <w:r w:rsidRPr="00D31D16">
        <w:rPr>
          <w:rFonts w:ascii="Times New Roman" w:hAnsi="Times New Roman" w:cs="Times New Roman"/>
          <w:i/>
          <w:sz w:val="24"/>
          <w:szCs w:val="24"/>
          <w:lang w:val="en-GB"/>
        </w:rPr>
        <w:t>Managers’</w:t>
      </w:r>
      <w:r w:rsidRPr="009D236C">
        <w:rPr>
          <w:rFonts w:ascii="Times New Roman" w:hAnsi="Times New Roman" w:cs="Times New Roman"/>
          <w:i/>
          <w:sz w:val="24"/>
          <w:szCs w:val="24"/>
          <w:lang w:val="en-GB"/>
        </w:rPr>
        <w:t xml:space="preserve"> Assessments of Municipal Control over Ownership Positions. Ordered logistic regression. </w:t>
      </w:r>
      <w:r>
        <w:rPr>
          <w:rFonts w:ascii="Times New Roman" w:hAnsi="Times New Roman" w:cs="Times New Roman"/>
          <w:i/>
          <w:sz w:val="24"/>
          <w:szCs w:val="24"/>
          <w:lang w:val="en-GB"/>
        </w:rPr>
        <w:t>Odds ratios (P&gt;z).</w:t>
      </w:r>
    </w:p>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1047"/>
        <w:gridCol w:w="1047"/>
        <w:gridCol w:w="1048"/>
      </w:tblGrid>
      <w:tr w:rsidR="00FF73C0" w:rsidRPr="001A4613" w:rsidTr="00F76320">
        <w:tc>
          <w:tcPr>
            <w:tcW w:w="4268" w:type="dxa"/>
            <w:tcBorders>
              <w:top w:val="single" w:sz="4" w:space="0" w:color="auto"/>
              <w:bottom w:val="single" w:sz="4" w:space="0" w:color="auto"/>
              <w:righ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p>
        </w:tc>
        <w:tc>
          <w:tcPr>
            <w:tcW w:w="1047" w:type="dxa"/>
            <w:tcBorders>
              <w:top w:val="single" w:sz="4" w:space="0" w:color="auto"/>
              <w:left w:val="single" w:sz="4" w:space="0" w:color="auto"/>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Model 1</w:t>
            </w:r>
          </w:p>
        </w:tc>
        <w:tc>
          <w:tcPr>
            <w:tcW w:w="1047" w:type="dxa"/>
            <w:tcBorders>
              <w:top w:val="single" w:sz="4" w:space="0" w:color="auto"/>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Model 2</w:t>
            </w:r>
          </w:p>
        </w:tc>
        <w:tc>
          <w:tcPr>
            <w:tcW w:w="1048" w:type="dxa"/>
            <w:tcBorders>
              <w:top w:val="single" w:sz="4" w:space="0" w:color="auto"/>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Model 3</w:t>
            </w:r>
          </w:p>
        </w:tc>
      </w:tr>
      <w:tr w:rsidR="00FF73C0" w:rsidRPr="001A4613" w:rsidTr="00F76320">
        <w:tc>
          <w:tcPr>
            <w:tcW w:w="4268" w:type="dxa"/>
            <w:tcBorders>
              <w:top w:val="single" w:sz="4" w:space="0" w:color="auto"/>
              <w:righ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Tenure of CO</w:t>
            </w:r>
          </w:p>
        </w:tc>
        <w:tc>
          <w:tcPr>
            <w:tcW w:w="1047" w:type="dxa"/>
            <w:tcBorders>
              <w:top w:val="single" w:sz="4" w:space="0" w:color="auto"/>
              <w:lef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w:t>
            </w:r>
          </w:p>
        </w:tc>
        <w:tc>
          <w:tcPr>
            <w:tcW w:w="1047" w:type="dxa"/>
            <w:tcBorders>
              <w:top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1.00</w:t>
            </w:r>
          </w:p>
          <w:p w:rsidR="00FF73C0" w:rsidRPr="001A4613" w:rsidRDefault="00FF73C0" w:rsidP="001A4613">
            <w:pPr>
              <w:spacing w:line="276" w:lineRule="auto"/>
              <w:rPr>
                <w:rFonts w:ascii="Times New Roman" w:hAnsi="Times New Roman" w:cs="Times New Roman"/>
                <w:sz w:val="24"/>
                <w:szCs w:val="24"/>
                <w:lang w:val="en-GB"/>
              </w:rPr>
            </w:pPr>
          </w:p>
        </w:tc>
        <w:tc>
          <w:tcPr>
            <w:tcW w:w="1048" w:type="dxa"/>
            <w:tcBorders>
              <w:top w:val="single" w:sz="4" w:space="0" w:color="auto"/>
            </w:tcBorders>
          </w:tcPr>
          <w:p w:rsidR="00FF73C0" w:rsidRPr="001A4613" w:rsidRDefault="00FF73C0" w:rsidP="001A4613">
            <w:pPr>
              <w:spacing w:line="276" w:lineRule="auto"/>
              <w:rPr>
                <w:rFonts w:ascii="Times New Roman" w:hAnsi="Times New Roman" w:cs="Times New Roman"/>
                <w:sz w:val="24"/>
                <w:szCs w:val="24"/>
                <w:lang w:val="en-US"/>
              </w:rPr>
            </w:pPr>
            <w:r w:rsidRPr="001A4613">
              <w:rPr>
                <w:rFonts w:ascii="Times New Roman" w:hAnsi="Times New Roman" w:cs="Times New Roman"/>
                <w:sz w:val="24"/>
                <w:szCs w:val="24"/>
                <w:lang w:val="en-US"/>
              </w:rPr>
              <w:t>1.31</w:t>
            </w:r>
            <w:r w:rsidRPr="001A4613">
              <w:rPr>
                <w:rFonts w:ascii="Times New Roman" w:hAnsi="Times New Roman" w:cs="Times New Roman"/>
                <w:sz w:val="24"/>
                <w:szCs w:val="24"/>
                <w:lang w:val="en-US"/>
              </w:rPr>
              <w:br/>
            </w:r>
          </w:p>
        </w:tc>
      </w:tr>
      <w:tr w:rsidR="00FF73C0" w:rsidRPr="001A4613" w:rsidTr="00F76320">
        <w:tc>
          <w:tcPr>
            <w:tcW w:w="4268" w:type="dxa"/>
            <w:tcBorders>
              <w:righ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Politicians informed of goal obtainment</w:t>
            </w:r>
          </w:p>
        </w:tc>
        <w:tc>
          <w:tcPr>
            <w:tcW w:w="1047" w:type="dxa"/>
            <w:tcBorders>
              <w:lef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2.09*</w:t>
            </w:r>
          </w:p>
          <w:p w:rsidR="00FF73C0" w:rsidRPr="001A4613" w:rsidRDefault="00FF73C0" w:rsidP="001A4613">
            <w:pPr>
              <w:spacing w:line="276" w:lineRule="auto"/>
              <w:rPr>
                <w:rFonts w:ascii="Times New Roman" w:hAnsi="Times New Roman" w:cs="Times New Roman"/>
                <w:sz w:val="24"/>
                <w:szCs w:val="24"/>
                <w:lang w:val="en-GB"/>
              </w:rPr>
            </w:pPr>
          </w:p>
        </w:tc>
        <w:tc>
          <w:tcPr>
            <w:tcW w:w="1047" w:type="dxa"/>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2.</w:t>
            </w:r>
            <w:r>
              <w:rPr>
                <w:rFonts w:ascii="Times New Roman" w:hAnsi="Times New Roman" w:cs="Times New Roman"/>
                <w:sz w:val="24"/>
                <w:szCs w:val="24"/>
                <w:lang w:val="en-GB"/>
              </w:rPr>
              <w:t>44*</w:t>
            </w:r>
          </w:p>
          <w:p w:rsidR="00FF73C0" w:rsidRPr="001A4613" w:rsidRDefault="00FF73C0" w:rsidP="001A4613">
            <w:pPr>
              <w:spacing w:line="276" w:lineRule="auto"/>
              <w:rPr>
                <w:rFonts w:ascii="Times New Roman" w:hAnsi="Times New Roman" w:cs="Times New Roman"/>
                <w:sz w:val="24"/>
                <w:szCs w:val="24"/>
                <w:lang w:val="en-GB"/>
              </w:rPr>
            </w:pPr>
          </w:p>
        </w:tc>
        <w:tc>
          <w:tcPr>
            <w:tcW w:w="1048" w:type="dxa"/>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US"/>
              </w:rPr>
              <w:t>2.13</w:t>
            </w:r>
            <w:r>
              <w:rPr>
                <w:rFonts w:ascii="Times New Roman" w:hAnsi="Times New Roman" w:cs="Times New Roman"/>
                <w:sz w:val="24"/>
                <w:szCs w:val="24"/>
                <w:lang w:val="en-US"/>
              </w:rPr>
              <w:t>*</w:t>
            </w:r>
            <w:r w:rsidRPr="001A4613">
              <w:rPr>
                <w:rFonts w:ascii="Times New Roman" w:hAnsi="Times New Roman" w:cs="Times New Roman"/>
                <w:sz w:val="24"/>
                <w:szCs w:val="24"/>
                <w:lang w:val="en-US"/>
              </w:rPr>
              <w:br/>
            </w:r>
          </w:p>
        </w:tc>
      </w:tr>
      <w:tr w:rsidR="00FF73C0" w:rsidRPr="001A4613" w:rsidTr="00F76320">
        <w:tc>
          <w:tcPr>
            <w:tcW w:w="4268" w:type="dxa"/>
            <w:tcBorders>
              <w:righ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Admin. informed of goal obtainment</w:t>
            </w:r>
          </w:p>
        </w:tc>
        <w:tc>
          <w:tcPr>
            <w:tcW w:w="1047" w:type="dxa"/>
            <w:tcBorders>
              <w:lef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 xml:space="preserve">0.37   </w:t>
            </w:r>
          </w:p>
          <w:p w:rsidR="00FF73C0" w:rsidRPr="001A4613" w:rsidRDefault="00FF73C0" w:rsidP="001A4613">
            <w:pPr>
              <w:spacing w:line="276" w:lineRule="auto"/>
              <w:rPr>
                <w:rFonts w:ascii="Times New Roman" w:hAnsi="Times New Roman" w:cs="Times New Roman"/>
                <w:sz w:val="24"/>
                <w:szCs w:val="24"/>
                <w:lang w:val="en-GB"/>
              </w:rPr>
            </w:pPr>
          </w:p>
        </w:tc>
        <w:tc>
          <w:tcPr>
            <w:tcW w:w="1047" w:type="dxa"/>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w:t>
            </w:r>
            <w:r>
              <w:rPr>
                <w:rFonts w:ascii="Times New Roman" w:hAnsi="Times New Roman" w:cs="Times New Roman"/>
                <w:sz w:val="24"/>
                <w:szCs w:val="24"/>
                <w:lang w:val="en-GB"/>
              </w:rPr>
              <w:t>42</w:t>
            </w:r>
          </w:p>
          <w:p w:rsidR="00FF73C0" w:rsidRPr="001A4613" w:rsidRDefault="00FF73C0" w:rsidP="001A4613">
            <w:pPr>
              <w:spacing w:line="276" w:lineRule="auto"/>
              <w:rPr>
                <w:rFonts w:ascii="Times New Roman" w:hAnsi="Times New Roman" w:cs="Times New Roman"/>
                <w:sz w:val="24"/>
                <w:szCs w:val="24"/>
                <w:lang w:val="en-GB"/>
              </w:rPr>
            </w:pPr>
          </w:p>
        </w:tc>
        <w:tc>
          <w:tcPr>
            <w:tcW w:w="1048" w:type="dxa"/>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US"/>
              </w:rPr>
              <w:t>.39</w:t>
            </w:r>
            <w:r w:rsidRPr="001A4613">
              <w:rPr>
                <w:rFonts w:ascii="Times New Roman" w:hAnsi="Times New Roman" w:cs="Times New Roman"/>
                <w:sz w:val="24"/>
                <w:szCs w:val="24"/>
                <w:lang w:val="en-US"/>
              </w:rPr>
              <w:br/>
            </w:r>
          </w:p>
        </w:tc>
      </w:tr>
      <w:tr w:rsidR="00FF73C0" w:rsidRPr="001A4613" w:rsidTr="00F76320">
        <w:tc>
          <w:tcPr>
            <w:tcW w:w="4268" w:type="dxa"/>
            <w:tcBorders>
              <w:righ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Politicians informed of running ops.</w:t>
            </w:r>
          </w:p>
        </w:tc>
        <w:tc>
          <w:tcPr>
            <w:tcW w:w="1047" w:type="dxa"/>
            <w:tcBorders>
              <w:lef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1.53</w:t>
            </w:r>
          </w:p>
          <w:p w:rsidR="00FF73C0" w:rsidRPr="001A4613" w:rsidRDefault="00FF73C0" w:rsidP="001A4613">
            <w:pPr>
              <w:spacing w:line="276" w:lineRule="auto"/>
              <w:rPr>
                <w:rFonts w:ascii="Times New Roman" w:hAnsi="Times New Roman" w:cs="Times New Roman"/>
                <w:sz w:val="24"/>
                <w:szCs w:val="24"/>
                <w:lang w:val="en-GB"/>
              </w:rPr>
            </w:pPr>
          </w:p>
        </w:tc>
        <w:tc>
          <w:tcPr>
            <w:tcW w:w="1047" w:type="dxa"/>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1.</w:t>
            </w:r>
            <w:r>
              <w:rPr>
                <w:rFonts w:ascii="Times New Roman" w:hAnsi="Times New Roman" w:cs="Times New Roman"/>
                <w:sz w:val="24"/>
                <w:szCs w:val="24"/>
                <w:lang w:val="en-GB"/>
              </w:rPr>
              <w:t>31</w:t>
            </w:r>
          </w:p>
          <w:p w:rsidR="00FF73C0" w:rsidRPr="001A4613" w:rsidRDefault="00FF73C0" w:rsidP="001A4613">
            <w:pPr>
              <w:spacing w:line="276" w:lineRule="auto"/>
              <w:rPr>
                <w:rFonts w:ascii="Times New Roman" w:hAnsi="Times New Roman" w:cs="Times New Roman"/>
                <w:sz w:val="24"/>
                <w:szCs w:val="24"/>
                <w:lang w:val="en-GB"/>
              </w:rPr>
            </w:pPr>
          </w:p>
        </w:tc>
        <w:tc>
          <w:tcPr>
            <w:tcW w:w="1048" w:type="dxa"/>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US"/>
              </w:rPr>
              <w:t>1.52</w:t>
            </w:r>
            <w:r w:rsidRPr="001A4613">
              <w:rPr>
                <w:rFonts w:ascii="Times New Roman" w:hAnsi="Times New Roman" w:cs="Times New Roman"/>
                <w:sz w:val="24"/>
                <w:szCs w:val="24"/>
                <w:lang w:val="en-US"/>
              </w:rPr>
              <w:br/>
            </w:r>
          </w:p>
        </w:tc>
      </w:tr>
      <w:tr w:rsidR="00FF73C0" w:rsidRPr="001A4613" w:rsidTr="00F76320">
        <w:tc>
          <w:tcPr>
            <w:tcW w:w="4268" w:type="dxa"/>
            <w:tcBorders>
              <w:bottom w:val="single" w:sz="4" w:space="0" w:color="auto"/>
              <w:righ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 xml:space="preserve">Admin. </w:t>
            </w:r>
            <w:proofErr w:type="gramStart"/>
            <w:r w:rsidRPr="001A4613">
              <w:rPr>
                <w:rFonts w:ascii="Times New Roman" w:hAnsi="Times New Roman" w:cs="Times New Roman"/>
                <w:sz w:val="24"/>
                <w:szCs w:val="24"/>
                <w:lang w:val="en-GB"/>
              </w:rPr>
              <w:t>informed</w:t>
            </w:r>
            <w:proofErr w:type="gramEnd"/>
            <w:r w:rsidRPr="001A4613">
              <w:rPr>
                <w:rFonts w:ascii="Times New Roman" w:hAnsi="Times New Roman" w:cs="Times New Roman"/>
                <w:sz w:val="24"/>
                <w:szCs w:val="24"/>
                <w:lang w:val="en-GB"/>
              </w:rPr>
              <w:t xml:space="preserve"> of running ops.</w:t>
            </w:r>
          </w:p>
        </w:tc>
        <w:tc>
          <w:tcPr>
            <w:tcW w:w="1047" w:type="dxa"/>
            <w:tcBorders>
              <w:left w:val="single" w:sz="4" w:space="0" w:color="auto"/>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4.98**</w:t>
            </w:r>
          </w:p>
          <w:p w:rsidR="00FF73C0" w:rsidRPr="001A4613" w:rsidRDefault="00FF73C0" w:rsidP="001A4613">
            <w:pPr>
              <w:spacing w:line="276" w:lineRule="auto"/>
              <w:rPr>
                <w:rFonts w:ascii="Times New Roman" w:hAnsi="Times New Roman" w:cs="Times New Roman"/>
                <w:sz w:val="24"/>
                <w:szCs w:val="24"/>
                <w:lang w:val="en-GB"/>
              </w:rPr>
            </w:pPr>
          </w:p>
        </w:tc>
        <w:tc>
          <w:tcPr>
            <w:tcW w:w="1047" w:type="dxa"/>
            <w:tcBorders>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4.</w:t>
            </w:r>
            <w:r>
              <w:rPr>
                <w:rFonts w:ascii="Times New Roman" w:hAnsi="Times New Roman" w:cs="Times New Roman"/>
                <w:sz w:val="24"/>
                <w:szCs w:val="24"/>
                <w:lang w:val="en-GB"/>
              </w:rPr>
              <w:t>15*</w:t>
            </w:r>
          </w:p>
          <w:p w:rsidR="00FF73C0" w:rsidRPr="001A4613" w:rsidRDefault="00FF73C0" w:rsidP="001A4613">
            <w:pPr>
              <w:spacing w:line="276" w:lineRule="auto"/>
              <w:rPr>
                <w:rFonts w:ascii="Times New Roman" w:hAnsi="Times New Roman" w:cs="Times New Roman"/>
                <w:sz w:val="24"/>
                <w:szCs w:val="24"/>
                <w:lang w:val="en-GB"/>
              </w:rPr>
            </w:pPr>
          </w:p>
        </w:tc>
        <w:tc>
          <w:tcPr>
            <w:tcW w:w="1048" w:type="dxa"/>
            <w:tcBorders>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US"/>
              </w:rPr>
              <w:t>4.65</w:t>
            </w:r>
            <w:r>
              <w:rPr>
                <w:rFonts w:ascii="Times New Roman" w:hAnsi="Times New Roman" w:cs="Times New Roman"/>
                <w:sz w:val="24"/>
                <w:szCs w:val="24"/>
                <w:lang w:val="en-US"/>
              </w:rPr>
              <w:t>**</w:t>
            </w:r>
            <w:r w:rsidRPr="001A4613">
              <w:rPr>
                <w:rFonts w:ascii="Times New Roman" w:hAnsi="Times New Roman" w:cs="Times New Roman"/>
                <w:sz w:val="24"/>
                <w:szCs w:val="24"/>
                <w:lang w:val="en-US"/>
              </w:rPr>
              <w:br/>
            </w:r>
          </w:p>
        </w:tc>
      </w:tr>
      <w:tr w:rsidR="00FF73C0" w:rsidRPr="001A4613" w:rsidTr="00F76320">
        <w:tc>
          <w:tcPr>
            <w:tcW w:w="4268" w:type="dxa"/>
            <w:tcBorders>
              <w:top w:val="single" w:sz="4" w:space="0" w:color="auto"/>
              <w:righ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Enterprise goals discussed with pol.</w:t>
            </w:r>
          </w:p>
        </w:tc>
        <w:tc>
          <w:tcPr>
            <w:tcW w:w="1047" w:type="dxa"/>
            <w:tcBorders>
              <w:top w:val="single" w:sz="4" w:space="0" w:color="auto"/>
              <w:lef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 xml:space="preserve">1.70** </w:t>
            </w:r>
          </w:p>
          <w:p w:rsidR="00FF73C0" w:rsidRPr="001A4613" w:rsidRDefault="00FF73C0" w:rsidP="001A4613">
            <w:pPr>
              <w:spacing w:line="276" w:lineRule="auto"/>
              <w:rPr>
                <w:rFonts w:ascii="Times New Roman" w:hAnsi="Times New Roman" w:cs="Times New Roman"/>
                <w:sz w:val="24"/>
                <w:szCs w:val="24"/>
                <w:lang w:val="en-GB"/>
              </w:rPr>
            </w:pPr>
          </w:p>
        </w:tc>
        <w:tc>
          <w:tcPr>
            <w:tcW w:w="1047" w:type="dxa"/>
            <w:tcBorders>
              <w:top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1.7</w:t>
            </w:r>
            <w:r>
              <w:rPr>
                <w:rFonts w:ascii="Times New Roman" w:hAnsi="Times New Roman" w:cs="Times New Roman"/>
                <w:sz w:val="24"/>
                <w:szCs w:val="24"/>
                <w:lang w:val="en-GB"/>
              </w:rPr>
              <w:t>2**</w:t>
            </w:r>
          </w:p>
          <w:p w:rsidR="00FF73C0" w:rsidRPr="001A4613" w:rsidRDefault="00FF73C0" w:rsidP="001A4613">
            <w:pPr>
              <w:spacing w:line="276" w:lineRule="auto"/>
              <w:rPr>
                <w:rFonts w:ascii="Times New Roman" w:hAnsi="Times New Roman" w:cs="Times New Roman"/>
                <w:sz w:val="24"/>
                <w:szCs w:val="24"/>
                <w:lang w:val="en-GB"/>
              </w:rPr>
            </w:pPr>
          </w:p>
        </w:tc>
        <w:tc>
          <w:tcPr>
            <w:tcW w:w="1048" w:type="dxa"/>
            <w:tcBorders>
              <w:top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US"/>
              </w:rPr>
              <w:t>1.74</w:t>
            </w:r>
            <w:r>
              <w:rPr>
                <w:rFonts w:ascii="Times New Roman" w:hAnsi="Times New Roman" w:cs="Times New Roman"/>
                <w:sz w:val="24"/>
                <w:szCs w:val="24"/>
                <w:lang w:val="en-US"/>
              </w:rPr>
              <w:t>**</w:t>
            </w:r>
            <w:r w:rsidRPr="001A4613">
              <w:rPr>
                <w:rFonts w:ascii="Times New Roman" w:hAnsi="Times New Roman" w:cs="Times New Roman"/>
                <w:sz w:val="24"/>
                <w:szCs w:val="24"/>
                <w:lang w:val="en-US"/>
              </w:rPr>
              <w:br/>
            </w:r>
          </w:p>
        </w:tc>
      </w:tr>
      <w:tr w:rsidR="00FF73C0" w:rsidRPr="001A4613" w:rsidTr="00F76320">
        <w:tc>
          <w:tcPr>
            <w:tcW w:w="4268" w:type="dxa"/>
            <w:tcBorders>
              <w:bottom w:val="single" w:sz="4" w:space="0" w:color="auto"/>
              <w:righ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Enterprise goals discussed with admin.</w:t>
            </w:r>
          </w:p>
        </w:tc>
        <w:tc>
          <w:tcPr>
            <w:tcW w:w="1047" w:type="dxa"/>
            <w:tcBorders>
              <w:left w:val="single" w:sz="4" w:space="0" w:color="auto"/>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 xml:space="preserve"> 0.87</w:t>
            </w:r>
          </w:p>
          <w:p w:rsidR="00FF73C0" w:rsidRPr="001A4613" w:rsidRDefault="00FF73C0" w:rsidP="001A4613">
            <w:pPr>
              <w:spacing w:line="276" w:lineRule="auto"/>
              <w:rPr>
                <w:rFonts w:ascii="Times New Roman" w:hAnsi="Times New Roman" w:cs="Times New Roman"/>
                <w:sz w:val="24"/>
                <w:szCs w:val="24"/>
                <w:lang w:val="en-GB"/>
              </w:rPr>
            </w:pPr>
          </w:p>
        </w:tc>
        <w:tc>
          <w:tcPr>
            <w:tcW w:w="1047" w:type="dxa"/>
            <w:tcBorders>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.8</w:t>
            </w:r>
            <w:r>
              <w:rPr>
                <w:rFonts w:ascii="Times New Roman" w:hAnsi="Times New Roman" w:cs="Times New Roman"/>
                <w:sz w:val="24"/>
                <w:szCs w:val="24"/>
                <w:lang w:val="en-GB"/>
              </w:rPr>
              <w:t>8</w:t>
            </w:r>
          </w:p>
          <w:p w:rsidR="00FF73C0" w:rsidRPr="001A4613" w:rsidRDefault="00FF73C0" w:rsidP="001A4613">
            <w:pPr>
              <w:spacing w:line="276" w:lineRule="auto"/>
              <w:rPr>
                <w:rFonts w:ascii="Times New Roman" w:hAnsi="Times New Roman" w:cs="Times New Roman"/>
                <w:sz w:val="24"/>
                <w:szCs w:val="24"/>
                <w:lang w:val="en-GB"/>
              </w:rPr>
            </w:pPr>
          </w:p>
        </w:tc>
        <w:tc>
          <w:tcPr>
            <w:tcW w:w="1048" w:type="dxa"/>
            <w:tcBorders>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US"/>
              </w:rPr>
              <w:t>.88</w:t>
            </w:r>
            <w:r w:rsidRPr="001A4613">
              <w:rPr>
                <w:rFonts w:ascii="Times New Roman" w:hAnsi="Times New Roman" w:cs="Times New Roman"/>
                <w:sz w:val="24"/>
                <w:szCs w:val="24"/>
                <w:lang w:val="en-US"/>
              </w:rPr>
              <w:br/>
            </w:r>
          </w:p>
        </w:tc>
      </w:tr>
      <w:tr w:rsidR="00FF73C0" w:rsidRPr="001A4613" w:rsidTr="00F76320">
        <w:tc>
          <w:tcPr>
            <w:tcW w:w="4268" w:type="dxa"/>
            <w:tcBorders>
              <w:top w:val="single" w:sz="4" w:space="0" w:color="auto"/>
              <w:bottom w:val="single" w:sz="4" w:space="0" w:color="auto"/>
              <w:righ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Noncompliance results in board fired</w:t>
            </w:r>
          </w:p>
        </w:tc>
        <w:tc>
          <w:tcPr>
            <w:tcW w:w="1047" w:type="dxa"/>
            <w:tcBorders>
              <w:top w:val="single" w:sz="4" w:space="0" w:color="auto"/>
              <w:left w:val="single" w:sz="4" w:space="0" w:color="auto"/>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1.38**</w:t>
            </w:r>
          </w:p>
          <w:p w:rsidR="00FF73C0" w:rsidRPr="001A4613" w:rsidRDefault="00FF73C0" w:rsidP="001A4613">
            <w:pPr>
              <w:spacing w:line="276" w:lineRule="auto"/>
              <w:rPr>
                <w:rFonts w:ascii="Times New Roman" w:hAnsi="Times New Roman" w:cs="Times New Roman"/>
                <w:sz w:val="24"/>
                <w:szCs w:val="24"/>
                <w:lang w:val="en-GB"/>
              </w:rPr>
            </w:pPr>
          </w:p>
        </w:tc>
        <w:tc>
          <w:tcPr>
            <w:tcW w:w="1047" w:type="dxa"/>
            <w:tcBorders>
              <w:top w:val="single" w:sz="4" w:space="0" w:color="auto"/>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1.38</w:t>
            </w:r>
            <w:r>
              <w:rPr>
                <w:rFonts w:ascii="Times New Roman" w:hAnsi="Times New Roman" w:cs="Times New Roman"/>
                <w:sz w:val="24"/>
                <w:szCs w:val="24"/>
                <w:lang w:val="en-GB"/>
              </w:rPr>
              <w:t>*</w:t>
            </w:r>
          </w:p>
          <w:p w:rsidR="00FF73C0" w:rsidRPr="001A4613" w:rsidRDefault="00FF73C0" w:rsidP="001A4613">
            <w:pPr>
              <w:spacing w:line="276" w:lineRule="auto"/>
              <w:rPr>
                <w:rFonts w:ascii="Times New Roman" w:hAnsi="Times New Roman" w:cs="Times New Roman"/>
                <w:sz w:val="24"/>
                <w:szCs w:val="24"/>
                <w:lang w:val="en-GB"/>
              </w:rPr>
            </w:pPr>
          </w:p>
        </w:tc>
        <w:tc>
          <w:tcPr>
            <w:tcW w:w="1048" w:type="dxa"/>
            <w:tcBorders>
              <w:top w:val="single" w:sz="4" w:space="0" w:color="auto"/>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US"/>
              </w:rPr>
              <w:t>1.36</w:t>
            </w:r>
            <w:r>
              <w:rPr>
                <w:rFonts w:ascii="Times New Roman" w:hAnsi="Times New Roman" w:cs="Times New Roman"/>
                <w:sz w:val="24"/>
                <w:szCs w:val="24"/>
                <w:lang w:val="en-US"/>
              </w:rPr>
              <w:t>**</w:t>
            </w:r>
            <w:r w:rsidRPr="001A4613">
              <w:rPr>
                <w:rFonts w:ascii="Times New Roman" w:hAnsi="Times New Roman" w:cs="Times New Roman"/>
                <w:sz w:val="24"/>
                <w:szCs w:val="24"/>
                <w:lang w:val="en-US"/>
              </w:rPr>
              <w:br/>
            </w:r>
          </w:p>
        </w:tc>
      </w:tr>
      <w:tr w:rsidR="00FF73C0" w:rsidRPr="001A4613" w:rsidTr="00F76320">
        <w:tc>
          <w:tcPr>
            <w:tcW w:w="4268" w:type="dxa"/>
            <w:tcBorders>
              <w:top w:val="single" w:sz="4" w:space="0" w:color="auto"/>
              <w:righ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Number of administrative employees</w:t>
            </w:r>
          </w:p>
        </w:tc>
        <w:tc>
          <w:tcPr>
            <w:tcW w:w="1047" w:type="dxa"/>
            <w:tcBorders>
              <w:top w:val="single" w:sz="4" w:space="0" w:color="auto"/>
              <w:lef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1.14</w:t>
            </w:r>
          </w:p>
          <w:p w:rsidR="00FF73C0" w:rsidRPr="001A4613" w:rsidRDefault="00FF73C0" w:rsidP="001A4613">
            <w:pPr>
              <w:spacing w:line="276" w:lineRule="auto"/>
              <w:rPr>
                <w:rFonts w:ascii="Times New Roman" w:hAnsi="Times New Roman" w:cs="Times New Roman"/>
                <w:sz w:val="24"/>
                <w:szCs w:val="24"/>
                <w:lang w:val="en-GB"/>
              </w:rPr>
            </w:pPr>
          </w:p>
        </w:tc>
        <w:tc>
          <w:tcPr>
            <w:tcW w:w="1047" w:type="dxa"/>
            <w:tcBorders>
              <w:top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1.0</w:t>
            </w:r>
            <w:r>
              <w:rPr>
                <w:rFonts w:ascii="Times New Roman" w:hAnsi="Times New Roman" w:cs="Times New Roman"/>
                <w:sz w:val="24"/>
                <w:szCs w:val="24"/>
                <w:lang w:val="en-GB"/>
              </w:rPr>
              <w:t>1</w:t>
            </w:r>
          </w:p>
          <w:p w:rsidR="00FF73C0" w:rsidRPr="001A4613" w:rsidRDefault="00FF73C0" w:rsidP="001A4613">
            <w:pPr>
              <w:spacing w:line="276" w:lineRule="auto"/>
              <w:rPr>
                <w:rFonts w:ascii="Times New Roman" w:hAnsi="Times New Roman" w:cs="Times New Roman"/>
                <w:sz w:val="24"/>
                <w:szCs w:val="24"/>
                <w:lang w:val="en-GB"/>
              </w:rPr>
            </w:pPr>
          </w:p>
        </w:tc>
        <w:tc>
          <w:tcPr>
            <w:tcW w:w="1048" w:type="dxa"/>
            <w:tcBorders>
              <w:top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US"/>
              </w:rPr>
              <w:t>1.10</w:t>
            </w:r>
            <w:r w:rsidRPr="001A4613">
              <w:rPr>
                <w:rFonts w:ascii="Times New Roman" w:hAnsi="Times New Roman" w:cs="Times New Roman"/>
                <w:sz w:val="24"/>
                <w:szCs w:val="24"/>
                <w:lang w:val="en-US"/>
              </w:rPr>
              <w:br/>
            </w:r>
          </w:p>
        </w:tc>
      </w:tr>
      <w:tr w:rsidR="00FF73C0" w:rsidRPr="001A4613" w:rsidTr="00F76320">
        <w:tc>
          <w:tcPr>
            <w:tcW w:w="4268" w:type="dxa"/>
            <w:tcBorders>
              <w:righ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Number of SOEs (ln)</w:t>
            </w:r>
          </w:p>
        </w:tc>
        <w:tc>
          <w:tcPr>
            <w:tcW w:w="1047" w:type="dxa"/>
            <w:tcBorders>
              <w:lef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0.96</w:t>
            </w:r>
          </w:p>
          <w:p w:rsidR="00FF73C0" w:rsidRPr="001A4613" w:rsidRDefault="00FF73C0" w:rsidP="001A4613">
            <w:pPr>
              <w:spacing w:line="276" w:lineRule="auto"/>
              <w:rPr>
                <w:rFonts w:ascii="Times New Roman" w:hAnsi="Times New Roman" w:cs="Times New Roman"/>
                <w:sz w:val="24"/>
                <w:szCs w:val="24"/>
                <w:lang w:val="en-GB"/>
              </w:rPr>
            </w:pPr>
          </w:p>
        </w:tc>
        <w:tc>
          <w:tcPr>
            <w:tcW w:w="1047" w:type="dxa"/>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.94</w:t>
            </w:r>
          </w:p>
          <w:p w:rsidR="00FF73C0" w:rsidRPr="001A4613" w:rsidRDefault="00FF73C0" w:rsidP="001A4613">
            <w:pPr>
              <w:spacing w:line="276" w:lineRule="auto"/>
              <w:rPr>
                <w:rFonts w:ascii="Times New Roman" w:hAnsi="Times New Roman" w:cs="Times New Roman"/>
                <w:sz w:val="24"/>
                <w:szCs w:val="24"/>
                <w:lang w:val="en-GB"/>
              </w:rPr>
            </w:pPr>
          </w:p>
        </w:tc>
        <w:tc>
          <w:tcPr>
            <w:tcW w:w="1048" w:type="dxa"/>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US"/>
              </w:rPr>
              <w:t>.96</w:t>
            </w:r>
            <w:r w:rsidRPr="001A4613">
              <w:rPr>
                <w:rFonts w:ascii="Times New Roman" w:hAnsi="Times New Roman" w:cs="Times New Roman"/>
                <w:sz w:val="24"/>
                <w:szCs w:val="24"/>
                <w:lang w:val="en-US"/>
              </w:rPr>
              <w:br/>
            </w:r>
          </w:p>
        </w:tc>
      </w:tr>
      <w:tr w:rsidR="00FF73C0" w:rsidRPr="001A4613" w:rsidTr="00F76320">
        <w:tc>
          <w:tcPr>
            <w:tcW w:w="4268" w:type="dxa"/>
            <w:tcBorders>
              <w:righ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Net operating result per capita</w:t>
            </w:r>
          </w:p>
        </w:tc>
        <w:tc>
          <w:tcPr>
            <w:tcW w:w="1047" w:type="dxa"/>
            <w:tcBorders>
              <w:lef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1.01</w:t>
            </w:r>
          </w:p>
          <w:p w:rsidR="00FF73C0" w:rsidRPr="001A4613" w:rsidRDefault="00FF73C0" w:rsidP="001A4613">
            <w:pPr>
              <w:spacing w:line="276" w:lineRule="auto"/>
              <w:rPr>
                <w:rFonts w:ascii="Times New Roman" w:hAnsi="Times New Roman" w:cs="Times New Roman"/>
                <w:sz w:val="24"/>
                <w:szCs w:val="24"/>
                <w:lang w:val="en-GB"/>
              </w:rPr>
            </w:pPr>
          </w:p>
        </w:tc>
        <w:tc>
          <w:tcPr>
            <w:tcW w:w="1047" w:type="dxa"/>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1.01</w:t>
            </w:r>
          </w:p>
          <w:p w:rsidR="00FF73C0" w:rsidRPr="001A4613" w:rsidRDefault="00FF73C0" w:rsidP="001A4613">
            <w:pPr>
              <w:spacing w:line="276" w:lineRule="auto"/>
              <w:rPr>
                <w:rFonts w:ascii="Times New Roman" w:hAnsi="Times New Roman" w:cs="Times New Roman"/>
                <w:sz w:val="24"/>
                <w:szCs w:val="24"/>
                <w:lang w:val="en-GB"/>
              </w:rPr>
            </w:pPr>
          </w:p>
        </w:tc>
        <w:tc>
          <w:tcPr>
            <w:tcW w:w="1048" w:type="dxa"/>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US"/>
              </w:rPr>
              <w:t>1.02</w:t>
            </w:r>
          </w:p>
        </w:tc>
      </w:tr>
      <w:tr w:rsidR="00FF73C0" w:rsidRPr="001A4613" w:rsidTr="00F76320">
        <w:tc>
          <w:tcPr>
            <w:tcW w:w="4268" w:type="dxa"/>
            <w:tcBorders>
              <w:bottom w:val="single" w:sz="4" w:space="0" w:color="auto"/>
              <w:righ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Political fragmentation (H. index)</w:t>
            </w:r>
          </w:p>
        </w:tc>
        <w:tc>
          <w:tcPr>
            <w:tcW w:w="1047" w:type="dxa"/>
            <w:tcBorders>
              <w:left w:val="single" w:sz="4" w:space="0" w:color="auto"/>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4.12*</w:t>
            </w:r>
          </w:p>
          <w:p w:rsidR="00FF73C0" w:rsidRPr="001A4613" w:rsidRDefault="00FF73C0" w:rsidP="001A4613">
            <w:pPr>
              <w:spacing w:line="276" w:lineRule="auto"/>
              <w:rPr>
                <w:rFonts w:ascii="Times New Roman" w:hAnsi="Times New Roman" w:cs="Times New Roman"/>
                <w:sz w:val="24"/>
                <w:szCs w:val="24"/>
                <w:lang w:val="en-GB"/>
              </w:rPr>
            </w:pPr>
          </w:p>
        </w:tc>
        <w:tc>
          <w:tcPr>
            <w:tcW w:w="1047" w:type="dxa"/>
            <w:tcBorders>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3.</w:t>
            </w:r>
            <w:r>
              <w:rPr>
                <w:rFonts w:ascii="Times New Roman" w:hAnsi="Times New Roman" w:cs="Times New Roman"/>
                <w:sz w:val="24"/>
                <w:szCs w:val="24"/>
                <w:lang w:val="en-GB"/>
              </w:rPr>
              <w:t>72*</w:t>
            </w:r>
          </w:p>
          <w:p w:rsidR="00FF73C0" w:rsidRPr="001A4613" w:rsidRDefault="00FF73C0" w:rsidP="001A4613">
            <w:pPr>
              <w:spacing w:line="276" w:lineRule="auto"/>
              <w:rPr>
                <w:rFonts w:ascii="Times New Roman" w:hAnsi="Times New Roman" w:cs="Times New Roman"/>
                <w:sz w:val="24"/>
                <w:szCs w:val="24"/>
                <w:lang w:val="en-GB"/>
              </w:rPr>
            </w:pPr>
          </w:p>
        </w:tc>
        <w:tc>
          <w:tcPr>
            <w:tcW w:w="1048" w:type="dxa"/>
            <w:tcBorders>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rPr>
              <w:t>4.15</w:t>
            </w:r>
            <w:r>
              <w:rPr>
                <w:rFonts w:ascii="Times New Roman" w:hAnsi="Times New Roman" w:cs="Times New Roman"/>
                <w:sz w:val="24"/>
                <w:szCs w:val="24"/>
              </w:rPr>
              <w:t>*</w:t>
            </w:r>
            <w:r w:rsidRPr="001A4613">
              <w:rPr>
                <w:rFonts w:ascii="Times New Roman" w:hAnsi="Times New Roman" w:cs="Times New Roman"/>
                <w:sz w:val="24"/>
                <w:szCs w:val="24"/>
              </w:rPr>
              <w:br/>
            </w:r>
          </w:p>
        </w:tc>
      </w:tr>
      <w:tr w:rsidR="00FF73C0" w:rsidRPr="001A4613" w:rsidTr="00F76320">
        <w:tc>
          <w:tcPr>
            <w:tcW w:w="4268" w:type="dxa"/>
            <w:tcBorders>
              <w:top w:val="single" w:sz="4" w:space="0" w:color="auto"/>
              <w:bottom w:val="single" w:sz="4" w:space="0" w:color="auto"/>
              <w:right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 xml:space="preserve">Pseudo </w:t>
            </w:r>
            <w:r w:rsidRPr="001A4613">
              <w:rPr>
                <w:rFonts w:ascii="Times New Roman" w:hAnsi="Times New Roman" w:cs="Times New Roman"/>
                <w:i/>
                <w:sz w:val="24"/>
                <w:szCs w:val="24"/>
                <w:lang w:val="en-GB"/>
              </w:rPr>
              <w:t>R</w:t>
            </w:r>
            <w:r w:rsidRPr="001A4613">
              <w:rPr>
                <w:rFonts w:ascii="Times New Roman" w:hAnsi="Times New Roman" w:cs="Times New Roman"/>
                <w:sz w:val="24"/>
                <w:szCs w:val="24"/>
                <w:vertAlign w:val="superscript"/>
                <w:lang w:val="en-GB"/>
              </w:rPr>
              <w:t>2</w:t>
            </w:r>
          </w:p>
        </w:tc>
        <w:tc>
          <w:tcPr>
            <w:tcW w:w="1047" w:type="dxa"/>
            <w:tcBorders>
              <w:top w:val="single" w:sz="4" w:space="0" w:color="auto"/>
              <w:left w:val="single" w:sz="4" w:space="0" w:color="auto"/>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sidRPr="001A4613">
              <w:rPr>
                <w:rFonts w:ascii="Times New Roman" w:hAnsi="Times New Roman" w:cs="Times New Roman"/>
                <w:sz w:val="24"/>
                <w:szCs w:val="24"/>
                <w:lang w:val="en-GB"/>
              </w:rPr>
              <w:t>0.102</w:t>
            </w:r>
          </w:p>
        </w:tc>
        <w:tc>
          <w:tcPr>
            <w:tcW w:w="1047" w:type="dxa"/>
            <w:tcBorders>
              <w:top w:val="single" w:sz="4" w:space="0" w:color="auto"/>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0.102</w:t>
            </w:r>
          </w:p>
        </w:tc>
        <w:tc>
          <w:tcPr>
            <w:tcW w:w="1048" w:type="dxa"/>
            <w:tcBorders>
              <w:top w:val="single" w:sz="4" w:space="0" w:color="auto"/>
              <w:bottom w:val="single" w:sz="4" w:space="0" w:color="auto"/>
            </w:tcBorders>
          </w:tcPr>
          <w:p w:rsidR="00FF73C0" w:rsidRPr="001A4613" w:rsidRDefault="00FF73C0" w:rsidP="001A4613">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0.102</w:t>
            </w:r>
          </w:p>
        </w:tc>
      </w:tr>
    </w:tbl>
    <w:p w:rsidR="00FF73C0" w:rsidRPr="001A4613" w:rsidRDefault="00FF73C0" w:rsidP="001A4613">
      <w:pPr>
        <w:spacing w:line="480" w:lineRule="auto"/>
        <w:rPr>
          <w:rFonts w:ascii="Times New Roman" w:hAnsi="Times New Roman" w:cs="Times New Roman"/>
          <w:sz w:val="24"/>
          <w:szCs w:val="24"/>
          <w:lang w:val="fr-FR"/>
        </w:rPr>
      </w:pPr>
      <w:proofErr w:type="gramStart"/>
      <w:r w:rsidRPr="001A4613">
        <w:rPr>
          <w:rFonts w:ascii="Times New Roman" w:hAnsi="Times New Roman" w:cs="Times New Roman"/>
          <w:i/>
          <w:sz w:val="24"/>
          <w:szCs w:val="24"/>
          <w:lang w:val="fr-FR"/>
        </w:rPr>
        <w:t>Notes:</w:t>
      </w:r>
      <w:r w:rsidRPr="001A4613">
        <w:rPr>
          <w:rFonts w:ascii="Times New Roman" w:hAnsi="Times New Roman" w:cs="Times New Roman"/>
          <w:sz w:val="24"/>
          <w:szCs w:val="24"/>
          <w:lang w:val="fr-FR"/>
        </w:rPr>
        <w:t>,</w:t>
      </w:r>
      <w:proofErr w:type="gramEnd"/>
      <w:r w:rsidRPr="001A4613">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1A4613">
        <w:rPr>
          <w:rFonts w:ascii="Times New Roman" w:hAnsi="Times New Roman" w:cs="Times New Roman"/>
          <w:sz w:val="24"/>
          <w:szCs w:val="24"/>
          <w:lang w:val="fr-FR"/>
        </w:rPr>
        <w:t>*</w:t>
      </w:r>
      <w:r w:rsidRPr="001A4613">
        <w:rPr>
          <w:rFonts w:ascii="Times New Roman" w:hAnsi="Times New Roman" w:cs="Times New Roman"/>
          <w:i/>
          <w:sz w:val="24"/>
          <w:szCs w:val="24"/>
          <w:lang w:val="fr-FR"/>
        </w:rPr>
        <w:t>p</w:t>
      </w:r>
      <w:r w:rsidRPr="001A4613">
        <w:rPr>
          <w:rFonts w:ascii="Times New Roman" w:hAnsi="Times New Roman" w:cs="Times New Roman"/>
          <w:sz w:val="24"/>
          <w:szCs w:val="24"/>
          <w:lang w:val="fr-FR"/>
        </w:rPr>
        <w:t xml:space="preserve"> &lt; 0.05, **</w:t>
      </w:r>
      <w:r w:rsidRPr="001A4613">
        <w:rPr>
          <w:rFonts w:ascii="Times New Roman" w:hAnsi="Times New Roman" w:cs="Times New Roman"/>
          <w:i/>
          <w:sz w:val="24"/>
          <w:szCs w:val="24"/>
          <w:lang w:val="fr-FR"/>
        </w:rPr>
        <w:t>p</w:t>
      </w:r>
      <w:r w:rsidRPr="001A4613">
        <w:rPr>
          <w:rFonts w:ascii="Times New Roman" w:hAnsi="Times New Roman" w:cs="Times New Roman"/>
          <w:sz w:val="24"/>
          <w:szCs w:val="24"/>
          <w:lang w:val="fr-FR"/>
        </w:rPr>
        <w:t xml:space="preserve"> &lt; 0.01.</w:t>
      </w:r>
    </w:p>
    <w:p w:rsidR="00FF73C0" w:rsidRDefault="00FF73C0" w:rsidP="004765D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in table A3 indicates that the correlation between accountability systems and the perception of control is not affected by the tenure of the CO. In other words, newly employed </w:t>
      </w:r>
      <w:proofErr w:type="gramStart"/>
      <w:r>
        <w:rPr>
          <w:rFonts w:ascii="Times New Roman" w:hAnsi="Times New Roman" w:cs="Times New Roman"/>
          <w:sz w:val="24"/>
          <w:szCs w:val="24"/>
          <w:lang w:val="en-US"/>
        </w:rPr>
        <w:t>COs</w:t>
      </w:r>
      <w:proofErr w:type="gramEnd"/>
      <w:r>
        <w:rPr>
          <w:rFonts w:ascii="Times New Roman" w:hAnsi="Times New Roman" w:cs="Times New Roman"/>
          <w:sz w:val="24"/>
          <w:szCs w:val="24"/>
          <w:lang w:val="en-US"/>
        </w:rPr>
        <w:t xml:space="preserve"> who operate in accountability systems not designed by themselves do not assess accountability in the three phases differently than longer-serving COs. </w:t>
      </w:r>
    </w:p>
    <w:p w:rsidR="00FF73C0" w:rsidRDefault="00FF73C0" w:rsidP="00E47DE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Overall, the test results corroborate the theoretical assumptions about the causal ordering of the independent and dependent variables in our analytical model. The fact that legally </w:t>
      </w:r>
      <w:r>
        <w:rPr>
          <w:rFonts w:ascii="Times New Roman" w:hAnsi="Times New Roman" w:cs="Times New Roman"/>
          <w:sz w:val="24"/>
          <w:szCs w:val="24"/>
          <w:lang w:val="en-US"/>
        </w:rPr>
        <w:lastRenderedPageBreak/>
        <w:t xml:space="preserve">independent SOEs are not subsumed under the CO’s chain of command lends further support to the assumption </w:t>
      </w:r>
      <w:proofErr w:type="gramStart"/>
      <w:r>
        <w:rPr>
          <w:rFonts w:ascii="Times New Roman" w:hAnsi="Times New Roman" w:cs="Times New Roman"/>
          <w:sz w:val="24"/>
          <w:szCs w:val="24"/>
          <w:lang w:val="en-US"/>
        </w:rPr>
        <w:t>that it is the structure of the accountability system that shapes the sense of control, and not the other way around</w:t>
      </w:r>
      <w:proofErr w:type="gramEnd"/>
      <w:r>
        <w:rPr>
          <w:rFonts w:ascii="Times New Roman" w:hAnsi="Times New Roman" w:cs="Times New Roman"/>
          <w:sz w:val="24"/>
          <w:szCs w:val="24"/>
          <w:lang w:val="en-US"/>
        </w:rPr>
        <w:t xml:space="preserve">. </w:t>
      </w:r>
    </w:p>
    <w:p w:rsidR="00FF73C0" w:rsidRDefault="00FF73C0" w:rsidP="00353A24">
      <w:pPr>
        <w:rPr>
          <w:lang w:val="en-US"/>
        </w:rPr>
      </w:pPr>
    </w:p>
    <w:p w:rsidR="00FF73C0" w:rsidRPr="00D31D16" w:rsidRDefault="00FF73C0" w:rsidP="00D31D16">
      <w:pPr>
        <w:spacing w:line="480" w:lineRule="auto"/>
        <w:rPr>
          <w:rFonts w:ascii="Times New Roman" w:hAnsi="Times New Roman" w:cs="Times New Roman"/>
          <w:b/>
          <w:sz w:val="24"/>
          <w:szCs w:val="24"/>
          <w:lang w:val="en-US"/>
        </w:rPr>
      </w:pPr>
      <w:r w:rsidRPr="00D31D16">
        <w:rPr>
          <w:rFonts w:ascii="Times New Roman" w:hAnsi="Times New Roman" w:cs="Times New Roman"/>
          <w:b/>
          <w:sz w:val="24"/>
          <w:szCs w:val="24"/>
          <w:lang w:val="en-US"/>
        </w:rPr>
        <w:t>References</w:t>
      </w:r>
    </w:p>
    <w:p w:rsidR="00FF73C0" w:rsidRPr="00D31D16" w:rsidRDefault="00FF73C0" w:rsidP="00D31D16">
      <w:pPr>
        <w:spacing w:line="480" w:lineRule="auto"/>
        <w:rPr>
          <w:rFonts w:ascii="Times New Roman" w:hAnsi="Times New Roman" w:cs="Times New Roman"/>
          <w:sz w:val="24"/>
          <w:szCs w:val="24"/>
          <w:lang w:val="en-US"/>
        </w:rPr>
      </w:pPr>
    </w:p>
    <w:p w:rsidR="00FF73C0" w:rsidRPr="00D31D16" w:rsidRDefault="00FF73C0" w:rsidP="00D31D16">
      <w:pPr>
        <w:pStyle w:val="EndNoteBibliography"/>
        <w:spacing w:after="0" w:line="480" w:lineRule="auto"/>
        <w:ind w:left="720" w:hanging="720"/>
        <w:rPr>
          <w:rFonts w:ascii="Times New Roman" w:hAnsi="Times New Roman" w:cs="Times New Roman"/>
          <w:sz w:val="24"/>
          <w:szCs w:val="24"/>
        </w:rPr>
      </w:pPr>
      <w:r w:rsidRPr="00D31D16">
        <w:rPr>
          <w:rFonts w:ascii="Times New Roman" w:hAnsi="Times New Roman" w:cs="Times New Roman"/>
          <w:sz w:val="24"/>
          <w:szCs w:val="24"/>
        </w:rPr>
        <w:t>Angrist, J</w:t>
      </w:r>
      <w:r w:rsidR="00310E05">
        <w:rPr>
          <w:rFonts w:ascii="Times New Roman" w:hAnsi="Times New Roman" w:cs="Times New Roman"/>
          <w:sz w:val="24"/>
          <w:szCs w:val="24"/>
        </w:rPr>
        <w:t>.</w:t>
      </w:r>
      <w:r w:rsidRPr="00D31D16">
        <w:rPr>
          <w:rFonts w:ascii="Times New Roman" w:hAnsi="Times New Roman" w:cs="Times New Roman"/>
          <w:sz w:val="24"/>
          <w:szCs w:val="24"/>
        </w:rPr>
        <w:t xml:space="preserve"> D., and Pischke</w:t>
      </w:r>
      <w:r w:rsidR="00310E05">
        <w:rPr>
          <w:rFonts w:ascii="Times New Roman" w:hAnsi="Times New Roman" w:cs="Times New Roman"/>
          <w:sz w:val="24"/>
          <w:szCs w:val="24"/>
        </w:rPr>
        <w:t xml:space="preserve"> J. S.</w:t>
      </w:r>
      <w:r w:rsidRPr="00D31D16">
        <w:rPr>
          <w:rFonts w:ascii="Times New Roman" w:hAnsi="Times New Roman" w:cs="Times New Roman"/>
          <w:sz w:val="24"/>
          <w:szCs w:val="24"/>
        </w:rPr>
        <w:t xml:space="preserve"> </w:t>
      </w:r>
      <w:r w:rsidR="00310E05">
        <w:rPr>
          <w:rFonts w:ascii="Times New Roman" w:hAnsi="Times New Roman" w:cs="Times New Roman"/>
          <w:sz w:val="24"/>
          <w:szCs w:val="24"/>
        </w:rPr>
        <w:t>(</w:t>
      </w:r>
      <w:r w:rsidRPr="00D31D16">
        <w:rPr>
          <w:rFonts w:ascii="Times New Roman" w:hAnsi="Times New Roman" w:cs="Times New Roman"/>
          <w:sz w:val="24"/>
          <w:szCs w:val="24"/>
        </w:rPr>
        <w:t>2015</w:t>
      </w:r>
      <w:r w:rsidR="00310E05">
        <w:rPr>
          <w:rFonts w:ascii="Times New Roman" w:hAnsi="Times New Roman" w:cs="Times New Roman"/>
          <w:sz w:val="24"/>
          <w:szCs w:val="24"/>
        </w:rPr>
        <w:t>)</w:t>
      </w:r>
      <w:r w:rsidRPr="00D31D16">
        <w:rPr>
          <w:rFonts w:ascii="Times New Roman" w:hAnsi="Times New Roman" w:cs="Times New Roman"/>
          <w:sz w:val="24"/>
          <w:szCs w:val="24"/>
        </w:rPr>
        <w:t xml:space="preserve"> </w:t>
      </w:r>
      <w:r w:rsidRPr="00D31D16">
        <w:rPr>
          <w:rFonts w:ascii="Times New Roman" w:hAnsi="Times New Roman" w:cs="Times New Roman"/>
          <w:i/>
          <w:sz w:val="24"/>
          <w:szCs w:val="24"/>
        </w:rPr>
        <w:t>Mastering 'metrics : the path from cause to effect</w:t>
      </w:r>
      <w:r w:rsidRPr="00D31D16">
        <w:rPr>
          <w:rFonts w:ascii="Times New Roman" w:hAnsi="Times New Roman" w:cs="Times New Roman"/>
          <w:sz w:val="24"/>
          <w:szCs w:val="24"/>
        </w:rPr>
        <w:t xml:space="preserve">, </w:t>
      </w:r>
      <w:r w:rsidRPr="00D31D16">
        <w:rPr>
          <w:rFonts w:ascii="Times New Roman" w:hAnsi="Times New Roman" w:cs="Times New Roman"/>
          <w:i/>
          <w:sz w:val="24"/>
          <w:szCs w:val="24"/>
        </w:rPr>
        <w:t>Mastering metrics</w:t>
      </w:r>
      <w:r w:rsidRPr="00D31D16">
        <w:rPr>
          <w:rFonts w:ascii="Times New Roman" w:hAnsi="Times New Roman" w:cs="Times New Roman"/>
          <w:sz w:val="24"/>
          <w:szCs w:val="24"/>
        </w:rPr>
        <w:t>. Princeton, N.J: Princeton University Press.</w:t>
      </w:r>
    </w:p>
    <w:p w:rsidR="00FF73C0" w:rsidRPr="00D31D16" w:rsidRDefault="00310E05" w:rsidP="00D31D16">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Davis</w:t>
      </w:r>
      <w:r w:rsidR="00FF73C0" w:rsidRPr="00D31D16">
        <w:rPr>
          <w:rFonts w:ascii="Times New Roman" w:hAnsi="Times New Roman" w:cs="Times New Roman"/>
          <w:sz w:val="24"/>
          <w:szCs w:val="24"/>
        </w:rPr>
        <w:t xml:space="preserve"> J</w:t>
      </w:r>
      <w:r>
        <w:rPr>
          <w:rFonts w:ascii="Times New Roman" w:hAnsi="Times New Roman" w:cs="Times New Roman"/>
          <w:sz w:val="24"/>
          <w:szCs w:val="24"/>
        </w:rPr>
        <w:t>.</w:t>
      </w:r>
      <w:r w:rsidR="00FF73C0" w:rsidRPr="00D31D16">
        <w:rPr>
          <w:rFonts w:ascii="Times New Roman" w:hAnsi="Times New Roman" w:cs="Times New Roman"/>
          <w:sz w:val="24"/>
          <w:szCs w:val="24"/>
        </w:rPr>
        <w:t xml:space="preserve"> A. </w:t>
      </w:r>
      <w:r>
        <w:rPr>
          <w:rFonts w:ascii="Times New Roman" w:hAnsi="Times New Roman" w:cs="Times New Roman"/>
          <w:sz w:val="24"/>
          <w:szCs w:val="24"/>
        </w:rPr>
        <w:t>(</w:t>
      </w:r>
      <w:r w:rsidR="00FF73C0" w:rsidRPr="00D31D16">
        <w:rPr>
          <w:rFonts w:ascii="Times New Roman" w:hAnsi="Times New Roman" w:cs="Times New Roman"/>
          <w:sz w:val="24"/>
          <w:szCs w:val="24"/>
        </w:rPr>
        <w:t>1985</w:t>
      </w:r>
      <w:r>
        <w:rPr>
          <w:rFonts w:ascii="Times New Roman" w:hAnsi="Times New Roman" w:cs="Times New Roman"/>
          <w:sz w:val="24"/>
          <w:szCs w:val="24"/>
        </w:rPr>
        <w:t>)</w:t>
      </w:r>
      <w:r w:rsidR="00FF73C0" w:rsidRPr="00D31D16">
        <w:rPr>
          <w:rFonts w:ascii="Times New Roman" w:hAnsi="Times New Roman" w:cs="Times New Roman"/>
          <w:sz w:val="24"/>
          <w:szCs w:val="24"/>
        </w:rPr>
        <w:t xml:space="preserve"> </w:t>
      </w:r>
      <w:r w:rsidR="00FF73C0" w:rsidRPr="00D31D16">
        <w:rPr>
          <w:rFonts w:ascii="Times New Roman" w:hAnsi="Times New Roman" w:cs="Times New Roman"/>
          <w:i/>
          <w:sz w:val="24"/>
          <w:szCs w:val="24"/>
        </w:rPr>
        <w:t>The l</w:t>
      </w:r>
      <w:bookmarkStart w:id="1" w:name="_GoBack"/>
      <w:bookmarkEnd w:id="1"/>
      <w:r w:rsidR="00FF73C0" w:rsidRPr="00D31D16">
        <w:rPr>
          <w:rFonts w:ascii="Times New Roman" w:hAnsi="Times New Roman" w:cs="Times New Roman"/>
          <w:i/>
          <w:sz w:val="24"/>
          <w:szCs w:val="24"/>
        </w:rPr>
        <w:t>ogic of causal order</w:t>
      </w:r>
      <w:r w:rsidR="00FF73C0" w:rsidRPr="00D31D16">
        <w:rPr>
          <w:rFonts w:ascii="Times New Roman" w:hAnsi="Times New Roman" w:cs="Times New Roman"/>
          <w:sz w:val="24"/>
          <w:szCs w:val="24"/>
        </w:rPr>
        <w:t xml:space="preserve">. Vol. 55, </w:t>
      </w:r>
      <w:r w:rsidR="00FF73C0" w:rsidRPr="00D31D16">
        <w:rPr>
          <w:rFonts w:ascii="Times New Roman" w:hAnsi="Times New Roman" w:cs="Times New Roman"/>
          <w:i/>
          <w:sz w:val="24"/>
          <w:szCs w:val="24"/>
        </w:rPr>
        <w:t>Quantitative applications in the social sciences</w:t>
      </w:r>
      <w:r w:rsidR="00FF73C0" w:rsidRPr="00D31D16">
        <w:rPr>
          <w:rFonts w:ascii="Times New Roman" w:hAnsi="Times New Roman" w:cs="Times New Roman"/>
          <w:sz w:val="24"/>
          <w:szCs w:val="24"/>
        </w:rPr>
        <w:t>. Beverly Hills, Calif: Sage.</w:t>
      </w:r>
    </w:p>
    <w:p w:rsidR="00FF73C0" w:rsidRPr="00D31D16" w:rsidRDefault="00310E05" w:rsidP="00D31D16">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Dowding</w:t>
      </w:r>
      <w:r w:rsidR="00FF73C0" w:rsidRPr="00D31D16">
        <w:rPr>
          <w:rFonts w:ascii="Times New Roman" w:hAnsi="Times New Roman" w:cs="Times New Roman"/>
          <w:sz w:val="24"/>
          <w:szCs w:val="24"/>
        </w:rPr>
        <w:t xml:space="preserve"> K. </w:t>
      </w:r>
      <w:r>
        <w:rPr>
          <w:rFonts w:ascii="Times New Roman" w:hAnsi="Times New Roman" w:cs="Times New Roman"/>
          <w:sz w:val="24"/>
          <w:szCs w:val="24"/>
        </w:rPr>
        <w:t>(</w:t>
      </w:r>
      <w:r w:rsidR="00FF73C0" w:rsidRPr="00D31D16">
        <w:rPr>
          <w:rFonts w:ascii="Times New Roman" w:hAnsi="Times New Roman" w:cs="Times New Roman"/>
          <w:sz w:val="24"/>
          <w:szCs w:val="24"/>
        </w:rPr>
        <w:t>2016</w:t>
      </w:r>
      <w:r>
        <w:rPr>
          <w:rFonts w:ascii="Times New Roman" w:hAnsi="Times New Roman" w:cs="Times New Roman"/>
          <w:sz w:val="24"/>
          <w:szCs w:val="24"/>
        </w:rPr>
        <w:t>)</w:t>
      </w:r>
      <w:r w:rsidR="00FF73C0" w:rsidRPr="00D31D16">
        <w:rPr>
          <w:rFonts w:ascii="Times New Roman" w:hAnsi="Times New Roman" w:cs="Times New Roman"/>
          <w:sz w:val="24"/>
          <w:szCs w:val="24"/>
        </w:rPr>
        <w:t xml:space="preserve"> </w:t>
      </w:r>
      <w:r w:rsidR="00FF73C0" w:rsidRPr="00D31D16">
        <w:rPr>
          <w:rFonts w:ascii="Times New Roman" w:hAnsi="Times New Roman" w:cs="Times New Roman"/>
          <w:i/>
          <w:sz w:val="24"/>
          <w:szCs w:val="24"/>
        </w:rPr>
        <w:t>The philosophy and methods of political science</w:t>
      </w:r>
      <w:r w:rsidR="00FF73C0" w:rsidRPr="00D31D16">
        <w:rPr>
          <w:rFonts w:ascii="Times New Roman" w:hAnsi="Times New Roman" w:cs="Times New Roman"/>
          <w:sz w:val="24"/>
          <w:szCs w:val="24"/>
        </w:rPr>
        <w:t>. London: Palgrave.</w:t>
      </w:r>
    </w:p>
    <w:p w:rsidR="00FF73C0" w:rsidRPr="00D31D16" w:rsidRDefault="00310E05" w:rsidP="00D31D16">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Kleinbaum</w:t>
      </w:r>
      <w:r w:rsidR="00FF73C0" w:rsidRPr="00D31D16">
        <w:rPr>
          <w:rFonts w:ascii="Times New Roman" w:hAnsi="Times New Roman" w:cs="Times New Roman"/>
          <w:sz w:val="24"/>
          <w:szCs w:val="24"/>
        </w:rPr>
        <w:t xml:space="preserve"> D</w:t>
      </w:r>
      <w:r>
        <w:rPr>
          <w:rFonts w:ascii="Times New Roman" w:hAnsi="Times New Roman" w:cs="Times New Roman"/>
          <w:sz w:val="24"/>
          <w:szCs w:val="24"/>
        </w:rPr>
        <w:t>.</w:t>
      </w:r>
      <w:r w:rsidR="00FF73C0" w:rsidRPr="00D31D16">
        <w:rPr>
          <w:rFonts w:ascii="Times New Roman" w:hAnsi="Times New Roman" w:cs="Times New Roman"/>
          <w:sz w:val="24"/>
          <w:szCs w:val="24"/>
        </w:rPr>
        <w:t xml:space="preserve"> G. </w:t>
      </w:r>
      <w:r>
        <w:rPr>
          <w:rFonts w:ascii="Times New Roman" w:hAnsi="Times New Roman" w:cs="Times New Roman"/>
          <w:sz w:val="24"/>
          <w:szCs w:val="24"/>
        </w:rPr>
        <w:t>(</w:t>
      </w:r>
      <w:r w:rsidR="00FF73C0" w:rsidRPr="00D31D16">
        <w:rPr>
          <w:rFonts w:ascii="Times New Roman" w:hAnsi="Times New Roman" w:cs="Times New Roman"/>
          <w:sz w:val="24"/>
          <w:szCs w:val="24"/>
        </w:rPr>
        <w:t>1998</w:t>
      </w:r>
      <w:r>
        <w:rPr>
          <w:rFonts w:ascii="Times New Roman" w:hAnsi="Times New Roman" w:cs="Times New Roman"/>
          <w:sz w:val="24"/>
          <w:szCs w:val="24"/>
        </w:rPr>
        <w:t>)</w:t>
      </w:r>
      <w:r w:rsidR="00FF73C0" w:rsidRPr="00D31D16">
        <w:rPr>
          <w:rFonts w:ascii="Times New Roman" w:hAnsi="Times New Roman" w:cs="Times New Roman"/>
          <w:sz w:val="24"/>
          <w:szCs w:val="24"/>
        </w:rPr>
        <w:t xml:space="preserve"> </w:t>
      </w:r>
      <w:r w:rsidR="00FF73C0" w:rsidRPr="00D31D16">
        <w:rPr>
          <w:rFonts w:ascii="Times New Roman" w:hAnsi="Times New Roman" w:cs="Times New Roman"/>
          <w:i/>
          <w:sz w:val="24"/>
          <w:szCs w:val="24"/>
        </w:rPr>
        <w:t>Applied regression analysis and other multivariable methods</w:t>
      </w:r>
      <w:r w:rsidR="00FF73C0" w:rsidRPr="00D31D16">
        <w:rPr>
          <w:rFonts w:ascii="Times New Roman" w:hAnsi="Times New Roman" w:cs="Times New Roman"/>
          <w:sz w:val="24"/>
          <w:szCs w:val="24"/>
        </w:rPr>
        <w:t>. 3rd ed. ed. Pacific Grove, Calif: Duxbury Press.</w:t>
      </w:r>
    </w:p>
    <w:p w:rsidR="00FF73C0" w:rsidRPr="00535B98" w:rsidRDefault="00FF73C0" w:rsidP="00353A24">
      <w:pPr>
        <w:rPr>
          <w:lang w:val="en-US"/>
        </w:rPr>
      </w:pPr>
    </w:p>
    <w:p w:rsidR="00F969B8" w:rsidRPr="00310E05" w:rsidRDefault="00F969B8">
      <w:pPr>
        <w:rPr>
          <w:lang w:val="en-US"/>
        </w:rPr>
      </w:pPr>
    </w:p>
    <w:sectPr w:rsidR="00F969B8" w:rsidRPr="00310E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A28" w:rsidRDefault="00D22A28" w:rsidP="00FF73C0">
      <w:pPr>
        <w:spacing w:after="0" w:line="240" w:lineRule="auto"/>
      </w:pPr>
      <w:r>
        <w:separator/>
      </w:r>
    </w:p>
  </w:endnote>
  <w:endnote w:type="continuationSeparator" w:id="0">
    <w:p w:rsidR="00D22A28" w:rsidRDefault="00D22A28" w:rsidP="00FF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A28" w:rsidRDefault="00D22A28" w:rsidP="00FF73C0">
      <w:pPr>
        <w:spacing w:after="0" w:line="240" w:lineRule="auto"/>
      </w:pPr>
      <w:r>
        <w:separator/>
      </w:r>
    </w:p>
  </w:footnote>
  <w:footnote w:type="continuationSeparator" w:id="0">
    <w:p w:rsidR="00D22A28" w:rsidRDefault="00D22A28" w:rsidP="00FF73C0">
      <w:pPr>
        <w:spacing w:after="0" w:line="240" w:lineRule="auto"/>
      </w:pPr>
      <w:r>
        <w:continuationSeparator/>
      </w:r>
    </w:p>
  </w:footnote>
  <w:footnote w:id="1">
    <w:p w:rsidR="00FF73C0" w:rsidRPr="00535B98" w:rsidRDefault="00FF73C0" w:rsidP="00535B98">
      <w:pPr>
        <w:pStyle w:val="Fotnotetekst"/>
        <w:rPr>
          <w:lang w:val="en-US"/>
        </w:rPr>
      </w:pPr>
      <w:r w:rsidRPr="007758D5">
        <w:rPr>
          <w:rStyle w:val="FootnoteRef"/>
        </w:rPr>
        <w:footnoteRef/>
      </w:r>
      <w:r w:rsidRPr="00535B98">
        <w:rPr>
          <w:lang w:val="en-US"/>
        </w:rPr>
        <w:t xml:space="preserve">University of </w:t>
      </w:r>
      <w:r>
        <w:rPr>
          <w:lang w:val="en-US"/>
        </w:rPr>
        <w:t>Oslo</w:t>
      </w:r>
      <w:r w:rsidRPr="00535B98">
        <w:rPr>
          <w:lang w:val="en-US"/>
        </w:rPr>
        <w:t xml:space="preserve">. Email: </w:t>
      </w:r>
      <w:r>
        <w:rPr>
          <w:lang w:val="en-US"/>
        </w:rPr>
        <w:t>j.e.klausen@stv.uio.no</w:t>
      </w:r>
    </w:p>
  </w:footnote>
  <w:footnote w:id="2">
    <w:p w:rsidR="00FF73C0" w:rsidRPr="00535B98" w:rsidRDefault="00FF73C0" w:rsidP="00535B98">
      <w:pPr>
        <w:pStyle w:val="Fotnotetekst"/>
        <w:rPr>
          <w:lang w:val="en-US"/>
        </w:rPr>
      </w:pPr>
      <w:r w:rsidRPr="007758D5">
        <w:rPr>
          <w:rStyle w:val="FootnoteRef"/>
        </w:rPr>
        <w:footnoteRef/>
      </w:r>
      <w:r w:rsidRPr="00535B98">
        <w:rPr>
          <w:lang w:val="en-US"/>
        </w:rPr>
        <w:t xml:space="preserve">University of </w:t>
      </w:r>
      <w:r>
        <w:rPr>
          <w:lang w:val="en-US"/>
        </w:rPr>
        <w:t xml:space="preserve">Oslo. Email: </w:t>
      </w:r>
      <w:r w:rsidRPr="00535B98">
        <w:rPr>
          <w:lang w:val="en-US"/>
        </w:rPr>
        <w:t>m.s.winsvold@stv.uio.no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DEA"/>
    <w:multiLevelType w:val="hybridMultilevel"/>
    <w:tmpl w:val="8396B758"/>
    <w:lvl w:ilvl="0" w:tplc="870C574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DA83818"/>
    <w:multiLevelType w:val="hybridMultilevel"/>
    <w:tmpl w:val="5AEA465C"/>
    <w:lvl w:ilvl="0" w:tplc="4A12075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F73C0"/>
    <w:rsid w:val="001065B7"/>
    <w:rsid w:val="00310E05"/>
    <w:rsid w:val="00846524"/>
    <w:rsid w:val="00A8391B"/>
    <w:rsid w:val="00CA2934"/>
    <w:rsid w:val="00D22A28"/>
    <w:rsid w:val="00D31D16"/>
    <w:rsid w:val="00F969B8"/>
    <w:rsid w:val="00FF73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E955"/>
  <w15:chartTrackingRefBased/>
  <w15:docId w15:val="{94570D26-0E1F-4554-BD28-16B16E6A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3C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FF73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F73C0"/>
    <w:rPr>
      <w:sz w:val="20"/>
      <w:szCs w:val="20"/>
    </w:rPr>
  </w:style>
  <w:style w:type="character" w:customStyle="1" w:styleId="VerbatimChar">
    <w:name w:val="Verbatim Char"/>
    <w:basedOn w:val="Standardskriftforavsnitt"/>
    <w:link w:val="SourceCode"/>
    <w:uiPriority w:val="99"/>
    <w:rsid w:val="00FF73C0"/>
    <w:rPr>
      <w:rFonts w:ascii="Consolas" w:hAnsi="Consolas" w:cs="Consolas"/>
    </w:rPr>
  </w:style>
  <w:style w:type="character" w:customStyle="1" w:styleId="FootnoteRef">
    <w:name w:val="Footnote Ref"/>
    <w:basedOn w:val="Standardskriftforavsnitt"/>
    <w:uiPriority w:val="99"/>
    <w:rsid w:val="00FF73C0"/>
    <w:rPr>
      <w:vertAlign w:val="superscript"/>
    </w:rPr>
  </w:style>
  <w:style w:type="character" w:customStyle="1" w:styleId="Link">
    <w:name w:val="Link"/>
    <w:basedOn w:val="Standardskriftforavsnitt"/>
    <w:uiPriority w:val="99"/>
    <w:rsid w:val="00FF73C0"/>
    <w:rPr>
      <w:color w:val="4F81BD"/>
    </w:rPr>
  </w:style>
  <w:style w:type="paragraph" w:customStyle="1" w:styleId="SourceCode">
    <w:name w:val="Source Code"/>
    <w:basedOn w:val="Normal"/>
    <w:link w:val="VerbatimChar"/>
    <w:uiPriority w:val="99"/>
    <w:rsid w:val="00FF73C0"/>
    <w:pPr>
      <w:wordWrap w:val="0"/>
      <w:spacing w:before="180" w:after="180" w:line="240" w:lineRule="auto"/>
    </w:pPr>
    <w:rPr>
      <w:rFonts w:ascii="Consolas" w:hAnsi="Consolas" w:cs="Consolas"/>
    </w:rPr>
  </w:style>
  <w:style w:type="paragraph" w:styleId="Bobletekst">
    <w:name w:val="Balloon Text"/>
    <w:basedOn w:val="Normal"/>
    <w:link w:val="BobletekstTegn"/>
    <w:uiPriority w:val="99"/>
    <w:semiHidden/>
    <w:unhideWhenUsed/>
    <w:rsid w:val="00FF73C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F73C0"/>
    <w:rPr>
      <w:rFonts w:ascii="Segoe UI" w:hAnsi="Segoe UI" w:cs="Segoe UI"/>
      <w:sz w:val="18"/>
      <w:szCs w:val="18"/>
    </w:rPr>
  </w:style>
  <w:style w:type="paragraph" w:customStyle="1" w:styleId="EndNoteBibliographyTitle">
    <w:name w:val="EndNote Bibliography Title"/>
    <w:basedOn w:val="Normal"/>
    <w:link w:val="EndNoteBibliographyTitleTegn"/>
    <w:rsid w:val="00FF73C0"/>
    <w:pPr>
      <w:spacing w:after="0"/>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FF73C0"/>
    <w:rPr>
      <w:rFonts w:ascii="Calibri" w:hAnsi="Calibri" w:cs="Calibri"/>
      <w:noProof/>
      <w:lang w:val="en-US"/>
    </w:rPr>
  </w:style>
  <w:style w:type="paragraph" w:customStyle="1" w:styleId="EndNoteBibliography">
    <w:name w:val="EndNote Bibliography"/>
    <w:basedOn w:val="Normal"/>
    <w:link w:val="EndNoteBibliographyTegn"/>
    <w:rsid w:val="00FF73C0"/>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FF73C0"/>
    <w:rPr>
      <w:rFonts w:ascii="Calibri" w:hAnsi="Calibri" w:cs="Calibri"/>
      <w:noProof/>
      <w:lang w:val="en-US"/>
    </w:rPr>
  </w:style>
  <w:style w:type="paragraph" w:styleId="Listeavsnitt">
    <w:name w:val="List Paragraph"/>
    <w:basedOn w:val="Normal"/>
    <w:uiPriority w:val="34"/>
    <w:qFormat/>
    <w:rsid w:val="00FF73C0"/>
    <w:pPr>
      <w:ind w:left="720"/>
      <w:contextualSpacing/>
    </w:pPr>
  </w:style>
  <w:style w:type="table" w:styleId="Tabellrutenett">
    <w:name w:val="Table Grid"/>
    <w:basedOn w:val="Vanligtabell"/>
    <w:uiPriority w:val="39"/>
    <w:rsid w:val="00FF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FF73C0"/>
    <w:rPr>
      <w:sz w:val="16"/>
      <w:szCs w:val="16"/>
    </w:rPr>
  </w:style>
  <w:style w:type="paragraph" w:styleId="Merknadstekst">
    <w:name w:val="annotation text"/>
    <w:basedOn w:val="Normal"/>
    <w:link w:val="MerknadstekstTegn"/>
    <w:uiPriority w:val="99"/>
    <w:unhideWhenUsed/>
    <w:rsid w:val="00FF73C0"/>
    <w:pPr>
      <w:spacing w:line="240" w:lineRule="auto"/>
    </w:pPr>
    <w:rPr>
      <w:sz w:val="20"/>
      <w:szCs w:val="20"/>
    </w:rPr>
  </w:style>
  <w:style w:type="character" w:customStyle="1" w:styleId="MerknadstekstTegn">
    <w:name w:val="Merknadstekst Tegn"/>
    <w:basedOn w:val="Standardskriftforavsnitt"/>
    <w:link w:val="Merknadstekst"/>
    <w:uiPriority w:val="99"/>
    <w:rsid w:val="00FF73C0"/>
    <w:rPr>
      <w:sz w:val="20"/>
      <w:szCs w:val="20"/>
    </w:rPr>
  </w:style>
  <w:style w:type="character" w:styleId="Fotnotereferanse">
    <w:name w:val="footnote reference"/>
    <w:basedOn w:val="Standardskriftforavsnitt"/>
    <w:uiPriority w:val="99"/>
    <w:semiHidden/>
    <w:unhideWhenUsed/>
    <w:rsid w:val="00FF73C0"/>
    <w:rPr>
      <w:vertAlign w:val="superscript"/>
    </w:rPr>
  </w:style>
  <w:style w:type="paragraph" w:styleId="Kommentaremne">
    <w:name w:val="annotation subject"/>
    <w:basedOn w:val="Merknadstekst"/>
    <w:next w:val="Merknadstekst"/>
    <w:link w:val="KommentaremneTegn"/>
    <w:uiPriority w:val="99"/>
    <w:semiHidden/>
    <w:unhideWhenUsed/>
    <w:rsid w:val="00FF73C0"/>
    <w:rPr>
      <w:b/>
      <w:bCs/>
    </w:rPr>
  </w:style>
  <w:style w:type="character" w:customStyle="1" w:styleId="KommentaremneTegn">
    <w:name w:val="Kommentaremne Tegn"/>
    <w:basedOn w:val="MerknadstekstTegn"/>
    <w:link w:val="Kommentaremne"/>
    <w:uiPriority w:val="99"/>
    <w:semiHidden/>
    <w:rsid w:val="00FF73C0"/>
    <w:rPr>
      <w:b/>
      <w:bCs/>
      <w:sz w:val="20"/>
      <w:szCs w:val="20"/>
    </w:rPr>
  </w:style>
  <w:style w:type="table" w:customStyle="1" w:styleId="Tabellrutenett1">
    <w:name w:val="Tabellrutenett1"/>
    <w:basedOn w:val="Vanligtabell"/>
    <w:next w:val="Tabellrutenett"/>
    <w:uiPriority w:val="39"/>
    <w:rsid w:val="00FF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FF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FF7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17502E70.dotm</Template>
  <TotalTime>3</TotalTime>
  <Pages>9</Pages>
  <Words>1919</Words>
  <Characters>10173</Characters>
  <Application>Microsoft Office Word</Application>
  <DocSecurity>0</DocSecurity>
  <Lines>84</Lines>
  <Paragraphs>24</Paragraphs>
  <ScaleCrop>false</ScaleCrop>
  <Company>Universitetet i Oslo</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Erling Klausen</dc:creator>
  <cp:keywords/>
  <dc:description/>
  <cp:lastModifiedBy>Jan Erling Klausen</cp:lastModifiedBy>
  <cp:revision>4</cp:revision>
  <dcterms:created xsi:type="dcterms:W3CDTF">2019-05-24T07:43:00Z</dcterms:created>
  <dcterms:modified xsi:type="dcterms:W3CDTF">2019-06-13T13:29:00Z</dcterms:modified>
</cp:coreProperties>
</file>