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F4742" w14:textId="77777777" w:rsidR="00F901B9" w:rsidRDefault="00F901B9" w:rsidP="00F901B9">
      <w:pPr>
        <w:pStyle w:val="Heading1"/>
      </w:pPr>
      <w:r>
        <w:t>Supplementary Materials – Not for publication</w:t>
      </w:r>
    </w:p>
    <w:p w14:paraId="6C3D5C28" w14:textId="77777777" w:rsidR="00F901B9" w:rsidRPr="001C49AB" w:rsidRDefault="00F901B9" w:rsidP="00F901B9">
      <w:pPr>
        <w:pStyle w:val="Heading1"/>
      </w:pPr>
      <w:r>
        <w:t>APPENDIX</w:t>
      </w:r>
      <w:r w:rsidRPr="00692942">
        <w:tab/>
      </w:r>
      <w:r w:rsidRPr="00692942">
        <w:rPr>
          <w:sz w:val="22"/>
          <w:szCs w:val="22"/>
        </w:rPr>
        <w:tab/>
      </w:r>
    </w:p>
    <w:p w14:paraId="090558AE" w14:textId="151A399E" w:rsidR="00F901B9" w:rsidRDefault="00F901B9" w:rsidP="00F901B9">
      <w:pPr>
        <w:pStyle w:val="Caption"/>
        <w:keepNext/>
      </w:pPr>
      <w:r>
        <w:t xml:space="preserve">Table </w:t>
      </w:r>
      <w:r w:rsidR="00AF1ADC">
        <w:t>4</w:t>
      </w:r>
      <w:r>
        <w:t xml:space="preserve"> - Electricity sector structure in EU Member States</w:t>
      </w:r>
    </w:p>
    <w:tbl>
      <w:tblPr>
        <w:tblStyle w:val="GridTable1Light"/>
        <w:tblW w:w="5153" w:type="pct"/>
        <w:tblLayout w:type="fixed"/>
        <w:tblLook w:val="06A0" w:firstRow="1" w:lastRow="0" w:firstColumn="1" w:lastColumn="0" w:noHBand="1" w:noVBand="1"/>
      </w:tblPr>
      <w:tblGrid>
        <w:gridCol w:w="2029"/>
        <w:gridCol w:w="5853"/>
        <w:gridCol w:w="1958"/>
        <w:gridCol w:w="1682"/>
        <w:gridCol w:w="1438"/>
        <w:gridCol w:w="1415"/>
      </w:tblGrid>
      <w:tr w:rsidR="00F901B9" w:rsidRPr="00692942" w14:paraId="4A5FF6A9" w14:textId="77777777" w:rsidTr="00F901B9">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06" w:type="pct"/>
            <w:noWrap/>
          </w:tcPr>
          <w:p w14:paraId="2D27BF4A" w14:textId="77777777" w:rsidR="00F901B9" w:rsidRPr="00692942" w:rsidRDefault="00F901B9" w:rsidP="00F901B9">
            <w:pPr>
              <w:rPr>
                <w:sz w:val="22"/>
                <w:szCs w:val="22"/>
              </w:rPr>
            </w:pPr>
            <w:r w:rsidRPr="00692942">
              <w:rPr>
                <w:sz w:val="22"/>
                <w:szCs w:val="22"/>
              </w:rPr>
              <w:t>Country</w:t>
            </w:r>
          </w:p>
        </w:tc>
        <w:tc>
          <w:tcPr>
            <w:tcW w:w="2036" w:type="pct"/>
          </w:tcPr>
          <w:p w14:paraId="68E23693" w14:textId="77777777" w:rsidR="00F901B9" w:rsidRPr="00692942" w:rsidRDefault="00F901B9" w:rsidP="00F901B9">
            <w:pPr>
              <w:cnfStyle w:val="100000000000" w:firstRow="1" w:lastRow="0" w:firstColumn="0" w:lastColumn="0" w:oddVBand="0" w:evenVBand="0" w:oddHBand="0" w:evenHBand="0" w:firstRowFirstColumn="0" w:firstRowLastColumn="0" w:lastRowFirstColumn="0" w:lastRowLastColumn="0"/>
              <w:rPr>
                <w:sz w:val="22"/>
                <w:szCs w:val="22"/>
              </w:rPr>
            </w:pPr>
            <w:r w:rsidRPr="00692942">
              <w:rPr>
                <w:sz w:val="22"/>
                <w:szCs w:val="22"/>
              </w:rPr>
              <w:t>Electricity sector structure</w:t>
            </w:r>
          </w:p>
        </w:tc>
        <w:tc>
          <w:tcPr>
            <w:tcW w:w="2258" w:type="pct"/>
            <w:gridSpan w:val="4"/>
            <w:noWrap/>
          </w:tcPr>
          <w:p w14:paraId="49548430" w14:textId="77777777" w:rsidR="00F901B9" w:rsidRPr="00692942" w:rsidRDefault="00F901B9" w:rsidP="00F901B9">
            <w:pPr>
              <w:cnfStyle w:val="100000000000" w:firstRow="1" w:lastRow="0" w:firstColumn="0" w:lastColumn="0" w:oddVBand="0" w:evenVBand="0" w:oddHBand="0" w:evenHBand="0" w:firstRowFirstColumn="0" w:firstRowLastColumn="0" w:lastRowFirstColumn="0" w:lastRowLastColumn="0"/>
              <w:rPr>
                <w:bCs w:val="0"/>
                <w:sz w:val="22"/>
                <w:szCs w:val="22"/>
              </w:rPr>
            </w:pPr>
            <w:r w:rsidRPr="00692942">
              <w:rPr>
                <w:bCs w:val="0"/>
                <w:sz w:val="22"/>
                <w:szCs w:val="22"/>
              </w:rPr>
              <w:t>Main companies operating in</w:t>
            </w:r>
          </w:p>
        </w:tc>
      </w:tr>
      <w:tr w:rsidR="00F901B9" w:rsidRPr="00692942" w14:paraId="5E0C5912" w14:textId="77777777" w:rsidTr="00F901B9">
        <w:trPr>
          <w:trHeight w:val="640"/>
        </w:trPr>
        <w:tc>
          <w:tcPr>
            <w:cnfStyle w:val="001000000000" w:firstRow="0" w:lastRow="0" w:firstColumn="1" w:lastColumn="0" w:oddVBand="0" w:evenVBand="0" w:oddHBand="0" w:evenHBand="0" w:firstRowFirstColumn="0" w:firstRowLastColumn="0" w:lastRowFirstColumn="0" w:lastRowLastColumn="0"/>
            <w:tcW w:w="706" w:type="pct"/>
            <w:noWrap/>
          </w:tcPr>
          <w:p w14:paraId="5E868756" w14:textId="77777777" w:rsidR="00F901B9" w:rsidRPr="00692942" w:rsidRDefault="00F901B9" w:rsidP="00F901B9">
            <w:pPr>
              <w:rPr>
                <w:sz w:val="22"/>
                <w:szCs w:val="22"/>
              </w:rPr>
            </w:pPr>
          </w:p>
        </w:tc>
        <w:tc>
          <w:tcPr>
            <w:tcW w:w="2036" w:type="pct"/>
          </w:tcPr>
          <w:p w14:paraId="6A02D53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b/>
                <w:bCs/>
                <w:sz w:val="22"/>
                <w:szCs w:val="22"/>
              </w:rPr>
            </w:pPr>
          </w:p>
        </w:tc>
        <w:tc>
          <w:tcPr>
            <w:tcW w:w="681" w:type="pct"/>
            <w:noWrap/>
            <w:hideMark/>
          </w:tcPr>
          <w:p w14:paraId="09B9A8AC"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b/>
                <w:bCs/>
                <w:sz w:val="22"/>
                <w:szCs w:val="22"/>
              </w:rPr>
            </w:pPr>
            <w:r w:rsidRPr="00692942">
              <w:rPr>
                <w:b/>
                <w:bCs/>
                <w:sz w:val="22"/>
                <w:szCs w:val="22"/>
              </w:rPr>
              <w:t>Generation</w:t>
            </w:r>
          </w:p>
        </w:tc>
        <w:tc>
          <w:tcPr>
            <w:tcW w:w="585" w:type="pct"/>
            <w:noWrap/>
            <w:hideMark/>
          </w:tcPr>
          <w:p w14:paraId="3288893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b/>
                <w:bCs/>
                <w:sz w:val="22"/>
                <w:szCs w:val="22"/>
              </w:rPr>
            </w:pPr>
            <w:r w:rsidRPr="00692942">
              <w:rPr>
                <w:b/>
                <w:bCs/>
                <w:sz w:val="22"/>
                <w:szCs w:val="22"/>
              </w:rPr>
              <w:t>Transmission</w:t>
            </w:r>
          </w:p>
        </w:tc>
        <w:tc>
          <w:tcPr>
            <w:tcW w:w="500" w:type="pct"/>
            <w:noWrap/>
            <w:hideMark/>
          </w:tcPr>
          <w:p w14:paraId="3B055F7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b/>
                <w:bCs/>
                <w:sz w:val="22"/>
                <w:szCs w:val="22"/>
              </w:rPr>
            </w:pPr>
            <w:r w:rsidRPr="00692942">
              <w:rPr>
                <w:b/>
                <w:bCs/>
                <w:sz w:val="22"/>
                <w:szCs w:val="22"/>
              </w:rPr>
              <w:t>Distribution</w:t>
            </w:r>
          </w:p>
        </w:tc>
        <w:tc>
          <w:tcPr>
            <w:tcW w:w="492" w:type="pct"/>
            <w:noWrap/>
            <w:hideMark/>
          </w:tcPr>
          <w:p w14:paraId="582D546A"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b/>
                <w:bCs/>
                <w:sz w:val="22"/>
                <w:szCs w:val="22"/>
              </w:rPr>
            </w:pPr>
            <w:r w:rsidRPr="00692942">
              <w:rPr>
                <w:b/>
                <w:bCs/>
                <w:sz w:val="22"/>
                <w:szCs w:val="22"/>
              </w:rPr>
              <w:t>Retail</w:t>
            </w:r>
          </w:p>
        </w:tc>
      </w:tr>
      <w:tr w:rsidR="00F901B9" w:rsidRPr="00692942" w14:paraId="0881D456" w14:textId="77777777" w:rsidTr="00F901B9">
        <w:trPr>
          <w:trHeight w:val="2880"/>
        </w:trPr>
        <w:tc>
          <w:tcPr>
            <w:cnfStyle w:val="001000000000" w:firstRow="0" w:lastRow="0" w:firstColumn="1" w:lastColumn="0" w:oddVBand="0" w:evenVBand="0" w:oddHBand="0" w:evenHBand="0" w:firstRowFirstColumn="0" w:firstRowLastColumn="0" w:lastRowFirstColumn="0" w:lastRowLastColumn="0"/>
            <w:tcW w:w="706" w:type="pct"/>
            <w:noWrap/>
            <w:hideMark/>
          </w:tcPr>
          <w:p w14:paraId="1AC1FD54" w14:textId="77777777" w:rsidR="00F901B9" w:rsidRPr="00692942" w:rsidRDefault="00F901B9" w:rsidP="00F901B9">
            <w:pPr>
              <w:rPr>
                <w:sz w:val="22"/>
                <w:szCs w:val="22"/>
              </w:rPr>
            </w:pPr>
            <w:r w:rsidRPr="00692942">
              <w:rPr>
                <w:sz w:val="22"/>
                <w:szCs w:val="22"/>
              </w:rPr>
              <w:t>Austria</w:t>
            </w:r>
          </w:p>
        </w:tc>
        <w:tc>
          <w:tcPr>
            <w:tcW w:w="2036" w:type="pct"/>
            <w:hideMark/>
          </w:tcPr>
          <w:p w14:paraId="1F2047AD" w14:textId="77777777" w:rsidR="00F901B9" w:rsidRPr="00692942" w:rsidRDefault="00F901B9" w:rsidP="00F901B9">
            <w:pPr>
              <w:ind w:right="-47"/>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 xml:space="preserve">The Republic of Austria owns 51% of Verbund's share capital. The federal province Lower Austria holds (through a holding company) 51% of the share capital of EVN. The main Austrian TSO is Austrian Power Grid AG owning 94% of the Austrian high voltage electricity grid. Verbund AG holds 100% of the shares in Austrian Power Grid AG. There are 14 DSOs and distribution areas in Austria. Wien Energie, Linz Strom, Salzburg Netz and Kelag are the main participants in this sector. Of the roughly 130 retailers, many operate only at local or regional level. The three largest suppliers are Verbund, EVN and Wien Energie. </w:t>
            </w:r>
          </w:p>
        </w:tc>
        <w:tc>
          <w:tcPr>
            <w:tcW w:w="681" w:type="pct"/>
            <w:hideMark/>
          </w:tcPr>
          <w:p w14:paraId="346A684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Verbund; EVN</w:t>
            </w:r>
          </w:p>
        </w:tc>
        <w:tc>
          <w:tcPr>
            <w:tcW w:w="585" w:type="pct"/>
            <w:hideMark/>
          </w:tcPr>
          <w:p w14:paraId="712E462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Verbund; EVN</w:t>
            </w:r>
          </w:p>
        </w:tc>
        <w:tc>
          <w:tcPr>
            <w:tcW w:w="500" w:type="pct"/>
            <w:hideMark/>
          </w:tcPr>
          <w:p w14:paraId="17452287"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Verbund; EVN; provinces</w:t>
            </w:r>
          </w:p>
        </w:tc>
        <w:tc>
          <w:tcPr>
            <w:tcW w:w="492" w:type="pct"/>
            <w:hideMark/>
          </w:tcPr>
          <w:p w14:paraId="524A53E8"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Verbund, EVN, Wien Energie</w:t>
            </w:r>
          </w:p>
        </w:tc>
      </w:tr>
      <w:tr w:rsidR="00F901B9" w:rsidRPr="00692942" w14:paraId="15EAC36F" w14:textId="77777777" w:rsidTr="00F901B9">
        <w:trPr>
          <w:trHeight w:val="2560"/>
        </w:trPr>
        <w:tc>
          <w:tcPr>
            <w:cnfStyle w:val="001000000000" w:firstRow="0" w:lastRow="0" w:firstColumn="1" w:lastColumn="0" w:oddVBand="0" w:evenVBand="0" w:oddHBand="0" w:evenHBand="0" w:firstRowFirstColumn="0" w:firstRowLastColumn="0" w:lastRowFirstColumn="0" w:lastRowLastColumn="0"/>
            <w:tcW w:w="706" w:type="pct"/>
            <w:noWrap/>
            <w:hideMark/>
          </w:tcPr>
          <w:p w14:paraId="77BB8DAD" w14:textId="77777777" w:rsidR="00F901B9" w:rsidRPr="00692942" w:rsidRDefault="00F901B9" w:rsidP="00F901B9">
            <w:pPr>
              <w:rPr>
                <w:sz w:val="22"/>
                <w:szCs w:val="22"/>
              </w:rPr>
            </w:pPr>
            <w:r w:rsidRPr="00692942">
              <w:rPr>
                <w:sz w:val="22"/>
                <w:szCs w:val="22"/>
              </w:rPr>
              <w:lastRenderedPageBreak/>
              <w:t>Belgium</w:t>
            </w:r>
          </w:p>
        </w:tc>
        <w:tc>
          <w:tcPr>
            <w:tcW w:w="2036" w:type="pct"/>
            <w:hideMark/>
          </w:tcPr>
          <w:p w14:paraId="71372D0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 xml:space="preserve">Belgium’s energy sector is almost entirely in private hands, though some local distribution of electricity and natural gas is carried out by companies that are wholly or partially owned by municipalities. </w:t>
            </w:r>
            <w:r>
              <w:rPr>
                <w:sz w:val="22"/>
                <w:szCs w:val="22"/>
              </w:rPr>
              <w:t>T</w:t>
            </w:r>
            <w:r w:rsidRPr="00692942">
              <w:rPr>
                <w:sz w:val="22"/>
                <w:szCs w:val="22"/>
              </w:rPr>
              <w:t xml:space="preserve">raditional suppliers, notably GDF Suez and its subsidiary Electrabel, continue to hold dominant positions for both generation and supply. Other key generating companies operating in Belgium include EDF and E.ON. In the supply sector, in addition to Electrabel, some of the large players include EDF, Eni and Lampiris. In Belgium, DSOs are mainly grouped together in organisations like ORES in </w:t>
            </w:r>
            <w:r>
              <w:rPr>
                <w:sz w:val="22"/>
                <w:szCs w:val="22"/>
              </w:rPr>
              <w:t>Wallonia and Eandis in Flanders</w:t>
            </w:r>
            <w:r w:rsidRPr="00692942">
              <w:rPr>
                <w:sz w:val="22"/>
                <w:szCs w:val="22"/>
              </w:rPr>
              <w:t xml:space="preserve">. For example, Eandis is comprised of seven Flemish electricity and gas distribution system operators, which are also its shareholders. Elia, the TSO, has a legal monopoly as Belgium’s sole electricity TSO. </w:t>
            </w:r>
          </w:p>
        </w:tc>
        <w:tc>
          <w:tcPr>
            <w:tcW w:w="681" w:type="pct"/>
            <w:hideMark/>
          </w:tcPr>
          <w:p w14:paraId="6CC6E65D"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Electrabel; EDF; E.ON</w:t>
            </w:r>
          </w:p>
        </w:tc>
        <w:tc>
          <w:tcPr>
            <w:tcW w:w="585" w:type="pct"/>
            <w:hideMark/>
          </w:tcPr>
          <w:p w14:paraId="25807DFD"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Elia</w:t>
            </w:r>
          </w:p>
        </w:tc>
        <w:tc>
          <w:tcPr>
            <w:tcW w:w="500" w:type="pct"/>
            <w:hideMark/>
          </w:tcPr>
          <w:p w14:paraId="4D6E24A8"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regional</w:t>
            </w:r>
          </w:p>
        </w:tc>
        <w:tc>
          <w:tcPr>
            <w:tcW w:w="492" w:type="pct"/>
            <w:hideMark/>
          </w:tcPr>
          <w:p w14:paraId="1581216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Electrabel; EDF; ENI; Lampiris</w:t>
            </w:r>
          </w:p>
        </w:tc>
      </w:tr>
      <w:tr w:rsidR="00F901B9" w:rsidRPr="00692942" w14:paraId="0301EB16" w14:textId="77777777" w:rsidTr="00F901B9">
        <w:trPr>
          <w:trHeight w:val="2240"/>
        </w:trPr>
        <w:tc>
          <w:tcPr>
            <w:cnfStyle w:val="001000000000" w:firstRow="0" w:lastRow="0" w:firstColumn="1" w:lastColumn="0" w:oddVBand="0" w:evenVBand="0" w:oddHBand="0" w:evenHBand="0" w:firstRowFirstColumn="0" w:firstRowLastColumn="0" w:lastRowFirstColumn="0" w:lastRowLastColumn="0"/>
            <w:tcW w:w="706" w:type="pct"/>
            <w:noWrap/>
            <w:hideMark/>
          </w:tcPr>
          <w:p w14:paraId="6A584573" w14:textId="77777777" w:rsidR="00F901B9" w:rsidRPr="00692942" w:rsidRDefault="00F901B9" w:rsidP="00F901B9">
            <w:pPr>
              <w:rPr>
                <w:sz w:val="22"/>
                <w:szCs w:val="22"/>
              </w:rPr>
            </w:pPr>
            <w:r w:rsidRPr="00692942">
              <w:rPr>
                <w:sz w:val="22"/>
                <w:szCs w:val="22"/>
              </w:rPr>
              <w:t>Germany</w:t>
            </w:r>
          </w:p>
        </w:tc>
        <w:tc>
          <w:tcPr>
            <w:tcW w:w="2036" w:type="pct"/>
            <w:hideMark/>
          </w:tcPr>
          <w:p w14:paraId="576D3B98"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German energy industry has traditionally been privately owned, though there are still a large number of small electricity and gas distribution companies that are either wholly or partially owned by municipalities.</w:t>
            </w:r>
            <w:r>
              <w:rPr>
                <w:sz w:val="22"/>
                <w:szCs w:val="22"/>
              </w:rPr>
              <w:t xml:space="preserve"> </w:t>
            </w:r>
            <w:r w:rsidRPr="00692942">
              <w:rPr>
                <w:sz w:val="22"/>
                <w:szCs w:val="22"/>
              </w:rPr>
              <w:t>Despite reforms, the incumbent operators in the wholesale and retail markets have retained large market shares. E.ON and RWE have been among the dominant players in both the natural-</w:t>
            </w:r>
            <w:r>
              <w:rPr>
                <w:sz w:val="22"/>
                <w:szCs w:val="22"/>
              </w:rPr>
              <w:t>gas and the electricity markets</w:t>
            </w:r>
            <w:r w:rsidRPr="00692942">
              <w:rPr>
                <w:sz w:val="22"/>
                <w:szCs w:val="22"/>
              </w:rPr>
              <w:t>. EnBW (Baden-Wuttenberg), E.On, RWE, Vattenfall leading in generation, distribution and supply. There are four TSOs: Transnet (EnBW); Tennet (Holland govt); Amprion (Commerzbank, RWE); 50Hertz (Elia and IFM)</w:t>
            </w:r>
          </w:p>
        </w:tc>
        <w:tc>
          <w:tcPr>
            <w:tcW w:w="681" w:type="pct"/>
            <w:hideMark/>
          </w:tcPr>
          <w:p w14:paraId="149428DD"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E.On, RWE, EnBW (Baden-Wuttenberg)</w:t>
            </w:r>
          </w:p>
        </w:tc>
        <w:tc>
          <w:tcPr>
            <w:tcW w:w="585" w:type="pct"/>
            <w:hideMark/>
          </w:tcPr>
          <w:p w14:paraId="12F0565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Transnet (EnBW); Tennet (Holland govt); Amprion (Commerzbank, RWE); 50Hertz (Elia and IFM)</w:t>
            </w:r>
          </w:p>
        </w:tc>
        <w:tc>
          <w:tcPr>
            <w:tcW w:w="500" w:type="pct"/>
            <w:hideMark/>
          </w:tcPr>
          <w:p w14:paraId="292C2576"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E.On, RWE, EnBW (Baden-Wuttenberg); municipalities</w:t>
            </w:r>
          </w:p>
        </w:tc>
        <w:tc>
          <w:tcPr>
            <w:tcW w:w="492" w:type="pct"/>
            <w:hideMark/>
          </w:tcPr>
          <w:p w14:paraId="1DA5F703"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E.On, RWE, EnBW (Baden-Wuttenberg)</w:t>
            </w:r>
          </w:p>
        </w:tc>
      </w:tr>
      <w:tr w:rsidR="00F901B9" w:rsidRPr="00692942" w14:paraId="68C9A463" w14:textId="77777777" w:rsidTr="00F901B9">
        <w:trPr>
          <w:trHeight w:val="773"/>
        </w:trPr>
        <w:tc>
          <w:tcPr>
            <w:cnfStyle w:val="001000000000" w:firstRow="0" w:lastRow="0" w:firstColumn="1" w:lastColumn="0" w:oddVBand="0" w:evenVBand="0" w:oddHBand="0" w:evenHBand="0" w:firstRowFirstColumn="0" w:firstRowLastColumn="0" w:lastRowFirstColumn="0" w:lastRowLastColumn="0"/>
            <w:tcW w:w="706" w:type="pct"/>
            <w:noWrap/>
            <w:hideMark/>
          </w:tcPr>
          <w:p w14:paraId="7BA458EB" w14:textId="77777777" w:rsidR="00F901B9" w:rsidRPr="00692942" w:rsidRDefault="00F901B9" w:rsidP="00F901B9">
            <w:pPr>
              <w:rPr>
                <w:sz w:val="22"/>
                <w:szCs w:val="22"/>
              </w:rPr>
            </w:pPr>
            <w:r w:rsidRPr="00692942">
              <w:rPr>
                <w:sz w:val="22"/>
                <w:szCs w:val="22"/>
              </w:rPr>
              <w:t>Luxembourg</w:t>
            </w:r>
          </w:p>
        </w:tc>
        <w:tc>
          <w:tcPr>
            <w:tcW w:w="2036" w:type="pct"/>
            <w:hideMark/>
          </w:tcPr>
          <w:p w14:paraId="6AF43CD6"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 xml:space="preserve">Creos Luxembourg S.A. (formerly SOTEG) owns and operates the transmission system, and it supplies the majority of the market. Most of Creos's shares are owned by various private utilities, though the State maintains minority ownership. Creos also operates one of the two main electricity-transmission systems in the country. The State of Luxembourg owns about 40% of the company, via direct shareholdings and through the Societe Nationale de Credit et d'Investissement. The other </w:t>
            </w:r>
            <w:r w:rsidRPr="00692942">
              <w:rPr>
                <w:sz w:val="22"/>
                <w:szCs w:val="22"/>
              </w:rPr>
              <w:lastRenderedPageBreak/>
              <w:t xml:space="preserve">main electricity grid operator is the Societe de Transport de l'Electricite (SOTEL). Most of the electricity-distribution companies are owned by municipalities. </w:t>
            </w:r>
          </w:p>
        </w:tc>
        <w:tc>
          <w:tcPr>
            <w:tcW w:w="681" w:type="pct"/>
            <w:hideMark/>
          </w:tcPr>
          <w:p w14:paraId="36CECC43"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lastRenderedPageBreak/>
              <w:t>Enovos International</w:t>
            </w:r>
          </w:p>
        </w:tc>
        <w:tc>
          <w:tcPr>
            <w:tcW w:w="585" w:type="pct"/>
            <w:hideMark/>
          </w:tcPr>
          <w:p w14:paraId="367EFD2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Creos</w:t>
            </w:r>
          </w:p>
        </w:tc>
        <w:tc>
          <w:tcPr>
            <w:tcW w:w="500" w:type="pct"/>
            <w:noWrap/>
            <w:hideMark/>
          </w:tcPr>
          <w:p w14:paraId="40C3BB8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Municipalities</w:t>
            </w:r>
          </w:p>
        </w:tc>
        <w:tc>
          <w:tcPr>
            <w:tcW w:w="492" w:type="pct"/>
            <w:noWrap/>
            <w:hideMark/>
          </w:tcPr>
          <w:p w14:paraId="2FFF1B5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Creos</w:t>
            </w:r>
          </w:p>
        </w:tc>
      </w:tr>
      <w:tr w:rsidR="00F901B9" w:rsidRPr="00692942" w14:paraId="21301F76" w14:textId="77777777" w:rsidTr="00F901B9">
        <w:trPr>
          <w:trHeight w:val="1123"/>
        </w:trPr>
        <w:tc>
          <w:tcPr>
            <w:cnfStyle w:val="001000000000" w:firstRow="0" w:lastRow="0" w:firstColumn="1" w:lastColumn="0" w:oddVBand="0" w:evenVBand="0" w:oddHBand="0" w:evenHBand="0" w:firstRowFirstColumn="0" w:firstRowLastColumn="0" w:lastRowFirstColumn="0" w:lastRowLastColumn="0"/>
            <w:tcW w:w="706" w:type="pct"/>
            <w:noWrap/>
            <w:hideMark/>
          </w:tcPr>
          <w:p w14:paraId="1AB44F7F" w14:textId="77777777" w:rsidR="00F901B9" w:rsidRPr="00692942" w:rsidRDefault="00F901B9" w:rsidP="00F901B9">
            <w:pPr>
              <w:rPr>
                <w:sz w:val="22"/>
                <w:szCs w:val="22"/>
              </w:rPr>
            </w:pPr>
            <w:r w:rsidRPr="00692942">
              <w:rPr>
                <w:sz w:val="22"/>
                <w:szCs w:val="22"/>
              </w:rPr>
              <w:lastRenderedPageBreak/>
              <w:t>Netherlands</w:t>
            </w:r>
          </w:p>
        </w:tc>
        <w:tc>
          <w:tcPr>
            <w:tcW w:w="2036" w:type="pct"/>
            <w:hideMark/>
          </w:tcPr>
          <w:p w14:paraId="125A7356"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For the most part, the Dutch energy industry is in private hands, but there is significant ownership of assets by the state, the provinces, and the municipalities. Most electricity is generated by Essent (owned by RWE), Nuon (owned by Vattenfall), Eneco, E.ON, Delta and Electabel. The electricity distribution and transmission networks are publicly managed and owned. The Netherlands has one electricity transmission system operator (TSO), TenneT, which is owned by the state. Under a 2006 law, distribution assets must be fully separated from supply activity, and cannot be sold to private companies or investors. Since the liberalisation, a number of new supply companies have joined the market including Doug Energy and E.ON The four largest energy companies - Nuon (acquired by Vattenfall), Essent (acquired by RWE), Eneco and DELTA - still have the largest share of the retail market.</w:t>
            </w:r>
          </w:p>
        </w:tc>
        <w:tc>
          <w:tcPr>
            <w:tcW w:w="681" w:type="pct"/>
            <w:hideMark/>
          </w:tcPr>
          <w:p w14:paraId="3307669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Essent (RWE); Nuon (Vattenfall); Eneco, E.ON.</w:t>
            </w:r>
          </w:p>
        </w:tc>
        <w:tc>
          <w:tcPr>
            <w:tcW w:w="585" w:type="pct"/>
            <w:hideMark/>
          </w:tcPr>
          <w:p w14:paraId="3DF65E4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TenneT</w:t>
            </w:r>
          </w:p>
        </w:tc>
        <w:tc>
          <w:tcPr>
            <w:tcW w:w="500" w:type="pct"/>
            <w:noWrap/>
            <w:hideMark/>
          </w:tcPr>
          <w:p w14:paraId="2F8AC97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Municipalities</w:t>
            </w:r>
          </w:p>
        </w:tc>
        <w:tc>
          <w:tcPr>
            <w:tcW w:w="492" w:type="pct"/>
            <w:hideMark/>
          </w:tcPr>
          <w:p w14:paraId="7A5EC81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Nuon (Vattenfall); Essent (RWE); Eneco; Delta</w:t>
            </w:r>
          </w:p>
        </w:tc>
      </w:tr>
      <w:tr w:rsidR="00F901B9" w:rsidRPr="00692942" w14:paraId="38CA428A" w14:textId="77777777" w:rsidTr="00F901B9">
        <w:trPr>
          <w:trHeight w:val="1600"/>
        </w:trPr>
        <w:tc>
          <w:tcPr>
            <w:cnfStyle w:val="001000000000" w:firstRow="0" w:lastRow="0" w:firstColumn="1" w:lastColumn="0" w:oddVBand="0" w:evenVBand="0" w:oddHBand="0" w:evenHBand="0" w:firstRowFirstColumn="0" w:firstRowLastColumn="0" w:lastRowFirstColumn="0" w:lastRowLastColumn="0"/>
            <w:tcW w:w="706" w:type="pct"/>
            <w:noWrap/>
            <w:hideMark/>
          </w:tcPr>
          <w:p w14:paraId="4E33AF62" w14:textId="77777777" w:rsidR="00F901B9" w:rsidRPr="00692942" w:rsidRDefault="00F901B9" w:rsidP="00F901B9">
            <w:pPr>
              <w:rPr>
                <w:sz w:val="22"/>
                <w:szCs w:val="22"/>
              </w:rPr>
            </w:pPr>
            <w:r w:rsidRPr="00692942">
              <w:rPr>
                <w:sz w:val="22"/>
                <w:szCs w:val="22"/>
              </w:rPr>
              <w:t>Bulgaria</w:t>
            </w:r>
          </w:p>
        </w:tc>
        <w:tc>
          <w:tcPr>
            <w:tcW w:w="2036" w:type="pct"/>
            <w:hideMark/>
          </w:tcPr>
          <w:p w14:paraId="2FDC215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100% state-owned company, BEH is the parent company of most generating companies and owns the TSO. Electricity distribution companies were fully privatised in 2012. Thus EVN (Austria) and Energo-Pro (E.On now Czech ENergoPro) own 100% of the shares of the respective subsidiary companies and CEZ (Sofia and Western Bulgaria) owns over 90%. Captive customers and those who have not decided to change their supplier buy their electricity from NEK (if they are connected to a high voltage grid) or the distribution companies (if they are connected to a medium or low voltage grid).</w:t>
            </w:r>
          </w:p>
        </w:tc>
        <w:tc>
          <w:tcPr>
            <w:tcW w:w="681" w:type="pct"/>
            <w:hideMark/>
          </w:tcPr>
          <w:p w14:paraId="2AF6C45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BEH</w:t>
            </w:r>
          </w:p>
        </w:tc>
        <w:tc>
          <w:tcPr>
            <w:tcW w:w="585" w:type="pct"/>
            <w:hideMark/>
          </w:tcPr>
          <w:p w14:paraId="57D6317D"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BEH</w:t>
            </w:r>
          </w:p>
        </w:tc>
        <w:tc>
          <w:tcPr>
            <w:tcW w:w="500" w:type="pct"/>
            <w:hideMark/>
          </w:tcPr>
          <w:p w14:paraId="4F356EFD"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Private: EVN (Austria); Energo-Pro (CEZ); CEZ</w:t>
            </w:r>
          </w:p>
        </w:tc>
        <w:tc>
          <w:tcPr>
            <w:tcW w:w="492" w:type="pct"/>
            <w:hideMark/>
          </w:tcPr>
          <w:p w14:paraId="4FEFACF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Private: EVN (Austria); Energo-Pro (CEZ); CEZ; NEK</w:t>
            </w:r>
          </w:p>
        </w:tc>
      </w:tr>
      <w:tr w:rsidR="00F901B9" w:rsidRPr="00692942" w14:paraId="07F452E6" w14:textId="77777777" w:rsidTr="00F901B9">
        <w:trPr>
          <w:trHeight w:val="3520"/>
        </w:trPr>
        <w:tc>
          <w:tcPr>
            <w:cnfStyle w:val="001000000000" w:firstRow="0" w:lastRow="0" w:firstColumn="1" w:lastColumn="0" w:oddVBand="0" w:evenVBand="0" w:oddHBand="0" w:evenHBand="0" w:firstRowFirstColumn="0" w:firstRowLastColumn="0" w:lastRowFirstColumn="0" w:lastRowLastColumn="0"/>
            <w:tcW w:w="706" w:type="pct"/>
            <w:noWrap/>
            <w:hideMark/>
          </w:tcPr>
          <w:p w14:paraId="42676952" w14:textId="77777777" w:rsidR="00F901B9" w:rsidRPr="00692942" w:rsidRDefault="00F901B9" w:rsidP="00F901B9">
            <w:pPr>
              <w:rPr>
                <w:sz w:val="22"/>
                <w:szCs w:val="22"/>
              </w:rPr>
            </w:pPr>
            <w:r w:rsidRPr="00692942">
              <w:rPr>
                <w:sz w:val="22"/>
                <w:szCs w:val="22"/>
              </w:rPr>
              <w:lastRenderedPageBreak/>
              <w:t>Czech republic</w:t>
            </w:r>
          </w:p>
        </w:tc>
        <w:tc>
          <w:tcPr>
            <w:tcW w:w="2036" w:type="pct"/>
            <w:hideMark/>
          </w:tcPr>
          <w:p w14:paraId="144049A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t>
            </w:r>
            <w:r w:rsidRPr="00692942">
              <w:rPr>
                <w:sz w:val="22"/>
                <w:szCs w:val="22"/>
              </w:rPr>
              <w:t xml:space="preserve"> large part of the generation, distribution and supply segments are integrated businesses owned by CEZ, a.s. and its subsidiaries (CEZ Group). The Czech Republic has however retained a controlling shareholding of approximately 48% of each of the </w:t>
            </w:r>
            <w:r>
              <w:rPr>
                <w:sz w:val="22"/>
                <w:szCs w:val="22"/>
              </w:rPr>
              <w:t>distribution companies, which were privatized in 1995</w:t>
            </w:r>
            <w:r w:rsidRPr="00692942">
              <w:rPr>
                <w:sz w:val="22"/>
                <w:szCs w:val="22"/>
              </w:rPr>
              <w:t>. CEZ is the dominant electricity generator, providing approximately 67,7 % of the electricity used in the Czech Republic in 2014; CEPS is the sole owner and operator of the transmission grid, which is fully owned by the Czech state. The distribution system is predominantly owned and operated by: EZ Distribuce a.s., E.ON Distribuce a.s. and PREdistribuce a.s. (DSOs).  In 2014, the 3 largest Czech electricity s</w:t>
            </w:r>
            <w:r>
              <w:rPr>
                <w:sz w:val="22"/>
                <w:szCs w:val="22"/>
              </w:rPr>
              <w:t>uppliers were EZ Prodej s.r.o.</w:t>
            </w:r>
            <w:r w:rsidRPr="00692942">
              <w:rPr>
                <w:sz w:val="22"/>
                <w:szCs w:val="22"/>
              </w:rPr>
              <w:t>, E.ON Energie a.s</w:t>
            </w:r>
            <w:r>
              <w:rPr>
                <w:sz w:val="22"/>
                <w:szCs w:val="22"/>
              </w:rPr>
              <w:t xml:space="preserve"> and Pra_skö energetika a.s</w:t>
            </w:r>
            <w:r w:rsidRPr="00692942">
              <w:rPr>
                <w:sz w:val="22"/>
                <w:szCs w:val="22"/>
              </w:rPr>
              <w:t xml:space="preserve">. </w:t>
            </w:r>
          </w:p>
        </w:tc>
        <w:tc>
          <w:tcPr>
            <w:tcW w:w="681" w:type="pct"/>
            <w:hideMark/>
          </w:tcPr>
          <w:p w14:paraId="0157585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CEZ</w:t>
            </w:r>
          </w:p>
        </w:tc>
        <w:tc>
          <w:tcPr>
            <w:tcW w:w="585" w:type="pct"/>
            <w:hideMark/>
          </w:tcPr>
          <w:p w14:paraId="0EE53AC2"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CEZ</w:t>
            </w:r>
          </w:p>
        </w:tc>
        <w:tc>
          <w:tcPr>
            <w:tcW w:w="500" w:type="pct"/>
            <w:hideMark/>
          </w:tcPr>
          <w:p w14:paraId="0B0BD197"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EZ Distribuce; E.ON Distribuce; PREdistribuce</w:t>
            </w:r>
          </w:p>
        </w:tc>
        <w:tc>
          <w:tcPr>
            <w:tcW w:w="492" w:type="pct"/>
            <w:hideMark/>
          </w:tcPr>
          <w:p w14:paraId="5F7433C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CEZ; E.ON Energie</w:t>
            </w:r>
          </w:p>
        </w:tc>
      </w:tr>
      <w:tr w:rsidR="00F901B9" w:rsidRPr="00692942" w14:paraId="23CA2C4C" w14:textId="77777777" w:rsidTr="00F901B9">
        <w:trPr>
          <w:trHeight w:val="2880"/>
        </w:trPr>
        <w:tc>
          <w:tcPr>
            <w:cnfStyle w:val="001000000000" w:firstRow="0" w:lastRow="0" w:firstColumn="1" w:lastColumn="0" w:oddVBand="0" w:evenVBand="0" w:oddHBand="0" w:evenHBand="0" w:firstRowFirstColumn="0" w:firstRowLastColumn="0" w:lastRowFirstColumn="0" w:lastRowLastColumn="0"/>
            <w:tcW w:w="706" w:type="pct"/>
            <w:noWrap/>
            <w:hideMark/>
          </w:tcPr>
          <w:p w14:paraId="431CF04F" w14:textId="77777777" w:rsidR="00F901B9" w:rsidRPr="00692942" w:rsidRDefault="00F901B9" w:rsidP="00F901B9">
            <w:pPr>
              <w:rPr>
                <w:sz w:val="22"/>
                <w:szCs w:val="22"/>
              </w:rPr>
            </w:pPr>
            <w:r w:rsidRPr="00692942">
              <w:rPr>
                <w:sz w:val="22"/>
                <w:szCs w:val="22"/>
              </w:rPr>
              <w:t>Hungary</w:t>
            </w:r>
          </w:p>
        </w:tc>
        <w:tc>
          <w:tcPr>
            <w:tcW w:w="2036" w:type="pct"/>
            <w:hideMark/>
          </w:tcPr>
          <w:p w14:paraId="483BEDBA"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Following the restructuring and partial privatisation of the vertically integrated state-owned Hungarian Electricity Works Ltd. (MVM), several generating companies, six regional distribution companies and a transmission company were established. Whilst private investment in the Hungarian electricity sector has been significant (mostly in generation and distribution), the state-owned MVM is still the biggest player in the market, controlling</w:t>
            </w:r>
            <w:r>
              <w:rPr>
                <w:sz w:val="22"/>
                <w:szCs w:val="22"/>
              </w:rPr>
              <w:t xml:space="preserve"> a considerable part of Hungary’</w:t>
            </w:r>
            <w:r w:rsidRPr="00692942">
              <w:rPr>
                <w:sz w:val="22"/>
                <w:szCs w:val="22"/>
              </w:rPr>
              <w:t>s generation capacity. MAVIR, a subsidiary of the state-owned MVM, owns and operates the transmission system.  The distribution networks are owned and opera</w:t>
            </w:r>
            <w:r>
              <w:rPr>
                <w:sz w:val="22"/>
                <w:szCs w:val="22"/>
              </w:rPr>
              <w:t>ted by six privately owned DSOs</w:t>
            </w:r>
            <w:r w:rsidRPr="00692942">
              <w:rPr>
                <w:sz w:val="22"/>
                <w:szCs w:val="22"/>
              </w:rPr>
              <w:t>.</w:t>
            </w:r>
            <w:r>
              <w:rPr>
                <w:sz w:val="22"/>
                <w:szCs w:val="22"/>
              </w:rPr>
              <w:t xml:space="preserve"> </w:t>
            </w:r>
            <w:r w:rsidRPr="00692942">
              <w:rPr>
                <w:sz w:val="22"/>
                <w:szCs w:val="22"/>
              </w:rPr>
              <w:t>Outside the universal service sector</w:t>
            </w:r>
            <w:r>
              <w:rPr>
                <w:sz w:val="22"/>
                <w:szCs w:val="22"/>
              </w:rPr>
              <w:t xml:space="preserve"> (DSOs)</w:t>
            </w:r>
            <w:r w:rsidRPr="00692942">
              <w:rPr>
                <w:sz w:val="22"/>
                <w:szCs w:val="22"/>
              </w:rPr>
              <w:t xml:space="preserve">, there currently are more than 50 licensed traders selling electricity to end users at market based prices. </w:t>
            </w:r>
          </w:p>
        </w:tc>
        <w:tc>
          <w:tcPr>
            <w:tcW w:w="681" w:type="pct"/>
            <w:hideMark/>
          </w:tcPr>
          <w:p w14:paraId="3E1BC90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MVM</w:t>
            </w:r>
          </w:p>
        </w:tc>
        <w:tc>
          <w:tcPr>
            <w:tcW w:w="585" w:type="pct"/>
            <w:hideMark/>
          </w:tcPr>
          <w:p w14:paraId="4AFC87F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MVM</w:t>
            </w:r>
          </w:p>
        </w:tc>
        <w:tc>
          <w:tcPr>
            <w:tcW w:w="500" w:type="pct"/>
            <w:hideMark/>
          </w:tcPr>
          <w:p w14:paraId="54F991F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ÛDSZ (100% E.ON); DÛDSZ (100% E.ON); TITSZ (100% E.ON); DÛMSZ (100% EDF); ÛMSZ (54.3% RWE; 25% EnBW; 12% MVM; 18.7% others(; ELM (55.3% RWE; 25% EnBW; 15.6% MVM; 4.1% others).</w:t>
            </w:r>
          </w:p>
        </w:tc>
        <w:tc>
          <w:tcPr>
            <w:tcW w:w="492" w:type="pct"/>
            <w:hideMark/>
          </w:tcPr>
          <w:p w14:paraId="0562364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ÛDSZ (100% E.ON); DÛDSZ (100% E.ON); TITSZ (100% E.ON); DÛMSZ (100% EDF); ÛMSZ (54.3% RWE; 25% EnBW; 12% MVM; 18.7% others(; ELM (55.3% RWE; 25% EnBW; 15.6% MVM; 4.1% others).</w:t>
            </w:r>
          </w:p>
        </w:tc>
      </w:tr>
      <w:tr w:rsidR="00F901B9" w:rsidRPr="00692942" w14:paraId="17CC62BE" w14:textId="77777777" w:rsidTr="00F901B9">
        <w:trPr>
          <w:trHeight w:val="2880"/>
        </w:trPr>
        <w:tc>
          <w:tcPr>
            <w:cnfStyle w:val="001000000000" w:firstRow="0" w:lastRow="0" w:firstColumn="1" w:lastColumn="0" w:oddVBand="0" w:evenVBand="0" w:oddHBand="0" w:evenHBand="0" w:firstRowFirstColumn="0" w:firstRowLastColumn="0" w:lastRowFirstColumn="0" w:lastRowLastColumn="0"/>
            <w:tcW w:w="706" w:type="pct"/>
            <w:noWrap/>
            <w:hideMark/>
          </w:tcPr>
          <w:p w14:paraId="1E1230E9" w14:textId="77777777" w:rsidR="00F901B9" w:rsidRPr="00692942" w:rsidRDefault="00F901B9" w:rsidP="00F901B9">
            <w:pPr>
              <w:rPr>
                <w:sz w:val="22"/>
                <w:szCs w:val="22"/>
              </w:rPr>
            </w:pPr>
            <w:r w:rsidRPr="00692942">
              <w:rPr>
                <w:sz w:val="22"/>
                <w:szCs w:val="22"/>
              </w:rPr>
              <w:lastRenderedPageBreak/>
              <w:t>Poland</w:t>
            </w:r>
          </w:p>
        </w:tc>
        <w:tc>
          <w:tcPr>
            <w:tcW w:w="2036" w:type="pct"/>
            <w:hideMark/>
          </w:tcPr>
          <w:p w14:paraId="3AEB113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 xml:space="preserve">State-owned entities have been organised into four vertically integrated groups and are partially privatised. These groups are PGE Polska Grupa Energetyczna S.A. (PGE), TAURON Polska Energia S.A. (TAURON), ENEA S.A. (ENEA) and ENERGA S.A. (ENERGA). All of these companies combine generation, distribution and trading (including supply) activities. Other key companies in the Polish electricity market include ZE PAK S.A. with almost 2,500MW of installed capacity in a coal-fired generating station, EDF, RWE, PGNiG Termika, Dalkia, CEZ and GDF SUEZ. In 2012 PGE, TAURON and EDF had the largest market share in the generation sector. The sole TSO, Polskie Sieci Elektroenergetyczne S.A. (PSE), is a fully state-owned joint stock company and owner of all the transmission assets.  </w:t>
            </w:r>
          </w:p>
        </w:tc>
        <w:tc>
          <w:tcPr>
            <w:tcW w:w="681" w:type="pct"/>
            <w:hideMark/>
          </w:tcPr>
          <w:p w14:paraId="66FF67A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PGE; TAURON; EDF</w:t>
            </w:r>
          </w:p>
        </w:tc>
        <w:tc>
          <w:tcPr>
            <w:tcW w:w="585" w:type="pct"/>
            <w:hideMark/>
          </w:tcPr>
          <w:p w14:paraId="6F377BBA"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PSE</w:t>
            </w:r>
          </w:p>
        </w:tc>
        <w:tc>
          <w:tcPr>
            <w:tcW w:w="500" w:type="pct"/>
            <w:hideMark/>
          </w:tcPr>
          <w:p w14:paraId="3E929285"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PGE Dystrybucja; TAURON Dystrybucja; ENERGA Operator; ENEA Operator</w:t>
            </w:r>
          </w:p>
        </w:tc>
        <w:tc>
          <w:tcPr>
            <w:tcW w:w="492" w:type="pct"/>
            <w:hideMark/>
          </w:tcPr>
          <w:p w14:paraId="180BCD37"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PGE; TAURON; ENERG; ENEA</w:t>
            </w:r>
          </w:p>
        </w:tc>
      </w:tr>
      <w:tr w:rsidR="00F901B9" w:rsidRPr="00692942" w14:paraId="26C07113" w14:textId="77777777" w:rsidTr="00F901B9">
        <w:trPr>
          <w:trHeight w:val="3200"/>
        </w:trPr>
        <w:tc>
          <w:tcPr>
            <w:cnfStyle w:val="001000000000" w:firstRow="0" w:lastRow="0" w:firstColumn="1" w:lastColumn="0" w:oddVBand="0" w:evenVBand="0" w:oddHBand="0" w:evenHBand="0" w:firstRowFirstColumn="0" w:firstRowLastColumn="0" w:lastRowFirstColumn="0" w:lastRowLastColumn="0"/>
            <w:tcW w:w="706" w:type="pct"/>
            <w:noWrap/>
            <w:hideMark/>
          </w:tcPr>
          <w:p w14:paraId="16F4C980" w14:textId="77777777" w:rsidR="00F901B9" w:rsidRPr="00692942" w:rsidRDefault="00F901B9" w:rsidP="00F901B9">
            <w:pPr>
              <w:rPr>
                <w:sz w:val="22"/>
                <w:szCs w:val="22"/>
              </w:rPr>
            </w:pPr>
            <w:r w:rsidRPr="00692942">
              <w:rPr>
                <w:sz w:val="22"/>
                <w:szCs w:val="22"/>
              </w:rPr>
              <w:t>Romania</w:t>
            </w:r>
          </w:p>
        </w:tc>
        <w:tc>
          <w:tcPr>
            <w:tcW w:w="2036" w:type="pct"/>
            <w:hideMark/>
          </w:tcPr>
          <w:p w14:paraId="47E2E90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 xml:space="preserve">In Romania, the most important electricity generating stations are state-owned (89% of the national electricity output is generated by state-owned generators). Also, the Romanian state owns the majority of the shares in the TSO (Transelectrica SA). The distribution sector has been partially privatised; five of the eight distribution operators are privatised: CEZ Distribute SA; ENEL Distributie Banat SA; ENEL Distributie Dobrogea SA; E.ON Moldova Distributie SA; ENEL Distributie Muntenia SUD SA; FDEE Electrica Distributie Muntenia Nord SA; FDEE Electrica Distributie Transilvania Sud SA; and FDEE Electrica Distributie Transilvania Nord SA. Electrica SA (owner of the three companies (vi) to (viii) above) holds the largest market share (39.27%) and was majority state owned by the Ministry of Economy. </w:t>
            </w:r>
          </w:p>
        </w:tc>
        <w:tc>
          <w:tcPr>
            <w:tcW w:w="681" w:type="pct"/>
            <w:hideMark/>
          </w:tcPr>
          <w:p w14:paraId="6711730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Hidroelectrica SA; SN Nuclearelectrica SA; Complexul Energetic Oltenia SA; Termoelectrica Deva SA</w:t>
            </w:r>
          </w:p>
        </w:tc>
        <w:tc>
          <w:tcPr>
            <w:tcW w:w="585" w:type="pct"/>
            <w:hideMark/>
          </w:tcPr>
          <w:p w14:paraId="2375A436"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Transelectrica SA</w:t>
            </w:r>
          </w:p>
        </w:tc>
        <w:tc>
          <w:tcPr>
            <w:tcW w:w="500" w:type="pct"/>
            <w:hideMark/>
          </w:tcPr>
          <w:p w14:paraId="732983F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Private</w:t>
            </w:r>
            <w:r>
              <w:rPr>
                <w:sz w:val="22"/>
                <w:szCs w:val="22"/>
              </w:rPr>
              <w:t>: 6 DSOs</w:t>
            </w:r>
            <w:r w:rsidRPr="00692942">
              <w:rPr>
                <w:sz w:val="22"/>
                <w:szCs w:val="22"/>
              </w:rPr>
              <w:t xml:space="preserve"> </w:t>
            </w:r>
          </w:p>
        </w:tc>
        <w:tc>
          <w:tcPr>
            <w:tcW w:w="492" w:type="pct"/>
            <w:hideMark/>
          </w:tcPr>
          <w:p w14:paraId="1AB82DC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Electrica Furnizare; Enel Energie; Enel Energie Muntenia; E.ON Energie Romania; CEZ Vanzare</w:t>
            </w:r>
          </w:p>
        </w:tc>
      </w:tr>
      <w:tr w:rsidR="00F901B9" w:rsidRPr="00692942" w14:paraId="3A5C5725" w14:textId="77777777" w:rsidTr="00F901B9">
        <w:trPr>
          <w:trHeight w:val="2240"/>
        </w:trPr>
        <w:tc>
          <w:tcPr>
            <w:cnfStyle w:val="001000000000" w:firstRow="0" w:lastRow="0" w:firstColumn="1" w:lastColumn="0" w:oddVBand="0" w:evenVBand="0" w:oddHBand="0" w:evenHBand="0" w:firstRowFirstColumn="0" w:firstRowLastColumn="0" w:lastRowFirstColumn="0" w:lastRowLastColumn="0"/>
            <w:tcW w:w="706" w:type="pct"/>
            <w:noWrap/>
            <w:hideMark/>
          </w:tcPr>
          <w:p w14:paraId="3FBEBA92" w14:textId="77777777" w:rsidR="00F901B9" w:rsidRPr="00692942" w:rsidRDefault="00F901B9" w:rsidP="00F901B9">
            <w:pPr>
              <w:rPr>
                <w:sz w:val="22"/>
                <w:szCs w:val="22"/>
              </w:rPr>
            </w:pPr>
            <w:r w:rsidRPr="00692942">
              <w:rPr>
                <w:sz w:val="22"/>
                <w:szCs w:val="22"/>
              </w:rPr>
              <w:lastRenderedPageBreak/>
              <w:t>Slovak Republic</w:t>
            </w:r>
          </w:p>
        </w:tc>
        <w:tc>
          <w:tcPr>
            <w:tcW w:w="2036" w:type="pct"/>
            <w:hideMark/>
          </w:tcPr>
          <w:p w14:paraId="1308569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main player in the Slovak electricity generation market is Slovensk elektrörne, a.s. (SE), a joint stock company of which 66% is owned by Enel - the Italian based multinational group, with the other 34% owned by the Slovak state. The entire electricity transmission network is owned by SEPS, a wholly state-owned company. Three are regional Distribution System Operators (DSO), co-owned by the state (51%) and a private investor (49% and management control). E.ON indirectly holds 49% of the</w:t>
            </w:r>
            <w:r>
              <w:rPr>
                <w:sz w:val="22"/>
                <w:szCs w:val="22"/>
              </w:rPr>
              <w:t xml:space="preserve"> shares in ZSE Distribucia a.s.</w:t>
            </w:r>
            <w:r w:rsidRPr="00692942">
              <w:rPr>
                <w:sz w:val="22"/>
                <w:szCs w:val="22"/>
              </w:rPr>
              <w:t>; EDF holds 49% of the s</w:t>
            </w:r>
            <w:r>
              <w:rPr>
                <w:sz w:val="22"/>
                <w:szCs w:val="22"/>
              </w:rPr>
              <w:t>hares in SSE - Distribucia a.s.</w:t>
            </w:r>
            <w:r w:rsidRPr="00692942">
              <w:rPr>
                <w:sz w:val="22"/>
                <w:szCs w:val="22"/>
              </w:rPr>
              <w:t>; and RWE Energy AG holds 49% of the shares in Vchodoslovenskö distribunö a.s</w:t>
            </w:r>
            <w:r>
              <w:rPr>
                <w:sz w:val="22"/>
                <w:szCs w:val="22"/>
              </w:rPr>
              <w:t>.</w:t>
            </w:r>
          </w:p>
        </w:tc>
        <w:tc>
          <w:tcPr>
            <w:tcW w:w="681" w:type="pct"/>
            <w:hideMark/>
          </w:tcPr>
          <w:p w14:paraId="41EFD49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SE</w:t>
            </w:r>
          </w:p>
        </w:tc>
        <w:tc>
          <w:tcPr>
            <w:tcW w:w="585" w:type="pct"/>
            <w:hideMark/>
          </w:tcPr>
          <w:p w14:paraId="28BBCC52"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SEPS</w:t>
            </w:r>
          </w:p>
        </w:tc>
        <w:tc>
          <w:tcPr>
            <w:tcW w:w="500" w:type="pct"/>
            <w:hideMark/>
          </w:tcPr>
          <w:p w14:paraId="479A3E5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ZSE (E.ON); SSE (EDF); RWE</w:t>
            </w:r>
          </w:p>
        </w:tc>
        <w:tc>
          <w:tcPr>
            <w:tcW w:w="492" w:type="pct"/>
            <w:hideMark/>
          </w:tcPr>
          <w:p w14:paraId="0356F75D"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ZSE (E.ON); SSE (EDF); RWE</w:t>
            </w:r>
          </w:p>
        </w:tc>
      </w:tr>
      <w:tr w:rsidR="00F901B9" w:rsidRPr="00692942" w14:paraId="26496A5C" w14:textId="77777777" w:rsidTr="00F901B9">
        <w:trPr>
          <w:trHeight w:val="1933"/>
        </w:trPr>
        <w:tc>
          <w:tcPr>
            <w:cnfStyle w:val="001000000000" w:firstRow="0" w:lastRow="0" w:firstColumn="1" w:lastColumn="0" w:oddVBand="0" w:evenVBand="0" w:oddHBand="0" w:evenHBand="0" w:firstRowFirstColumn="0" w:firstRowLastColumn="0" w:lastRowFirstColumn="0" w:lastRowLastColumn="0"/>
            <w:tcW w:w="706" w:type="pct"/>
            <w:noWrap/>
            <w:hideMark/>
          </w:tcPr>
          <w:p w14:paraId="0387EE4D" w14:textId="77777777" w:rsidR="00F901B9" w:rsidRPr="00692942" w:rsidRDefault="00F901B9" w:rsidP="00F901B9">
            <w:pPr>
              <w:rPr>
                <w:sz w:val="22"/>
                <w:szCs w:val="22"/>
              </w:rPr>
            </w:pPr>
            <w:r w:rsidRPr="00692942">
              <w:rPr>
                <w:sz w:val="22"/>
                <w:szCs w:val="22"/>
              </w:rPr>
              <w:t>Croatia</w:t>
            </w:r>
          </w:p>
        </w:tc>
        <w:tc>
          <w:tcPr>
            <w:tcW w:w="2036" w:type="pct"/>
            <w:hideMark/>
          </w:tcPr>
          <w:p w14:paraId="10CDBAD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holding company HEP d.d. is state-owned and is the owner of the infrastructure, while its respective affiliates manage the infrastructure (e.g. HEP-DSO, HEP Generation). The transmission grid is operated by the TSO which is the state-owned HOPS. There are 28 companies active in the generation sector. Although the majority of these (approximately 80%) are privately owned, their market share is dwarfed by the generation capacities of state-owned companies, which dominate the sector. There are 18 companies covering the supply business. Three of these companies are state-owned and hold the majority of the market share.</w:t>
            </w:r>
            <w:r>
              <w:rPr>
                <w:sz w:val="22"/>
                <w:szCs w:val="22"/>
              </w:rPr>
              <w:t xml:space="preserve"> </w:t>
            </w:r>
            <w:r w:rsidRPr="00692942">
              <w:rPr>
                <w:sz w:val="22"/>
                <w:szCs w:val="22"/>
              </w:rPr>
              <w:t>The privately owned supply companies with the highest market share in 2014 were: GEN-I (approximately 6.07%), RWE Energy (former Energija 2 Sustavi with approximately 4.52%) and Proenergy (approximately 2.32%).</w:t>
            </w:r>
          </w:p>
        </w:tc>
        <w:tc>
          <w:tcPr>
            <w:tcW w:w="681" w:type="pct"/>
            <w:hideMark/>
          </w:tcPr>
          <w:p w14:paraId="3F86A7A5"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HEP</w:t>
            </w:r>
          </w:p>
        </w:tc>
        <w:tc>
          <w:tcPr>
            <w:tcW w:w="585" w:type="pct"/>
            <w:hideMark/>
          </w:tcPr>
          <w:p w14:paraId="2BDA4C58"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HOPS</w:t>
            </w:r>
          </w:p>
        </w:tc>
        <w:tc>
          <w:tcPr>
            <w:tcW w:w="500" w:type="pct"/>
            <w:hideMark/>
          </w:tcPr>
          <w:p w14:paraId="70AF98E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HEP-DSO</w:t>
            </w:r>
          </w:p>
        </w:tc>
        <w:tc>
          <w:tcPr>
            <w:tcW w:w="492" w:type="pct"/>
            <w:hideMark/>
          </w:tcPr>
          <w:p w14:paraId="1B8A5E1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HEP-Opskrba d.o.o. (part of the HEP group) </w:t>
            </w:r>
          </w:p>
        </w:tc>
      </w:tr>
      <w:tr w:rsidR="00F901B9" w:rsidRPr="00692942" w14:paraId="0EEC2AE7" w14:textId="77777777" w:rsidTr="00F901B9">
        <w:trPr>
          <w:trHeight w:val="2240"/>
        </w:trPr>
        <w:tc>
          <w:tcPr>
            <w:cnfStyle w:val="001000000000" w:firstRow="0" w:lastRow="0" w:firstColumn="1" w:lastColumn="0" w:oddVBand="0" w:evenVBand="0" w:oddHBand="0" w:evenHBand="0" w:firstRowFirstColumn="0" w:firstRowLastColumn="0" w:lastRowFirstColumn="0" w:lastRowLastColumn="0"/>
            <w:tcW w:w="706" w:type="pct"/>
            <w:noWrap/>
            <w:hideMark/>
          </w:tcPr>
          <w:p w14:paraId="69820D82" w14:textId="77777777" w:rsidR="00F901B9" w:rsidRPr="00692942" w:rsidRDefault="00F901B9" w:rsidP="00F901B9">
            <w:pPr>
              <w:rPr>
                <w:sz w:val="22"/>
                <w:szCs w:val="22"/>
              </w:rPr>
            </w:pPr>
            <w:r w:rsidRPr="00692942">
              <w:rPr>
                <w:sz w:val="22"/>
                <w:szCs w:val="22"/>
              </w:rPr>
              <w:lastRenderedPageBreak/>
              <w:t>Cyprus</w:t>
            </w:r>
          </w:p>
        </w:tc>
        <w:tc>
          <w:tcPr>
            <w:tcW w:w="2036" w:type="pct"/>
            <w:hideMark/>
          </w:tcPr>
          <w:p w14:paraId="3D4D1602"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incumbent Electricity Authority of Cyprus (EAC) owns both the transmission and the distribution system. The TSO is legally but not functionally unbundled from EAC, since all its staff is seconded from EAC. The obligation of ownership unbundling of the TSO does not apply, since Cyprus has obtained a derogation from Article 9 of the 2009/72/EC Directive. The DSO is responsible for managing, operating and developing the network, safeguarding access to the distribution network and equal treatment for all users. EAC has unbundled the accounts of the DSO. No wholesale market is currently operating. EAC is the sole electricity supplier.</w:t>
            </w:r>
          </w:p>
        </w:tc>
        <w:tc>
          <w:tcPr>
            <w:tcW w:w="681" w:type="pct"/>
            <w:hideMark/>
          </w:tcPr>
          <w:p w14:paraId="51522623"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EAC</w:t>
            </w:r>
          </w:p>
        </w:tc>
        <w:tc>
          <w:tcPr>
            <w:tcW w:w="585" w:type="pct"/>
            <w:hideMark/>
          </w:tcPr>
          <w:p w14:paraId="578DFDA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EAC</w:t>
            </w:r>
          </w:p>
        </w:tc>
        <w:tc>
          <w:tcPr>
            <w:tcW w:w="500" w:type="pct"/>
            <w:hideMark/>
          </w:tcPr>
          <w:p w14:paraId="7D47FF6C"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EAC</w:t>
            </w:r>
          </w:p>
        </w:tc>
        <w:tc>
          <w:tcPr>
            <w:tcW w:w="492" w:type="pct"/>
            <w:hideMark/>
          </w:tcPr>
          <w:p w14:paraId="4E1ECEB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EAC</w:t>
            </w:r>
          </w:p>
        </w:tc>
      </w:tr>
      <w:tr w:rsidR="00F901B9" w:rsidRPr="00692942" w14:paraId="596F084C" w14:textId="77777777" w:rsidTr="00F901B9">
        <w:trPr>
          <w:trHeight w:val="1360"/>
        </w:trPr>
        <w:tc>
          <w:tcPr>
            <w:cnfStyle w:val="001000000000" w:firstRow="0" w:lastRow="0" w:firstColumn="1" w:lastColumn="0" w:oddVBand="0" w:evenVBand="0" w:oddHBand="0" w:evenHBand="0" w:firstRowFirstColumn="0" w:firstRowLastColumn="0" w:lastRowFirstColumn="0" w:lastRowLastColumn="0"/>
            <w:tcW w:w="706" w:type="pct"/>
            <w:noWrap/>
            <w:hideMark/>
          </w:tcPr>
          <w:p w14:paraId="1536A827" w14:textId="77777777" w:rsidR="00F901B9" w:rsidRPr="00692942" w:rsidRDefault="00F901B9" w:rsidP="00F901B9">
            <w:pPr>
              <w:rPr>
                <w:sz w:val="22"/>
                <w:szCs w:val="22"/>
              </w:rPr>
            </w:pPr>
            <w:r w:rsidRPr="00692942">
              <w:rPr>
                <w:sz w:val="22"/>
                <w:szCs w:val="22"/>
              </w:rPr>
              <w:t>Estonia</w:t>
            </w:r>
          </w:p>
        </w:tc>
        <w:tc>
          <w:tcPr>
            <w:tcW w:w="2036" w:type="pct"/>
            <w:hideMark/>
          </w:tcPr>
          <w:p w14:paraId="6CDD978A"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In Estonia the TSO Elering AS and the main electricity producer and seller AS Eesti Energia along with its subsidiary, the distribution network operator Elektrilevi OU, belong 100% to the State. Electricity production in Estonia is dominated by the state-owned company, Eesti Energia. In 2011, its share of the wholesale electricity market was 90%, while its share of the retail market was 76%. Transmission was unbundled from production in 2010. The state-owned company, Elering, provides the transmission networking service, but also acts as the single transmission system operator. There are 38 distribution networks, the largest of which is owned by Eesti Energia, with 86% share of the distribution market.</w:t>
            </w:r>
          </w:p>
        </w:tc>
        <w:tc>
          <w:tcPr>
            <w:tcW w:w="681" w:type="pct"/>
            <w:hideMark/>
          </w:tcPr>
          <w:p w14:paraId="0C0B6BE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Eesti Energia</w:t>
            </w:r>
          </w:p>
        </w:tc>
        <w:tc>
          <w:tcPr>
            <w:tcW w:w="585" w:type="pct"/>
            <w:hideMark/>
          </w:tcPr>
          <w:p w14:paraId="2D36CCE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Elering AS</w:t>
            </w:r>
          </w:p>
        </w:tc>
        <w:tc>
          <w:tcPr>
            <w:tcW w:w="500" w:type="pct"/>
            <w:hideMark/>
          </w:tcPr>
          <w:p w14:paraId="2A5F101C"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Electrilevi OU</w:t>
            </w:r>
          </w:p>
        </w:tc>
        <w:tc>
          <w:tcPr>
            <w:tcW w:w="492" w:type="pct"/>
            <w:hideMark/>
          </w:tcPr>
          <w:p w14:paraId="1BF9CE6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Eesti Energia</w:t>
            </w:r>
          </w:p>
        </w:tc>
      </w:tr>
      <w:tr w:rsidR="00F901B9" w:rsidRPr="00692942" w14:paraId="5FD04B1B" w14:textId="77777777" w:rsidTr="00F901B9">
        <w:trPr>
          <w:trHeight w:val="1600"/>
        </w:trPr>
        <w:tc>
          <w:tcPr>
            <w:cnfStyle w:val="001000000000" w:firstRow="0" w:lastRow="0" w:firstColumn="1" w:lastColumn="0" w:oddVBand="0" w:evenVBand="0" w:oddHBand="0" w:evenHBand="0" w:firstRowFirstColumn="0" w:firstRowLastColumn="0" w:lastRowFirstColumn="0" w:lastRowLastColumn="0"/>
            <w:tcW w:w="706" w:type="pct"/>
            <w:noWrap/>
            <w:hideMark/>
          </w:tcPr>
          <w:p w14:paraId="139E3A22" w14:textId="77777777" w:rsidR="00F901B9" w:rsidRPr="00692942" w:rsidRDefault="00F901B9" w:rsidP="00F901B9">
            <w:pPr>
              <w:rPr>
                <w:sz w:val="22"/>
                <w:szCs w:val="22"/>
              </w:rPr>
            </w:pPr>
            <w:r w:rsidRPr="00692942">
              <w:rPr>
                <w:sz w:val="22"/>
                <w:szCs w:val="22"/>
              </w:rPr>
              <w:t>Ireland</w:t>
            </w:r>
          </w:p>
        </w:tc>
        <w:tc>
          <w:tcPr>
            <w:tcW w:w="2036" w:type="pct"/>
            <w:hideMark/>
          </w:tcPr>
          <w:p w14:paraId="3828DAC2"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State-owned companies dominate the electricity and natural-gas sectors. The Electricity Supply Board (ESB) holds two-thirds of generating capacity, though its share has been falling as new power producers have entered the market. It also owns the transmission system, the operation of which is the responsibility of another state-owned body, EirGrid, as well as the distribution network. Bord Gais Eireann (BGE) owns the gas transmission and distribution network, operating the transmission system through a subsidiary company. Retail competition has developed to only a relatively small degree.</w:t>
            </w:r>
          </w:p>
        </w:tc>
        <w:tc>
          <w:tcPr>
            <w:tcW w:w="681" w:type="pct"/>
            <w:hideMark/>
          </w:tcPr>
          <w:p w14:paraId="125D04F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ESB</w:t>
            </w:r>
          </w:p>
        </w:tc>
        <w:tc>
          <w:tcPr>
            <w:tcW w:w="585" w:type="pct"/>
            <w:hideMark/>
          </w:tcPr>
          <w:p w14:paraId="159546D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EirGrid</w:t>
            </w:r>
          </w:p>
        </w:tc>
        <w:tc>
          <w:tcPr>
            <w:tcW w:w="500" w:type="pct"/>
            <w:hideMark/>
          </w:tcPr>
          <w:p w14:paraId="1ACA586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BGE</w:t>
            </w:r>
          </w:p>
        </w:tc>
        <w:tc>
          <w:tcPr>
            <w:tcW w:w="492" w:type="pct"/>
            <w:hideMark/>
          </w:tcPr>
          <w:p w14:paraId="5FAF36A5"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BGE</w:t>
            </w:r>
          </w:p>
        </w:tc>
      </w:tr>
      <w:tr w:rsidR="00F901B9" w:rsidRPr="00692942" w14:paraId="7C134AD1" w14:textId="77777777" w:rsidTr="00F901B9">
        <w:trPr>
          <w:trHeight w:val="1920"/>
        </w:trPr>
        <w:tc>
          <w:tcPr>
            <w:cnfStyle w:val="001000000000" w:firstRow="0" w:lastRow="0" w:firstColumn="1" w:lastColumn="0" w:oddVBand="0" w:evenVBand="0" w:oddHBand="0" w:evenHBand="0" w:firstRowFirstColumn="0" w:firstRowLastColumn="0" w:lastRowFirstColumn="0" w:lastRowLastColumn="0"/>
            <w:tcW w:w="706" w:type="pct"/>
            <w:noWrap/>
            <w:hideMark/>
          </w:tcPr>
          <w:p w14:paraId="54DE2B9D" w14:textId="77777777" w:rsidR="00F901B9" w:rsidRPr="00692942" w:rsidRDefault="00F901B9" w:rsidP="00F901B9">
            <w:pPr>
              <w:rPr>
                <w:sz w:val="22"/>
                <w:szCs w:val="22"/>
              </w:rPr>
            </w:pPr>
            <w:r w:rsidRPr="00692942">
              <w:rPr>
                <w:sz w:val="22"/>
                <w:szCs w:val="22"/>
              </w:rPr>
              <w:lastRenderedPageBreak/>
              <w:t>Latvia</w:t>
            </w:r>
          </w:p>
        </w:tc>
        <w:tc>
          <w:tcPr>
            <w:tcW w:w="2036" w:type="pct"/>
            <w:hideMark/>
          </w:tcPr>
          <w:p w14:paraId="6A3C19F2"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Latvenergo enjoys a monopoly position as the largest producer of electricity in Latvia and controls all of the country’s public electricity distribution networks. The Ministry of Economy, via Latvenergo, is also the ultimate beneficiary shareholder of Latvenergo subsidiaries. The Ministry of Finance owns 100% of the shares in the electricity transmission company, Augstsprieguma tīkli. The company is a former Latvenergo subsidiary that was spun off in 2012 in order to comply with Directive 2009/72/EC of the European Parliament and of the Council of 13 July 2009 concerning common rules for the internal market in electricity.</w:t>
            </w:r>
          </w:p>
        </w:tc>
        <w:tc>
          <w:tcPr>
            <w:tcW w:w="681" w:type="pct"/>
            <w:hideMark/>
          </w:tcPr>
          <w:p w14:paraId="1EBC590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Latvenergo</w:t>
            </w:r>
          </w:p>
        </w:tc>
        <w:tc>
          <w:tcPr>
            <w:tcW w:w="585" w:type="pct"/>
            <w:hideMark/>
          </w:tcPr>
          <w:p w14:paraId="3AB0C5B3"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Augstsprieguma tikli</w:t>
            </w:r>
          </w:p>
        </w:tc>
        <w:tc>
          <w:tcPr>
            <w:tcW w:w="500" w:type="pct"/>
            <w:hideMark/>
          </w:tcPr>
          <w:p w14:paraId="2A9D418A"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Latvenergo</w:t>
            </w:r>
          </w:p>
        </w:tc>
        <w:tc>
          <w:tcPr>
            <w:tcW w:w="492" w:type="pct"/>
            <w:hideMark/>
          </w:tcPr>
          <w:p w14:paraId="6DE818F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Latvenergo</w:t>
            </w:r>
          </w:p>
        </w:tc>
      </w:tr>
      <w:tr w:rsidR="00F901B9" w:rsidRPr="00692942" w14:paraId="672C4AE1" w14:textId="77777777" w:rsidTr="00F901B9">
        <w:trPr>
          <w:trHeight w:val="2560"/>
        </w:trPr>
        <w:tc>
          <w:tcPr>
            <w:cnfStyle w:val="001000000000" w:firstRow="0" w:lastRow="0" w:firstColumn="1" w:lastColumn="0" w:oddVBand="0" w:evenVBand="0" w:oddHBand="0" w:evenHBand="0" w:firstRowFirstColumn="0" w:firstRowLastColumn="0" w:lastRowFirstColumn="0" w:lastRowLastColumn="0"/>
            <w:tcW w:w="706" w:type="pct"/>
            <w:noWrap/>
            <w:hideMark/>
          </w:tcPr>
          <w:p w14:paraId="0B2A3B06" w14:textId="77777777" w:rsidR="00F901B9" w:rsidRPr="00692942" w:rsidRDefault="00F901B9" w:rsidP="00F901B9">
            <w:pPr>
              <w:rPr>
                <w:sz w:val="22"/>
                <w:szCs w:val="22"/>
              </w:rPr>
            </w:pPr>
            <w:r w:rsidRPr="00692942">
              <w:rPr>
                <w:sz w:val="22"/>
                <w:szCs w:val="22"/>
              </w:rPr>
              <w:t>Lithuania</w:t>
            </w:r>
          </w:p>
        </w:tc>
        <w:tc>
          <w:tcPr>
            <w:tcW w:w="2036" w:type="pct"/>
            <w:hideMark/>
          </w:tcPr>
          <w:p w14:paraId="6E271BD6"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 xml:space="preserve">The Ministry of Energy exercises state ownership rights in UAB EPSO-G which has two listed subsidiaries: AB Litgrid and AB Amber Grid, which operate respectively the electricity and the natural gas transmission grid. State ownership rights in Lithuanian Energy were previously exercised by the Ministry of Energy but were transferred to the Ministry of Economy and then to the Ministry of Finance in 2012-13 in implementation of the 2009 Third Energy Package of the European Parliament, which required that the ownership of energy generation and sale be separate from the ownership of energy transmission networks. </w:t>
            </w:r>
          </w:p>
        </w:tc>
        <w:tc>
          <w:tcPr>
            <w:tcW w:w="681" w:type="pct"/>
            <w:hideMark/>
          </w:tcPr>
          <w:p w14:paraId="6D63C598"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Lietuvos Energia</w:t>
            </w:r>
          </w:p>
        </w:tc>
        <w:tc>
          <w:tcPr>
            <w:tcW w:w="585" w:type="pct"/>
            <w:hideMark/>
          </w:tcPr>
          <w:p w14:paraId="27A044F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AB Litgrid</w:t>
            </w:r>
          </w:p>
        </w:tc>
        <w:tc>
          <w:tcPr>
            <w:tcW w:w="500" w:type="pct"/>
            <w:noWrap/>
            <w:hideMark/>
          </w:tcPr>
          <w:p w14:paraId="4A819A9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AB Lesto</w:t>
            </w:r>
          </w:p>
        </w:tc>
        <w:tc>
          <w:tcPr>
            <w:tcW w:w="492" w:type="pct"/>
            <w:noWrap/>
            <w:hideMark/>
          </w:tcPr>
          <w:p w14:paraId="691509F7"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AB Lesto</w:t>
            </w:r>
          </w:p>
        </w:tc>
      </w:tr>
      <w:tr w:rsidR="00F901B9" w:rsidRPr="00692942" w14:paraId="592B7A03" w14:textId="77777777" w:rsidTr="00F901B9">
        <w:trPr>
          <w:trHeight w:val="1388"/>
        </w:trPr>
        <w:tc>
          <w:tcPr>
            <w:cnfStyle w:val="001000000000" w:firstRow="0" w:lastRow="0" w:firstColumn="1" w:lastColumn="0" w:oddVBand="0" w:evenVBand="0" w:oddHBand="0" w:evenHBand="0" w:firstRowFirstColumn="0" w:firstRowLastColumn="0" w:lastRowFirstColumn="0" w:lastRowLastColumn="0"/>
            <w:tcW w:w="706" w:type="pct"/>
            <w:noWrap/>
            <w:hideMark/>
          </w:tcPr>
          <w:p w14:paraId="29418723" w14:textId="77777777" w:rsidR="00F901B9" w:rsidRPr="00692942" w:rsidRDefault="00F901B9" w:rsidP="00F901B9">
            <w:pPr>
              <w:rPr>
                <w:sz w:val="22"/>
                <w:szCs w:val="22"/>
              </w:rPr>
            </w:pPr>
            <w:r w:rsidRPr="00692942">
              <w:rPr>
                <w:sz w:val="22"/>
                <w:szCs w:val="22"/>
              </w:rPr>
              <w:t>Malta</w:t>
            </w:r>
          </w:p>
        </w:tc>
        <w:tc>
          <w:tcPr>
            <w:tcW w:w="2036" w:type="pct"/>
            <w:hideMark/>
          </w:tcPr>
          <w:p w14:paraId="51EA04A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Electricity Market Regulations (S.L. 423.22</w:t>
            </w:r>
            <w:r>
              <w:rPr>
                <w:sz w:val="22"/>
                <w:szCs w:val="22"/>
              </w:rPr>
              <w:t>) take into acc</w:t>
            </w:r>
            <w:r w:rsidRPr="00692942">
              <w:rPr>
                <w:sz w:val="22"/>
                <w:szCs w:val="22"/>
              </w:rPr>
              <w:t xml:space="preserve">ount the derogations granted to Malta by virtue of Article 44 of Directive 2009/72/EC from the requirements of Article 9 (Unbundling of transmission systems and transmission system operators) and Article 26 of Directive 2009/72/EC (Unbundling of distribution system operators). </w:t>
            </w:r>
            <w:r>
              <w:rPr>
                <w:sz w:val="22"/>
                <w:szCs w:val="22"/>
              </w:rPr>
              <w:t>T</w:t>
            </w:r>
            <w:r w:rsidRPr="00692942">
              <w:rPr>
                <w:sz w:val="22"/>
                <w:szCs w:val="22"/>
              </w:rPr>
              <w:t xml:space="preserve">hese two articles do not apply to Malta. There are no transmission systems or transmission system operators in Malta. The distribution system covering the whole country remains under the responsibility of one distribution system operator which forms part of a vertically integrated company, Enemalta plc. </w:t>
            </w:r>
            <w:r w:rsidRPr="00692942">
              <w:rPr>
                <w:sz w:val="22"/>
                <w:szCs w:val="22"/>
              </w:rPr>
              <w:lastRenderedPageBreak/>
              <w:t>Unbundling is required at internal management accounts level only. The electricity generation market is open to competition and generators may produce electricity for their own consumption and/or sell to Enemalta plc. The retail of electricity is not open to competition.</w:t>
            </w:r>
          </w:p>
        </w:tc>
        <w:tc>
          <w:tcPr>
            <w:tcW w:w="681" w:type="pct"/>
            <w:hideMark/>
          </w:tcPr>
          <w:p w14:paraId="19C2858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lastRenderedPageBreak/>
              <w:t>Enemalta</w:t>
            </w:r>
          </w:p>
        </w:tc>
        <w:tc>
          <w:tcPr>
            <w:tcW w:w="585" w:type="pct"/>
            <w:hideMark/>
          </w:tcPr>
          <w:p w14:paraId="5689E26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n/a</w:t>
            </w:r>
          </w:p>
        </w:tc>
        <w:tc>
          <w:tcPr>
            <w:tcW w:w="500" w:type="pct"/>
            <w:noWrap/>
            <w:hideMark/>
          </w:tcPr>
          <w:p w14:paraId="02BFC9D6"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Enemalta</w:t>
            </w:r>
          </w:p>
        </w:tc>
        <w:tc>
          <w:tcPr>
            <w:tcW w:w="492" w:type="pct"/>
            <w:noWrap/>
            <w:hideMark/>
          </w:tcPr>
          <w:p w14:paraId="12AEDB9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Enemalta</w:t>
            </w:r>
          </w:p>
        </w:tc>
      </w:tr>
      <w:tr w:rsidR="00F901B9" w:rsidRPr="00692942" w14:paraId="72C2B986" w14:textId="77777777" w:rsidTr="00F901B9">
        <w:trPr>
          <w:trHeight w:val="591"/>
        </w:trPr>
        <w:tc>
          <w:tcPr>
            <w:cnfStyle w:val="001000000000" w:firstRow="0" w:lastRow="0" w:firstColumn="1" w:lastColumn="0" w:oddVBand="0" w:evenVBand="0" w:oddHBand="0" w:evenHBand="0" w:firstRowFirstColumn="0" w:firstRowLastColumn="0" w:lastRowFirstColumn="0" w:lastRowLastColumn="0"/>
            <w:tcW w:w="706" w:type="pct"/>
            <w:noWrap/>
            <w:hideMark/>
          </w:tcPr>
          <w:p w14:paraId="73F4B87A" w14:textId="77777777" w:rsidR="00F901B9" w:rsidRPr="00692942" w:rsidRDefault="00F901B9" w:rsidP="00F901B9">
            <w:pPr>
              <w:rPr>
                <w:sz w:val="22"/>
                <w:szCs w:val="22"/>
              </w:rPr>
            </w:pPr>
            <w:r w:rsidRPr="00692942">
              <w:rPr>
                <w:sz w:val="22"/>
                <w:szCs w:val="22"/>
              </w:rPr>
              <w:lastRenderedPageBreak/>
              <w:t>Slovenia</w:t>
            </w:r>
          </w:p>
        </w:tc>
        <w:tc>
          <w:tcPr>
            <w:tcW w:w="2036" w:type="pct"/>
            <w:hideMark/>
          </w:tcPr>
          <w:p w14:paraId="0E56160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unbundling requirements and full implementation of the Third Energy Package were transposed</w:t>
            </w:r>
            <w:r>
              <w:rPr>
                <w:sz w:val="22"/>
                <w:szCs w:val="22"/>
              </w:rPr>
              <w:t xml:space="preserve"> in national law</w:t>
            </w:r>
            <w:r w:rsidRPr="00692942">
              <w:rPr>
                <w:sz w:val="22"/>
                <w:szCs w:val="22"/>
              </w:rPr>
              <w:t>, whereby the creation of two separate (still state-owned) legal entities, governed by two different public authorities (within the meaning of paragraph 6 of article 9 of Directive 2009/72) is envisaged. Although fully liberalised, the Slovenian electricity market remains rather small and vertically integrated, which creates a difficult envir</w:t>
            </w:r>
            <w:r>
              <w:rPr>
                <w:sz w:val="22"/>
                <w:szCs w:val="22"/>
              </w:rPr>
              <w:t xml:space="preserve">onment for new entrants. </w:t>
            </w:r>
            <w:r w:rsidRPr="00692942">
              <w:rPr>
                <w:sz w:val="22"/>
                <w:szCs w:val="22"/>
              </w:rPr>
              <w:t>The key companies operating in the Slovenian electricity market are: Elektro-Slovenija, d.o.o. (ELES), the Transmission System Operator (TSO); SODO d.o.o. (SODO), the Distribution System Operator (DSO); 6 distribution companies; Holding Slovenske Elektrarne d.o.o. (HSE), a generation company and GEN energija d.o.o. (GEN), a generation company. All the generators, distributors and suppliers, as well as the TSO, are predominantly or wholly state-owned and no international investment is present. Due to the level of state ownership, the whole electricity sector is arguably fully vertically integrated.</w:t>
            </w:r>
          </w:p>
        </w:tc>
        <w:tc>
          <w:tcPr>
            <w:tcW w:w="681" w:type="pct"/>
            <w:hideMark/>
          </w:tcPr>
          <w:p w14:paraId="1798188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HSE; GEN</w:t>
            </w:r>
          </w:p>
        </w:tc>
        <w:tc>
          <w:tcPr>
            <w:tcW w:w="585" w:type="pct"/>
            <w:hideMark/>
          </w:tcPr>
          <w:p w14:paraId="40F1FB43"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ELES</w:t>
            </w:r>
          </w:p>
        </w:tc>
        <w:tc>
          <w:tcPr>
            <w:tcW w:w="500" w:type="pct"/>
            <w:noWrap/>
            <w:hideMark/>
          </w:tcPr>
          <w:p w14:paraId="1E411BB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SODO</w:t>
            </w:r>
          </w:p>
        </w:tc>
        <w:tc>
          <w:tcPr>
            <w:tcW w:w="492" w:type="pct"/>
            <w:noWrap/>
            <w:hideMark/>
          </w:tcPr>
          <w:p w14:paraId="42D14EA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GEN-I</w:t>
            </w:r>
          </w:p>
        </w:tc>
      </w:tr>
      <w:tr w:rsidR="00F901B9" w:rsidRPr="00692942" w14:paraId="136F9626" w14:textId="77777777" w:rsidTr="00F901B9">
        <w:trPr>
          <w:trHeight w:val="2880"/>
        </w:trPr>
        <w:tc>
          <w:tcPr>
            <w:cnfStyle w:val="001000000000" w:firstRow="0" w:lastRow="0" w:firstColumn="1" w:lastColumn="0" w:oddVBand="0" w:evenVBand="0" w:oddHBand="0" w:evenHBand="0" w:firstRowFirstColumn="0" w:firstRowLastColumn="0" w:lastRowFirstColumn="0" w:lastRowLastColumn="0"/>
            <w:tcW w:w="706" w:type="pct"/>
            <w:noWrap/>
            <w:hideMark/>
          </w:tcPr>
          <w:p w14:paraId="3354429D" w14:textId="77777777" w:rsidR="00F901B9" w:rsidRPr="00692942" w:rsidRDefault="00F901B9" w:rsidP="00F901B9">
            <w:pPr>
              <w:rPr>
                <w:sz w:val="22"/>
                <w:szCs w:val="22"/>
              </w:rPr>
            </w:pPr>
            <w:r w:rsidRPr="00692942">
              <w:rPr>
                <w:sz w:val="22"/>
                <w:szCs w:val="22"/>
              </w:rPr>
              <w:lastRenderedPageBreak/>
              <w:t>United Kingdom</w:t>
            </w:r>
          </w:p>
        </w:tc>
        <w:tc>
          <w:tcPr>
            <w:tcW w:w="2036" w:type="pct"/>
            <w:hideMark/>
          </w:tcPr>
          <w:p w14:paraId="428C6178"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 xml:space="preserve">The National Grid owns and operates the England and Wales transmission system; the Scottish transmission system is owned by Scottish Power and Scottish and Southern Energy, and the Northern Ireland network by Northern Ireland Electricity. Licences for 14 distribution areas in Great Britain are currently held by </w:t>
            </w:r>
            <w:r>
              <w:rPr>
                <w:sz w:val="22"/>
                <w:szCs w:val="22"/>
              </w:rPr>
              <w:t>six</w:t>
            </w:r>
            <w:r w:rsidRPr="00692942">
              <w:rPr>
                <w:sz w:val="22"/>
                <w:szCs w:val="22"/>
              </w:rPr>
              <w:t xml:space="preserve"> different companies</w:t>
            </w:r>
            <w:r>
              <w:rPr>
                <w:sz w:val="22"/>
                <w:szCs w:val="22"/>
              </w:rPr>
              <w:t xml:space="preserve"> (</w:t>
            </w:r>
            <w:r w:rsidRPr="00692942">
              <w:rPr>
                <w:sz w:val="22"/>
                <w:szCs w:val="22"/>
              </w:rPr>
              <w:t>Electricity North West Limited, Northern Powergrid, SSE, ScottishPower Energy Networks, UK Power Networks, a</w:t>
            </w:r>
            <w:r>
              <w:rPr>
                <w:sz w:val="22"/>
                <w:szCs w:val="22"/>
              </w:rPr>
              <w:t>nd Western Power Distribution)</w:t>
            </w:r>
            <w:r w:rsidRPr="00692942">
              <w:rPr>
                <w:sz w:val="22"/>
                <w:szCs w:val="22"/>
              </w:rPr>
              <w:t>. Retail supply, which is unbundled from distribution, is dominated by six large companies (EDF Energy, E.ON, RWE, Iberdrola/ScottishPower, Centrica and SSE) which supply virtually all consumers. The majority of consumers have switched away from their incumbent supplier.</w:t>
            </w:r>
          </w:p>
        </w:tc>
        <w:tc>
          <w:tcPr>
            <w:tcW w:w="681" w:type="pct"/>
            <w:hideMark/>
          </w:tcPr>
          <w:p w14:paraId="1E8409A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EDF Energy; E.ON; RWE; Iberdrola/ScottishPower; Centrica; SSE</w:t>
            </w:r>
          </w:p>
        </w:tc>
        <w:tc>
          <w:tcPr>
            <w:tcW w:w="585" w:type="pct"/>
            <w:hideMark/>
          </w:tcPr>
          <w:p w14:paraId="4A73AD2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 TSOs</w:t>
            </w:r>
          </w:p>
        </w:tc>
        <w:tc>
          <w:tcPr>
            <w:tcW w:w="500" w:type="pct"/>
            <w:hideMark/>
          </w:tcPr>
          <w:p w14:paraId="52C593D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Private: 14 DNOs are owned by six different groups</w:t>
            </w:r>
            <w:r>
              <w:rPr>
                <w:sz w:val="22"/>
                <w:szCs w:val="22"/>
              </w:rPr>
              <w:t>.</w:t>
            </w:r>
          </w:p>
        </w:tc>
        <w:tc>
          <w:tcPr>
            <w:tcW w:w="492" w:type="pct"/>
            <w:hideMark/>
          </w:tcPr>
          <w:p w14:paraId="00C4A80C"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EDF Energy; E.ON; RWE; Iberdrola/ScottishPower; Centrica; SSE</w:t>
            </w:r>
          </w:p>
        </w:tc>
      </w:tr>
      <w:tr w:rsidR="00F901B9" w:rsidRPr="00692942" w14:paraId="74B412CD" w14:textId="77777777" w:rsidTr="00F901B9">
        <w:trPr>
          <w:trHeight w:val="1600"/>
        </w:trPr>
        <w:tc>
          <w:tcPr>
            <w:cnfStyle w:val="001000000000" w:firstRow="0" w:lastRow="0" w:firstColumn="1" w:lastColumn="0" w:oddVBand="0" w:evenVBand="0" w:oddHBand="0" w:evenHBand="0" w:firstRowFirstColumn="0" w:firstRowLastColumn="0" w:lastRowFirstColumn="0" w:lastRowLastColumn="0"/>
            <w:tcW w:w="706" w:type="pct"/>
            <w:noWrap/>
            <w:hideMark/>
          </w:tcPr>
          <w:p w14:paraId="3ADFF5B7" w14:textId="77777777" w:rsidR="00F901B9" w:rsidRPr="00692942" w:rsidRDefault="00F901B9" w:rsidP="00F901B9">
            <w:pPr>
              <w:rPr>
                <w:sz w:val="22"/>
                <w:szCs w:val="22"/>
              </w:rPr>
            </w:pPr>
            <w:r w:rsidRPr="00692942">
              <w:rPr>
                <w:sz w:val="22"/>
                <w:szCs w:val="22"/>
              </w:rPr>
              <w:t>France</w:t>
            </w:r>
          </w:p>
        </w:tc>
        <w:tc>
          <w:tcPr>
            <w:tcW w:w="2036" w:type="pct"/>
            <w:hideMark/>
          </w:tcPr>
          <w:p w14:paraId="3CE23E8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In November 2004, the two incumbent monopoly companies, Electricité de France (EDF) and Gaz de France (GDF), both of which were 100% state-owned, became limited companies with a board of directors. The next year, minority stakes in the two companies were sold to private investors. As of December 2014, the state retains an 84.5% stake in EDF, which dominate</w:t>
            </w:r>
            <w:r>
              <w:rPr>
                <w:sz w:val="22"/>
                <w:szCs w:val="22"/>
              </w:rPr>
              <w:t>s the sector</w:t>
            </w:r>
            <w:r w:rsidRPr="00692942">
              <w:rPr>
                <w:sz w:val="22"/>
                <w:szCs w:val="22"/>
              </w:rPr>
              <w:t xml:space="preserve"> - 90% of generation; 100% of RTE (the TSO); 100% of ERDF (DSO, 95% of the market); 91% of retail. The remaining 5% of the distribution network are managed by local authorities (collectivités territoriales), who also own the entire network.</w:t>
            </w:r>
          </w:p>
        </w:tc>
        <w:tc>
          <w:tcPr>
            <w:tcW w:w="681" w:type="pct"/>
            <w:hideMark/>
          </w:tcPr>
          <w:p w14:paraId="4E85259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EDF</w:t>
            </w:r>
          </w:p>
        </w:tc>
        <w:tc>
          <w:tcPr>
            <w:tcW w:w="585" w:type="pct"/>
            <w:hideMark/>
          </w:tcPr>
          <w:p w14:paraId="65010C2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RTE</w:t>
            </w:r>
          </w:p>
        </w:tc>
        <w:tc>
          <w:tcPr>
            <w:tcW w:w="500" w:type="pct"/>
            <w:noWrap/>
            <w:hideMark/>
          </w:tcPr>
          <w:p w14:paraId="743CAB6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ERDF</w:t>
            </w:r>
          </w:p>
        </w:tc>
        <w:tc>
          <w:tcPr>
            <w:tcW w:w="492" w:type="pct"/>
            <w:noWrap/>
            <w:hideMark/>
          </w:tcPr>
          <w:p w14:paraId="568984A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EDF</w:t>
            </w:r>
          </w:p>
        </w:tc>
      </w:tr>
      <w:tr w:rsidR="00F901B9" w:rsidRPr="00692942" w14:paraId="52B251A1" w14:textId="77777777" w:rsidTr="00F901B9">
        <w:trPr>
          <w:trHeight w:val="2560"/>
        </w:trPr>
        <w:tc>
          <w:tcPr>
            <w:cnfStyle w:val="001000000000" w:firstRow="0" w:lastRow="0" w:firstColumn="1" w:lastColumn="0" w:oddVBand="0" w:evenVBand="0" w:oddHBand="0" w:evenHBand="0" w:firstRowFirstColumn="0" w:firstRowLastColumn="0" w:lastRowFirstColumn="0" w:lastRowLastColumn="0"/>
            <w:tcW w:w="706" w:type="pct"/>
            <w:noWrap/>
            <w:hideMark/>
          </w:tcPr>
          <w:p w14:paraId="3B422B86" w14:textId="77777777" w:rsidR="00F901B9" w:rsidRPr="00692942" w:rsidRDefault="00F901B9" w:rsidP="00F901B9">
            <w:pPr>
              <w:rPr>
                <w:sz w:val="22"/>
                <w:szCs w:val="22"/>
              </w:rPr>
            </w:pPr>
            <w:r w:rsidRPr="00692942">
              <w:rPr>
                <w:sz w:val="22"/>
                <w:szCs w:val="22"/>
              </w:rPr>
              <w:lastRenderedPageBreak/>
              <w:t>Greece</w:t>
            </w:r>
          </w:p>
        </w:tc>
        <w:tc>
          <w:tcPr>
            <w:tcW w:w="2036" w:type="pct"/>
            <w:hideMark/>
          </w:tcPr>
          <w:p w14:paraId="748C80A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electricity sector remains dominated by the state-controlled Public Power Corporation (PPC) and its subsidiaries, although legal reforms and new entrants in the electricity sector have gradually been weak</w:t>
            </w:r>
            <w:r>
              <w:rPr>
                <w:sz w:val="22"/>
                <w:szCs w:val="22"/>
              </w:rPr>
              <w:t>ening PPCs position. The PPC’</w:t>
            </w:r>
            <w:r w:rsidRPr="00692942">
              <w:rPr>
                <w:sz w:val="22"/>
                <w:szCs w:val="22"/>
              </w:rPr>
              <w:t xml:space="preserve">s </w:t>
            </w:r>
            <w:r>
              <w:rPr>
                <w:sz w:val="22"/>
                <w:szCs w:val="22"/>
              </w:rPr>
              <w:t>generation market share</w:t>
            </w:r>
            <w:r w:rsidRPr="00692942">
              <w:rPr>
                <w:sz w:val="22"/>
                <w:szCs w:val="22"/>
              </w:rPr>
              <w:t xml:space="preserve"> has</w:t>
            </w:r>
            <w:r>
              <w:rPr>
                <w:sz w:val="22"/>
                <w:szCs w:val="22"/>
              </w:rPr>
              <w:t xml:space="preserve"> declined from 98.6% in 2003 to 65</w:t>
            </w:r>
            <w:r w:rsidRPr="00692942">
              <w:rPr>
                <w:sz w:val="22"/>
                <w:szCs w:val="22"/>
              </w:rPr>
              <w:t xml:space="preserve">% in 2013 The company continues to control almost all electricity supply on the non-interconnected </w:t>
            </w:r>
            <w:r>
              <w:rPr>
                <w:sz w:val="22"/>
                <w:szCs w:val="22"/>
              </w:rPr>
              <w:t>islands. On the other hand, PPC’</w:t>
            </w:r>
            <w:r w:rsidRPr="00692942">
              <w:rPr>
                <w:sz w:val="22"/>
                <w:szCs w:val="22"/>
              </w:rPr>
              <w:t>s supply market share reached 92.3% in 2011 and for the next two years increased to above 98%. In the electricity transmission sector, the PPC owns all transmission lines and holds a 49% share of assets in the transmission system and wholesale market operator (HTSO) with the rest owned by the Greek state.</w:t>
            </w:r>
          </w:p>
        </w:tc>
        <w:tc>
          <w:tcPr>
            <w:tcW w:w="681" w:type="pct"/>
            <w:hideMark/>
          </w:tcPr>
          <w:p w14:paraId="4D2F8F3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PPC</w:t>
            </w:r>
          </w:p>
        </w:tc>
        <w:tc>
          <w:tcPr>
            <w:tcW w:w="585" w:type="pct"/>
            <w:hideMark/>
          </w:tcPr>
          <w:p w14:paraId="3496B642"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PPC</w:t>
            </w:r>
          </w:p>
        </w:tc>
        <w:tc>
          <w:tcPr>
            <w:tcW w:w="500" w:type="pct"/>
            <w:noWrap/>
            <w:hideMark/>
          </w:tcPr>
          <w:p w14:paraId="14DAC41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PPC</w:t>
            </w:r>
          </w:p>
        </w:tc>
        <w:tc>
          <w:tcPr>
            <w:tcW w:w="492" w:type="pct"/>
            <w:noWrap/>
            <w:hideMark/>
          </w:tcPr>
          <w:p w14:paraId="27A07B9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PPC</w:t>
            </w:r>
          </w:p>
        </w:tc>
      </w:tr>
      <w:tr w:rsidR="00F901B9" w:rsidRPr="00692942" w14:paraId="435ADF39" w14:textId="77777777" w:rsidTr="00F901B9">
        <w:trPr>
          <w:trHeight w:val="2880"/>
        </w:trPr>
        <w:tc>
          <w:tcPr>
            <w:cnfStyle w:val="001000000000" w:firstRow="0" w:lastRow="0" w:firstColumn="1" w:lastColumn="0" w:oddVBand="0" w:evenVBand="0" w:oddHBand="0" w:evenHBand="0" w:firstRowFirstColumn="0" w:firstRowLastColumn="0" w:lastRowFirstColumn="0" w:lastRowLastColumn="0"/>
            <w:tcW w:w="706" w:type="pct"/>
            <w:noWrap/>
            <w:hideMark/>
          </w:tcPr>
          <w:p w14:paraId="1DF27E68" w14:textId="77777777" w:rsidR="00F901B9" w:rsidRPr="00692942" w:rsidRDefault="00F901B9" w:rsidP="00F901B9">
            <w:pPr>
              <w:rPr>
                <w:sz w:val="22"/>
                <w:szCs w:val="22"/>
              </w:rPr>
            </w:pPr>
            <w:r w:rsidRPr="00692942">
              <w:rPr>
                <w:sz w:val="22"/>
                <w:szCs w:val="22"/>
              </w:rPr>
              <w:t>Italy</w:t>
            </w:r>
          </w:p>
        </w:tc>
        <w:tc>
          <w:tcPr>
            <w:tcW w:w="2036" w:type="pct"/>
            <w:hideMark/>
          </w:tcPr>
          <w:p w14:paraId="7AE82B5A"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major player, and formerly the holder of a total monopoly, in the electricity generation market, is Enel. Enel is controlled by the Italian government. Edison, ENI and E</w:t>
            </w:r>
            <w:r>
              <w:rPr>
                <w:sz w:val="22"/>
                <w:szCs w:val="22"/>
              </w:rPr>
              <w:t>.ON are also key market players</w:t>
            </w:r>
            <w:r w:rsidRPr="00692942">
              <w:rPr>
                <w:sz w:val="22"/>
                <w:szCs w:val="22"/>
              </w:rPr>
              <w:t>. Distribution activities are carried out by a few operators on the basis of government concessions. Enel Distribuzione is the main distribution network operator (DNO), with 86% of the distributed electricity volumes. Other DNOs, significant by market shares, are: A2A (3.9%), Acea Distribuzione (3.2%) and Aem Torino Distribuzione (1.4%). Enel is the primary supplier with about 37% of the overall sales of electricity. The other major suppliers by market share are: Edison group, with a market share of 8.2%, followed by Acea, with a share of 4.6%, and Eni, with a market share of almost 4.3%.</w:t>
            </w:r>
          </w:p>
        </w:tc>
        <w:tc>
          <w:tcPr>
            <w:tcW w:w="681" w:type="pct"/>
            <w:hideMark/>
          </w:tcPr>
          <w:p w14:paraId="37D41827"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Enel, Edison, ENI, E.ON</w:t>
            </w:r>
          </w:p>
        </w:tc>
        <w:tc>
          <w:tcPr>
            <w:tcW w:w="585" w:type="pct"/>
            <w:hideMark/>
          </w:tcPr>
          <w:p w14:paraId="5EAF5EC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Terna</w:t>
            </w:r>
          </w:p>
        </w:tc>
        <w:tc>
          <w:tcPr>
            <w:tcW w:w="500" w:type="pct"/>
            <w:noWrap/>
            <w:hideMark/>
          </w:tcPr>
          <w:p w14:paraId="08D373CD"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Enel Distribuzione, ACEA, A2A</w:t>
            </w:r>
          </w:p>
        </w:tc>
        <w:tc>
          <w:tcPr>
            <w:tcW w:w="492" w:type="pct"/>
            <w:noWrap/>
            <w:hideMark/>
          </w:tcPr>
          <w:p w14:paraId="330E36D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Enel, Edison, ACEA, Eni</w:t>
            </w:r>
          </w:p>
        </w:tc>
      </w:tr>
      <w:tr w:rsidR="00F901B9" w:rsidRPr="00692942" w14:paraId="0CE23ED5" w14:textId="77777777" w:rsidTr="00F901B9">
        <w:trPr>
          <w:trHeight w:val="2240"/>
        </w:trPr>
        <w:tc>
          <w:tcPr>
            <w:cnfStyle w:val="001000000000" w:firstRow="0" w:lastRow="0" w:firstColumn="1" w:lastColumn="0" w:oddVBand="0" w:evenVBand="0" w:oddHBand="0" w:evenHBand="0" w:firstRowFirstColumn="0" w:firstRowLastColumn="0" w:lastRowFirstColumn="0" w:lastRowLastColumn="0"/>
            <w:tcW w:w="706" w:type="pct"/>
            <w:noWrap/>
            <w:hideMark/>
          </w:tcPr>
          <w:p w14:paraId="103276FC" w14:textId="77777777" w:rsidR="00F901B9" w:rsidRPr="00692942" w:rsidRDefault="00F901B9" w:rsidP="00F901B9">
            <w:pPr>
              <w:rPr>
                <w:sz w:val="22"/>
                <w:szCs w:val="22"/>
              </w:rPr>
            </w:pPr>
            <w:r w:rsidRPr="00692942">
              <w:rPr>
                <w:sz w:val="22"/>
                <w:szCs w:val="22"/>
              </w:rPr>
              <w:lastRenderedPageBreak/>
              <w:t>Portugal</w:t>
            </w:r>
          </w:p>
        </w:tc>
        <w:tc>
          <w:tcPr>
            <w:tcW w:w="2036" w:type="pct"/>
            <w:hideMark/>
          </w:tcPr>
          <w:p w14:paraId="7B0B5CE3"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During the first quarter of 2012, the Portuguese energy sector saw the privatisation of a significant part of the transmission operator's share capital (Redes Energeticas Nacionais - REN) and of the incumbent's share capital (Energias de Portugal - EDP), a former vertically integrated company, which now develops, through its subsidiaries, generation, distribution and supply activities</w:t>
            </w:r>
            <w:r>
              <w:rPr>
                <w:sz w:val="22"/>
                <w:szCs w:val="22"/>
              </w:rPr>
              <w:t xml:space="preserve">. </w:t>
            </w:r>
            <w:r w:rsidRPr="00692942">
              <w:rPr>
                <w:sz w:val="22"/>
                <w:szCs w:val="22"/>
              </w:rPr>
              <w:t xml:space="preserve">Oman Oil Company S.A.O.C. and State Grid International Development Limited acquired 15% and 25%, respectively, of the share capital of REN. China Three Gorges International (Europe), SA, acquired 21.5% of the share capital of EDP. Electricity suppliers entail not only Portuguese companies (EDP Comercial and Galp Power) but also several Spanish companies (such as Endesa, Iberdrola, Uniãn Fenosa, EGL Energêa Iberia and Nexus Energêa). </w:t>
            </w:r>
          </w:p>
        </w:tc>
        <w:tc>
          <w:tcPr>
            <w:tcW w:w="681" w:type="pct"/>
            <w:hideMark/>
          </w:tcPr>
          <w:p w14:paraId="7DF76B45"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EDP; Galp</w:t>
            </w:r>
          </w:p>
        </w:tc>
        <w:tc>
          <w:tcPr>
            <w:tcW w:w="585" w:type="pct"/>
            <w:hideMark/>
          </w:tcPr>
          <w:p w14:paraId="17DB2B2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REN</w:t>
            </w:r>
          </w:p>
        </w:tc>
        <w:tc>
          <w:tcPr>
            <w:tcW w:w="500" w:type="pct"/>
            <w:hideMark/>
          </w:tcPr>
          <w:p w14:paraId="4E1459F4"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Private</w:t>
            </w:r>
          </w:p>
        </w:tc>
        <w:tc>
          <w:tcPr>
            <w:tcW w:w="492" w:type="pct"/>
            <w:hideMark/>
          </w:tcPr>
          <w:p w14:paraId="7DCBC21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EDP Comercial; Galp Power; Endesa; Iberdorla</w:t>
            </w:r>
          </w:p>
        </w:tc>
      </w:tr>
      <w:tr w:rsidR="00F901B9" w:rsidRPr="00692942" w14:paraId="79BA204A" w14:textId="77777777" w:rsidTr="00F901B9">
        <w:trPr>
          <w:trHeight w:val="2560"/>
        </w:trPr>
        <w:tc>
          <w:tcPr>
            <w:cnfStyle w:val="001000000000" w:firstRow="0" w:lastRow="0" w:firstColumn="1" w:lastColumn="0" w:oddVBand="0" w:evenVBand="0" w:oddHBand="0" w:evenHBand="0" w:firstRowFirstColumn="0" w:firstRowLastColumn="0" w:lastRowFirstColumn="0" w:lastRowLastColumn="0"/>
            <w:tcW w:w="706" w:type="pct"/>
            <w:noWrap/>
            <w:hideMark/>
          </w:tcPr>
          <w:p w14:paraId="5E912DB2" w14:textId="77777777" w:rsidR="00F901B9" w:rsidRPr="00692942" w:rsidRDefault="00F901B9" w:rsidP="00F901B9">
            <w:pPr>
              <w:rPr>
                <w:sz w:val="22"/>
                <w:szCs w:val="22"/>
              </w:rPr>
            </w:pPr>
            <w:r w:rsidRPr="00692942">
              <w:rPr>
                <w:sz w:val="22"/>
                <w:szCs w:val="22"/>
              </w:rPr>
              <w:t>Spain</w:t>
            </w:r>
          </w:p>
        </w:tc>
        <w:tc>
          <w:tcPr>
            <w:tcW w:w="2036" w:type="pct"/>
            <w:hideMark/>
          </w:tcPr>
          <w:p w14:paraId="0292E7F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Pr="00692942">
              <w:rPr>
                <w:sz w:val="22"/>
                <w:szCs w:val="22"/>
              </w:rPr>
              <w:t>hree-quarters of electricity is generated by just three companies: Iberdrola, Endesa (almost 100% owned by the Italian utility firm ENEL) and Union Fenosa (owned by Gas Natural). Iberdrola and Endesa alone account for the bulk of retail sales, though the market is fully contestable. REE (Red Electrica de Espana), in which the state holds a 20% stake, operates the high-voltage transmission grid and serves as the exclusive transmission system operator in co-ordination with the market operator; it owns almost the entire 400 kV grid and two-thirds of the 220 kV grid. Iberdrola, Endesa and Union Fenosa are the largest distributors, although there are more than 300 small local distributors.</w:t>
            </w:r>
          </w:p>
        </w:tc>
        <w:tc>
          <w:tcPr>
            <w:tcW w:w="681" w:type="pct"/>
            <w:hideMark/>
          </w:tcPr>
          <w:p w14:paraId="58D9FAEC"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Endesa (100% ENEL); Iberdrola; Union Fenosa</w:t>
            </w:r>
          </w:p>
        </w:tc>
        <w:tc>
          <w:tcPr>
            <w:tcW w:w="585" w:type="pct"/>
            <w:hideMark/>
          </w:tcPr>
          <w:p w14:paraId="3D7C03C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REE</w:t>
            </w:r>
          </w:p>
        </w:tc>
        <w:tc>
          <w:tcPr>
            <w:tcW w:w="500" w:type="pct"/>
            <w:hideMark/>
          </w:tcPr>
          <w:p w14:paraId="59AADF0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Private: Iberdrola, Endesa, Union Fenosa</w:t>
            </w:r>
          </w:p>
        </w:tc>
        <w:tc>
          <w:tcPr>
            <w:tcW w:w="492" w:type="pct"/>
            <w:hideMark/>
          </w:tcPr>
          <w:p w14:paraId="0B3B3703"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Iberdrola, Endesa</w:t>
            </w:r>
          </w:p>
        </w:tc>
      </w:tr>
      <w:tr w:rsidR="00F901B9" w:rsidRPr="00692942" w14:paraId="1B102BC2" w14:textId="77777777" w:rsidTr="00F901B9">
        <w:trPr>
          <w:trHeight w:val="2981"/>
        </w:trPr>
        <w:tc>
          <w:tcPr>
            <w:cnfStyle w:val="001000000000" w:firstRow="0" w:lastRow="0" w:firstColumn="1" w:lastColumn="0" w:oddVBand="0" w:evenVBand="0" w:oddHBand="0" w:evenHBand="0" w:firstRowFirstColumn="0" w:firstRowLastColumn="0" w:lastRowFirstColumn="0" w:lastRowLastColumn="0"/>
            <w:tcW w:w="706" w:type="pct"/>
            <w:noWrap/>
            <w:hideMark/>
          </w:tcPr>
          <w:p w14:paraId="7475AB8B" w14:textId="77777777" w:rsidR="00F901B9" w:rsidRPr="00692942" w:rsidRDefault="00F901B9" w:rsidP="00F901B9">
            <w:pPr>
              <w:rPr>
                <w:sz w:val="22"/>
                <w:szCs w:val="22"/>
              </w:rPr>
            </w:pPr>
            <w:r w:rsidRPr="00692942">
              <w:rPr>
                <w:sz w:val="22"/>
                <w:szCs w:val="22"/>
              </w:rPr>
              <w:lastRenderedPageBreak/>
              <w:t>Denmark</w:t>
            </w:r>
          </w:p>
        </w:tc>
        <w:tc>
          <w:tcPr>
            <w:tcW w:w="2036" w:type="pct"/>
            <w:hideMark/>
          </w:tcPr>
          <w:p w14:paraId="6142ECA7"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 xml:space="preserve">The generation sector remains highly concentrated as two companies, DONG and Vattenfall, share 70% of market's capacity. Both grids are managed by Energinet.dk, an independent public enterprise owned by the Danish State under the Ministry of Climate and Energy. DONG Energy covers a leading position holding a 21% of market </w:t>
            </w:r>
            <w:r>
              <w:rPr>
                <w:sz w:val="22"/>
                <w:szCs w:val="22"/>
              </w:rPr>
              <w:t>shares, followed by Energiden (</w:t>
            </w:r>
            <w:r w:rsidRPr="00692942">
              <w:rPr>
                <w:sz w:val="22"/>
                <w:szCs w:val="22"/>
              </w:rPr>
              <w:t xml:space="preserve">10% circa), Energi Fyn, SEAS-NVE and Natur-Energi. The largest DSO DONG Energy Distribution has more than a million customers which is more than 20 % of the Danish population while the smallest DSOs only have a couple of thousand customers. </w:t>
            </w:r>
          </w:p>
        </w:tc>
        <w:tc>
          <w:tcPr>
            <w:tcW w:w="681" w:type="pct"/>
            <w:hideMark/>
          </w:tcPr>
          <w:p w14:paraId="5F7DB7E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DONG; Vattenfall</w:t>
            </w:r>
          </w:p>
        </w:tc>
        <w:tc>
          <w:tcPr>
            <w:tcW w:w="585" w:type="pct"/>
            <w:hideMark/>
          </w:tcPr>
          <w:p w14:paraId="75060990"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Energinet.dk</w:t>
            </w:r>
          </w:p>
        </w:tc>
        <w:tc>
          <w:tcPr>
            <w:tcW w:w="500" w:type="pct"/>
            <w:noWrap/>
            <w:hideMark/>
          </w:tcPr>
          <w:p w14:paraId="03A9CCE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DONG Energy Distribution</w:t>
            </w:r>
          </w:p>
        </w:tc>
        <w:tc>
          <w:tcPr>
            <w:tcW w:w="492" w:type="pct"/>
            <w:noWrap/>
            <w:hideMark/>
          </w:tcPr>
          <w:p w14:paraId="2427846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DONG Energy</w:t>
            </w:r>
          </w:p>
        </w:tc>
      </w:tr>
      <w:tr w:rsidR="00F901B9" w:rsidRPr="00692942" w14:paraId="444AF043" w14:textId="77777777" w:rsidTr="00F901B9">
        <w:trPr>
          <w:trHeight w:val="2880"/>
        </w:trPr>
        <w:tc>
          <w:tcPr>
            <w:cnfStyle w:val="001000000000" w:firstRow="0" w:lastRow="0" w:firstColumn="1" w:lastColumn="0" w:oddVBand="0" w:evenVBand="0" w:oddHBand="0" w:evenHBand="0" w:firstRowFirstColumn="0" w:firstRowLastColumn="0" w:lastRowFirstColumn="0" w:lastRowLastColumn="0"/>
            <w:tcW w:w="706" w:type="pct"/>
            <w:noWrap/>
            <w:hideMark/>
          </w:tcPr>
          <w:p w14:paraId="566B6301" w14:textId="77777777" w:rsidR="00F901B9" w:rsidRPr="00692942" w:rsidRDefault="00F901B9" w:rsidP="00F901B9">
            <w:pPr>
              <w:rPr>
                <w:sz w:val="22"/>
                <w:szCs w:val="22"/>
              </w:rPr>
            </w:pPr>
            <w:r w:rsidRPr="00692942">
              <w:rPr>
                <w:sz w:val="22"/>
                <w:szCs w:val="22"/>
              </w:rPr>
              <w:t>Finland</w:t>
            </w:r>
          </w:p>
        </w:tc>
        <w:tc>
          <w:tcPr>
            <w:tcW w:w="2036" w:type="pct"/>
            <w:hideMark/>
          </w:tcPr>
          <w:p w14:paraId="70C1F9AC"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Finland's energy market is dominated by a few large state-owned companies, though municipal utilities also play a strong role in the local electricity and district-heating markets. The electricit</w:t>
            </w:r>
            <w:r>
              <w:rPr>
                <w:sz w:val="22"/>
                <w:szCs w:val="22"/>
              </w:rPr>
              <w:t>y market is dominated by Fortum, whose market share in Finland’</w:t>
            </w:r>
            <w:r w:rsidRPr="00692942">
              <w:rPr>
                <w:sz w:val="22"/>
                <w:szCs w:val="22"/>
              </w:rPr>
              <w:t xml:space="preserve">s electricity market is close to 27 percent. Fortum Oyj is a publicly listed energy company, in which the state holds 50.8% of shares. Pohjolan Voima Oy (PVO) is the second </w:t>
            </w:r>
            <w:r>
              <w:rPr>
                <w:sz w:val="22"/>
                <w:szCs w:val="22"/>
              </w:rPr>
              <w:t xml:space="preserve">biggest Finnish energy company. </w:t>
            </w:r>
            <w:r w:rsidRPr="00692942">
              <w:rPr>
                <w:sz w:val="22"/>
                <w:szCs w:val="22"/>
              </w:rPr>
              <w:t xml:space="preserve">The Finnish transmission grid is owned by Fingrid, another state-owned company. Distribution companies are owned by municipalities or private companies. The DSOs with largest market share are Fortum with a market share of 19 % and Vattenfall with a market share of 12 %. </w:t>
            </w:r>
          </w:p>
        </w:tc>
        <w:tc>
          <w:tcPr>
            <w:tcW w:w="681" w:type="pct"/>
            <w:hideMark/>
          </w:tcPr>
          <w:p w14:paraId="5C94334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Fortum; PVO</w:t>
            </w:r>
          </w:p>
        </w:tc>
        <w:tc>
          <w:tcPr>
            <w:tcW w:w="585" w:type="pct"/>
            <w:hideMark/>
          </w:tcPr>
          <w:p w14:paraId="3C80AF2B"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Fingrid</w:t>
            </w:r>
          </w:p>
        </w:tc>
        <w:tc>
          <w:tcPr>
            <w:tcW w:w="500" w:type="pct"/>
            <w:noWrap/>
            <w:hideMark/>
          </w:tcPr>
          <w:p w14:paraId="2FCCE62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Fortum; Vattenfall; municipalities</w:t>
            </w:r>
          </w:p>
        </w:tc>
        <w:tc>
          <w:tcPr>
            <w:tcW w:w="492" w:type="pct"/>
            <w:noWrap/>
            <w:hideMark/>
          </w:tcPr>
          <w:p w14:paraId="62A73937"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Fortum</w:t>
            </w:r>
          </w:p>
        </w:tc>
      </w:tr>
      <w:tr w:rsidR="00F901B9" w:rsidRPr="00692942" w14:paraId="44412922" w14:textId="77777777" w:rsidTr="00F901B9">
        <w:trPr>
          <w:trHeight w:val="2240"/>
        </w:trPr>
        <w:tc>
          <w:tcPr>
            <w:cnfStyle w:val="001000000000" w:firstRow="0" w:lastRow="0" w:firstColumn="1" w:lastColumn="0" w:oddVBand="0" w:evenVBand="0" w:oddHBand="0" w:evenHBand="0" w:firstRowFirstColumn="0" w:firstRowLastColumn="0" w:lastRowFirstColumn="0" w:lastRowLastColumn="0"/>
            <w:tcW w:w="706" w:type="pct"/>
            <w:noWrap/>
            <w:hideMark/>
          </w:tcPr>
          <w:p w14:paraId="09F008CB" w14:textId="77777777" w:rsidR="00F901B9" w:rsidRPr="00692942" w:rsidRDefault="00F901B9" w:rsidP="00F901B9">
            <w:pPr>
              <w:rPr>
                <w:sz w:val="22"/>
                <w:szCs w:val="22"/>
              </w:rPr>
            </w:pPr>
            <w:r w:rsidRPr="00692942">
              <w:rPr>
                <w:sz w:val="22"/>
                <w:szCs w:val="22"/>
              </w:rPr>
              <w:t>Norway</w:t>
            </w:r>
          </w:p>
        </w:tc>
        <w:tc>
          <w:tcPr>
            <w:tcW w:w="2036" w:type="pct"/>
            <w:hideMark/>
          </w:tcPr>
          <w:p w14:paraId="588E0E0A"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 xml:space="preserve">The Norwegian power sector comprises a large number of mostly publicly owned participants. Around 90% of generating capacity is in public ownership, with local municipalities and county authorities alone owning just over half. The state-owned utility, Statkraft, is the largest generator. There are more than 160 small distribution system operators (DSOs) in Norway, most of them publicly owned. The dominant supplier within a network area is most often a vertically integrated supplier or a supplier within the same corporation as the DSO. </w:t>
            </w:r>
          </w:p>
        </w:tc>
        <w:tc>
          <w:tcPr>
            <w:tcW w:w="681" w:type="pct"/>
            <w:hideMark/>
          </w:tcPr>
          <w:p w14:paraId="5CBD7B9C"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Statkraft</w:t>
            </w:r>
          </w:p>
        </w:tc>
        <w:tc>
          <w:tcPr>
            <w:tcW w:w="585" w:type="pct"/>
            <w:hideMark/>
          </w:tcPr>
          <w:p w14:paraId="6C3BF1AD"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Statnett</w:t>
            </w:r>
          </w:p>
        </w:tc>
        <w:tc>
          <w:tcPr>
            <w:tcW w:w="500" w:type="pct"/>
            <w:noWrap/>
            <w:hideMark/>
          </w:tcPr>
          <w:p w14:paraId="52B36A2A"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regional and local companies</w:t>
            </w:r>
          </w:p>
        </w:tc>
        <w:tc>
          <w:tcPr>
            <w:tcW w:w="492" w:type="pct"/>
            <w:hideMark/>
          </w:tcPr>
          <w:p w14:paraId="47FCB1E3"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regional and local companies</w:t>
            </w:r>
          </w:p>
        </w:tc>
      </w:tr>
      <w:tr w:rsidR="00F901B9" w:rsidRPr="00692942" w14:paraId="33DF3609" w14:textId="77777777" w:rsidTr="00F901B9">
        <w:trPr>
          <w:trHeight w:val="3456"/>
        </w:trPr>
        <w:tc>
          <w:tcPr>
            <w:cnfStyle w:val="001000000000" w:firstRow="0" w:lastRow="0" w:firstColumn="1" w:lastColumn="0" w:oddVBand="0" w:evenVBand="0" w:oddHBand="0" w:evenHBand="0" w:firstRowFirstColumn="0" w:firstRowLastColumn="0" w:lastRowFirstColumn="0" w:lastRowLastColumn="0"/>
            <w:tcW w:w="706" w:type="pct"/>
            <w:noWrap/>
            <w:hideMark/>
          </w:tcPr>
          <w:p w14:paraId="12D3C4C3" w14:textId="77777777" w:rsidR="00F901B9" w:rsidRPr="00692942" w:rsidRDefault="00F901B9" w:rsidP="00F901B9">
            <w:pPr>
              <w:rPr>
                <w:sz w:val="22"/>
                <w:szCs w:val="22"/>
              </w:rPr>
            </w:pPr>
            <w:r w:rsidRPr="00692942">
              <w:rPr>
                <w:sz w:val="22"/>
                <w:szCs w:val="22"/>
              </w:rPr>
              <w:lastRenderedPageBreak/>
              <w:t>Sweden</w:t>
            </w:r>
          </w:p>
        </w:tc>
        <w:tc>
          <w:tcPr>
            <w:tcW w:w="2036" w:type="pct"/>
            <w:hideMark/>
          </w:tcPr>
          <w:p w14:paraId="61302449"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The only major energy company owned by the Swedish state is Vattenfall, which is one of several major players in</w:t>
            </w:r>
            <w:r>
              <w:rPr>
                <w:sz w:val="22"/>
                <w:szCs w:val="22"/>
              </w:rPr>
              <w:t xml:space="preserve"> the Swedish electricity market</w:t>
            </w:r>
            <w:r w:rsidRPr="00692942">
              <w:rPr>
                <w:sz w:val="22"/>
                <w:szCs w:val="22"/>
              </w:rPr>
              <w:t>. Most of the small local electricity distribution companies and four gas distributors are owned by municipalities. Three companies - Vattenfall, Fortum (majority-owned by the Finnish government), and E.ON Sverige  - generate the bulk of power in Sweden, own most of the distribution assets and account for around half of retail sales. The E.ON and Vattenfall groups have several DSO areas. The market share for the three dominant companies is 51,4 % (E.ON 19,0 %, Fortum and Vattenfall 16,2 % each). The state owned utility Svenska Kraftnät is the Transmission System Operator (TSO) for the electricity market.</w:t>
            </w:r>
          </w:p>
        </w:tc>
        <w:tc>
          <w:tcPr>
            <w:tcW w:w="681" w:type="pct"/>
            <w:hideMark/>
          </w:tcPr>
          <w:p w14:paraId="0EECEE3F"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Vattenfall; Fortum; E.ON Sverige</w:t>
            </w:r>
          </w:p>
        </w:tc>
        <w:tc>
          <w:tcPr>
            <w:tcW w:w="585" w:type="pct"/>
            <w:hideMark/>
          </w:tcPr>
          <w:p w14:paraId="327CA5AE"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Svenska Kraftnät</w:t>
            </w:r>
          </w:p>
        </w:tc>
        <w:tc>
          <w:tcPr>
            <w:tcW w:w="500" w:type="pct"/>
            <w:hideMark/>
          </w:tcPr>
          <w:p w14:paraId="72ECBFED"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Municipalities; Vattenfall; Fortum; E.ON Sverige</w:t>
            </w:r>
          </w:p>
        </w:tc>
        <w:tc>
          <w:tcPr>
            <w:tcW w:w="492" w:type="pct"/>
            <w:hideMark/>
          </w:tcPr>
          <w:p w14:paraId="7F8BDE61" w14:textId="77777777" w:rsidR="00F901B9" w:rsidRPr="00692942" w:rsidRDefault="00F901B9" w:rsidP="00F901B9">
            <w:pPr>
              <w:cnfStyle w:val="000000000000" w:firstRow="0" w:lastRow="0" w:firstColumn="0" w:lastColumn="0" w:oddVBand="0" w:evenVBand="0" w:oddHBand="0" w:evenHBand="0" w:firstRowFirstColumn="0" w:firstRowLastColumn="0" w:lastRowFirstColumn="0" w:lastRowLastColumn="0"/>
              <w:rPr>
                <w:sz w:val="22"/>
                <w:szCs w:val="22"/>
              </w:rPr>
            </w:pPr>
            <w:r w:rsidRPr="00692942">
              <w:rPr>
                <w:sz w:val="22"/>
                <w:szCs w:val="22"/>
              </w:rPr>
              <w:t>Vattenfall; Fortum; E.ON Sverige</w:t>
            </w:r>
          </w:p>
        </w:tc>
      </w:tr>
      <w:tr w:rsidR="00F901B9" w:rsidRPr="00692942" w14:paraId="589D7FD8" w14:textId="77777777" w:rsidTr="00F901B9">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6"/>
            <w:noWrap/>
          </w:tcPr>
          <w:p w14:paraId="1528C86B" w14:textId="77777777" w:rsidR="00F901B9" w:rsidRPr="00F978FA" w:rsidRDefault="00F901B9" w:rsidP="00F901B9">
            <w:pPr>
              <w:rPr>
                <w:b w:val="0"/>
                <w:i/>
                <w:sz w:val="22"/>
                <w:szCs w:val="22"/>
              </w:rPr>
            </w:pPr>
            <w:r w:rsidRPr="00F978FA">
              <w:rPr>
                <w:b w:val="0"/>
                <w:i/>
              </w:rPr>
              <w:t>Compiled by the author from various sources, primarily OECD Factsheets (2015) and CMS Law e-guides (data from 2013/2014)</w:t>
            </w:r>
          </w:p>
        </w:tc>
      </w:tr>
    </w:tbl>
    <w:p w14:paraId="2D3E6C8B" w14:textId="77777777" w:rsidR="00F901B9" w:rsidRDefault="00F901B9" w:rsidP="00F901B9">
      <w:pPr>
        <w:spacing w:before="100" w:beforeAutospacing="1" w:after="100" w:afterAutospacing="1" w:line="480" w:lineRule="auto"/>
        <w:sectPr w:rsidR="00F901B9" w:rsidSect="00F901B9">
          <w:pgSz w:w="16838" w:h="11906" w:orient="landscape"/>
          <w:pgMar w:top="1440" w:right="1440" w:bottom="1440" w:left="1440" w:header="708" w:footer="708" w:gutter="0"/>
          <w:cols w:space="708"/>
          <w:docGrid w:linePitch="360"/>
        </w:sectPr>
      </w:pPr>
    </w:p>
    <w:p w14:paraId="4ED6D9A0" w14:textId="556A605A" w:rsidR="00F901B9" w:rsidRDefault="00F901B9" w:rsidP="00F901B9">
      <w:pPr>
        <w:pStyle w:val="Caption"/>
        <w:keepNext/>
      </w:pPr>
      <w:r>
        <w:lastRenderedPageBreak/>
        <w:t xml:space="preserve">Table </w:t>
      </w:r>
      <w:r w:rsidR="00AF1ADC">
        <w:t>5</w:t>
      </w:r>
      <w:r>
        <w:t xml:space="preserve"> - Government ownership across different segments of electricity sector</w:t>
      </w:r>
    </w:p>
    <w:tbl>
      <w:tblPr>
        <w:tblStyle w:val="GridTable1Light"/>
        <w:tblW w:w="5000" w:type="pct"/>
        <w:tblLook w:val="04A0" w:firstRow="1" w:lastRow="0" w:firstColumn="1" w:lastColumn="0" w:noHBand="0" w:noVBand="1"/>
      </w:tblPr>
      <w:tblGrid>
        <w:gridCol w:w="1730"/>
        <w:gridCol w:w="1927"/>
        <w:gridCol w:w="1905"/>
        <w:gridCol w:w="1677"/>
        <w:gridCol w:w="1777"/>
      </w:tblGrid>
      <w:tr w:rsidR="00F901B9" w:rsidRPr="0028355E" w14:paraId="14DB2211" w14:textId="77777777" w:rsidTr="00F901B9">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958" w:type="pct"/>
            <w:noWrap/>
            <w:hideMark/>
          </w:tcPr>
          <w:p w14:paraId="2367B3C1" w14:textId="77777777" w:rsidR="00F901B9" w:rsidRPr="0028355E" w:rsidRDefault="00F901B9" w:rsidP="00F901B9">
            <w:pPr>
              <w:rPr>
                <w:rFonts w:ascii="Calibri" w:eastAsia="Times New Roman" w:hAnsi="Calibri" w:cs="Times New Roman"/>
                <w:color w:val="000000"/>
                <w:sz w:val="28"/>
                <w:szCs w:val="28"/>
                <w:lang w:eastAsia="en-GB"/>
              </w:rPr>
            </w:pPr>
            <w:r w:rsidRPr="0028355E">
              <w:rPr>
                <w:rFonts w:ascii="Calibri" w:eastAsia="Times New Roman" w:hAnsi="Calibri" w:cs="Times New Roman"/>
                <w:color w:val="000000"/>
                <w:sz w:val="28"/>
                <w:szCs w:val="28"/>
                <w:lang w:eastAsia="en-GB"/>
              </w:rPr>
              <w:t>Country</w:t>
            </w:r>
          </w:p>
        </w:tc>
        <w:tc>
          <w:tcPr>
            <w:tcW w:w="4042" w:type="pct"/>
            <w:gridSpan w:val="4"/>
            <w:noWrap/>
            <w:hideMark/>
          </w:tcPr>
          <w:p w14:paraId="5C67CAC7" w14:textId="77777777" w:rsidR="00F901B9" w:rsidRPr="0028355E" w:rsidRDefault="00F901B9" w:rsidP="00F901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Percentage of government o</w:t>
            </w:r>
            <w:r w:rsidRPr="0028355E">
              <w:rPr>
                <w:rFonts w:ascii="Calibri" w:eastAsia="Times New Roman" w:hAnsi="Calibri" w:cs="Times New Roman"/>
                <w:color w:val="000000"/>
                <w:sz w:val="28"/>
                <w:szCs w:val="28"/>
                <w:lang w:eastAsia="en-GB"/>
              </w:rPr>
              <w:t xml:space="preserve">wnership of </w:t>
            </w:r>
            <w:r>
              <w:rPr>
                <w:rFonts w:ascii="Calibri" w:eastAsia="Times New Roman" w:hAnsi="Calibri" w:cs="Times New Roman"/>
                <w:color w:val="000000"/>
                <w:sz w:val="28"/>
                <w:szCs w:val="28"/>
                <w:lang w:eastAsia="en-GB"/>
              </w:rPr>
              <w:t xml:space="preserve">the </w:t>
            </w:r>
            <w:r w:rsidRPr="0028355E">
              <w:rPr>
                <w:rFonts w:ascii="Calibri" w:eastAsia="Times New Roman" w:hAnsi="Calibri" w:cs="Times New Roman"/>
                <w:color w:val="000000"/>
                <w:sz w:val="28"/>
                <w:szCs w:val="28"/>
                <w:lang w:eastAsia="en-GB"/>
              </w:rPr>
              <w:t>largest company active in</w:t>
            </w:r>
            <w:r>
              <w:rPr>
                <w:rFonts w:ascii="Calibri" w:eastAsia="Times New Roman" w:hAnsi="Calibri" w:cs="Times New Roman"/>
                <w:color w:val="000000"/>
                <w:sz w:val="28"/>
                <w:szCs w:val="28"/>
                <w:lang w:eastAsia="en-GB"/>
              </w:rPr>
              <w:t xml:space="preserve"> electricity</w:t>
            </w:r>
            <w:r w:rsidRPr="0028355E">
              <w:rPr>
                <w:rFonts w:ascii="Calibri" w:eastAsia="Times New Roman" w:hAnsi="Calibri" w:cs="Times New Roman"/>
                <w:color w:val="000000"/>
                <w:sz w:val="28"/>
                <w:szCs w:val="28"/>
                <w:lang w:eastAsia="en-GB"/>
              </w:rPr>
              <w:t>…</w:t>
            </w:r>
          </w:p>
        </w:tc>
      </w:tr>
      <w:tr w:rsidR="00F901B9" w:rsidRPr="0028355E" w14:paraId="03ECB2A8" w14:textId="77777777" w:rsidTr="00F901B9">
        <w:trPr>
          <w:trHeight w:val="640"/>
        </w:trPr>
        <w:tc>
          <w:tcPr>
            <w:cnfStyle w:val="001000000000" w:firstRow="0" w:lastRow="0" w:firstColumn="1" w:lastColumn="0" w:oddVBand="0" w:evenVBand="0" w:oddHBand="0" w:evenHBand="0" w:firstRowFirstColumn="0" w:firstRowLastColumn="0" w:lastRowFirstColumn="0" w:lastRowLastColumn="0"/>
            <w:tcW w:w="958" w:type="pct"/>
            <w:noWrap/>
            <w:hideMark/>
          </w:tcPr>
          <w:p w14:paraId="35B69DA0" w14:textId="77777777" w:rsidR="00F901B9" w:rsidRPr="0028355E" w:rsidRDefault="00F901B9" w:rsidP="00F901B9">
            <w:pPr>
              <w:jc w:val="center"/>
              <w:rPr>
                <w:rFonts w:ascii="Calibri" w:eastAsia="Times New Roman" w:hAnsi="Calibri" w:cs="Times New Roman"/>
                <w:color w:val="000000"/>
                <w:sz w:val="28"/>
                <w:szCs w:val="28"/>
                <w:lang w:eastAsia="en-GB"/>
              </w:rPr>
            </w:pPr>
          </w:p>
        </w:tc>
        <w:tc>
          <w:tcPr>
            <w:tcW w:w="1071" w:type="pct"/>
            <w:noWrap/>
            <w:hideMark/>
          </w:tcPr>
          <w:p w14:paraId="39C9C67C" w14:textId="77777777" w:rsidR="00F901B9" w:rsidRPr="0028355E" w:rsidRDefault="00F901B9" w:rsidP="00F90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28355E">
              <w:rPr>
                <w:rFonts w:ascii="Calibri" w:eastAsia="Times New Roman" w:hAnsi="Calibri" w:cs="Times New Roman"/>
                <w:b/>
                <w:bCs/>
                <w:color w:val="000000"/>
                <w:lang w:eastAsia="en-GB"/>
              </w:rPr>
              <w:t>Generation</w:t>
            </w:r>
          </w:p>
        </w:tc>
        <w:tc>
          <w:tcPr>
            <w:tcW w:w="1059" w:type="pct"/>
            <w:noWrap/>
            <w:hideMark/>
          </w:tcPr>
          <w:p w14:paraId="0CD06834" w14:textId="77777777" w:rsidR="00F901B9" w:rsidRPr="0028355E" w:rsidRDefault="00F901B9" w:rsidP="00F90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28355E">
              <w:rPr>
                <w:rFonts w:ascii="Calibri" w:eastAsia="Times New Roman" w:hAnsi="Calibri" w:cs="Times New Roman"/>
                <w:b/>
                <w:bCs/>
                <w:color w:val="000000"/>
                <w:lang w:eastAsia="en-GB"/>
              </w:rPr>
              <w:t>Transmission</w:t>
            </w:r>
          </w:p>
        </w:tc>
        <w:tc>
          <w:tcPr>
            <w:tcW w:w="927" w:type="pct"/>
            <w:noWrap/>
            <w:hideMark/>
          </w:tcPr>
          <w:p w14:paraId="323A4E9C" w14:textId="77777777" w:rsidR="00F901B9" w:rsidRPr="0028355E" w:rsidRDefault="00F901B9" w:rsidP="00F90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28355E">
              <w:rPr>
                <w:rFonts w:ascii="Calibri" w:eastAsia="Times New Roman" w:hAnsi="Calibri" w:cs="Times New Roman"/>
                <w:b/>
                <w:bCs/>
                <w:color w:val="000000"/>
                <w:lang w:eastAsia="en-GB"/>
              </w:rPr>
              <w:t>Distribution</w:t>
            </w:r>
          </w:p>
        </w:tc>
        <w:tc>
          <w:tcPr>
            <w:tcW w:w="984" w:type="pct"/>
            <w:noWrap/>
            <w:hideMark/>
          </w:tcPr>
          <w:p w14:paraId="01E68799" w14:textId="77777777" w:rsidR="00F901B9" w:rsidRPr="0028355E" w:rsidRDefault="00F901B9" w:rsidP="00F90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28355E">
              <w:rPr>
                <w:rFonts w:ascii="Calibri" w:eastAsia="Times New Roman" w:hAnsi="Calibri" w:cs="Times New Roman"/>
                <w:b/>
                <w:bCs/>
                <w:color w:val="000000"/>
                <w:lang w:eastAsia="en-GB"/>
              </w:rPr>
              <w:t>Retail</w:t>
            </w:r>
          </w:p>
        </w:tc>
      </w:tr>
      <w:tr w:rsidR="00F901B9" w:rsidRPr="0028355E" w14:paraId="2BFD93D2" w14:textId="77777777" w:rsidTr="00F901B9">
        <w:trPr>
          <w:trHeight w:val="325"/>
        </w:trPr>
        <w:tc>
          <w:tcPr>
            <w:cnfStyle w:val="001000000000" w:firstRow="0" w:lastRow="0" w:firstColumn="1" w:lastColumn="0" w:oddVBand="0" w:evenVBand="0" w:oddHBand="0" w:evenHBand="0" w:firstRowFirstColumn="0" w:firstRowLastColumn="0" w:lastRowFirstColumn="0" w:lastRowLastColumn="0"/>
            <w:tcW w:w="958" w:type="pct"/>
            <w:noWrap/>
            <w:hideMark/>
          </w:tcPr>
          <w:p w14:paraId="2A8E81BF"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Austria</w:t>
            </w:r>
          </w:p>
        </w:tc>
        <w:tc>
          <w:tcPr>
            <w:tcW w:w="1071" w:type="pct"/>
            <w:noWrap/>
            <w:hideMark/>
          </w:tcPr>
          <w:p w14:paraId="3814350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c>
          <w:tcPr>
            <w:tcW w:w="1059" w:type="pct"/>
            <w:noWrap/>
            <w:hideMark/>
          </w:tcPr>
          <w:p w14:paraId="7A42FE0E"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c>
          <w:tcPr>
            <w:tcW w:w="927" w:type="pct"/>
            <w:noWrap/>
            <w:hideMark/>
          </w:tcPr>
          <w:p w14:paraId="7719638E"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c>
          <w:tcPr>
            <w:tcW w:w="984" w:type="pct"/>
            <w:noWrap/>
            <w:hideMark/>
          </w:tcPr>
          <w:p w14:paraId="240D442F"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r>
      <w:tr w:rsidR="00F901B9" w:rsidRPr="0028355E" w14:paraId="3BE6EC77" w14:textId="77777777" w:rsidTr="00F901B9">
        <w:trPr>
          <w:trHeight w:val="283"/>
        </w:trPr>
        <w:tc>
          <w:tcPr>
            <w:cnfStyle w:val="001000000000" w:firstRow="0" w:lastRow="0" w:firstColumn="1" w:lastColumn="0" w:oddVBand="0" w:evenVBand="0" w:oddHBand="0" w:evenHBand="0" w:firstRowFirstColumn="0" w:firstRowLastColumn="0" w:lastRowFirstColumn="0" w:lastRowLastColumn="0"/>
            <w:tcW w:w="958" w:type="pct"/>
            <w:noWrap/>
            <w:hideMark/>
          </w:tcPr>
          <w:p w14:paraId="3A1CA379"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Belgium</w:t>
            </w:r>
          </w:p>
        </w:tc>
        <w:tc>
          <w:tcPr>
            <w:tcW w:w="1071" w:type="pct"/>
            <w:noWrap/>
            <w:hideMark/>
          </w:tcPr>
          <w:p w14:paraId="77B83E0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1059" w:type="pct"/>
            <w:noWrap/>
            <w:hideMark/>
          </w:tcPr>
          <w:p w14:paraId="7230BA61"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45.4</w:t>
            </w:r>
          </w:p>
        </w:tc>
        <w:tc>
          <w:tcPr>
            <w:tcW w:w="927" w:type="pct"/>
            <w:noWrap/>
            <w:hideMark/>
          </w:tcPr>
          <w:p w14:paraId="526B16A5"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79</w:t>
            </w:r>
          </w:p>
        </w:tc>
        <w:tc>
          <w:tcPr>
            <w:tcW w:w="984" w:type="pct"/>
            <w:noWrap/>
            <w:hideMark/>
          </w:tcPr>
          <w:p w14:paraId="7150981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r>
      <w:tr w:rsidR="00F901B9" w:rsidRPr="0028355E" w14:paraId="207A1E2B" w14:textId="77777777" w:rsidTr="00F901B9">
        <w:trPr>
          <w:trHeight w:val="227"/>
        </w:trPr>
        <w:tc>
          <w:tcPr>
            <w:cnfStyle w:val="001000000000" w:firstRow="0" w:lastRow="0" w:firstColumn="1" w:lastColumn="0" w:oddVBand="0" w:evenVBand="0" w:oddHBand="0" w:evenHBand="0" w:firstRowFirstColumn="0" w:firstRowLastColumn="0" w:lastRowFirstColumn="0" w:lastRowLastColumn="0"/>
            <w:tcW w:w="958" w:type="pct"/>
            <w:noWrap/>
            <w:hideMark/>
          </w:tcPr>
          <w:p w14:paraId="250A69DF"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Germany</w:t>
            </w:r>
          </w:p>
        </w:tc>
        <w:tc>
          <w:tcPr>
            <w:tcW w:w="1071" w:type="pct"/>
            <w:noWrap/>
            <w:hideMark/>
          </w:tcPr>
          <w:p w14:paraId="1B8C654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1059" w:type="pct"/>
            <w:noWrap/>
            <w:hideMark/>
          </w:tcPr>
          <w:p w14:paraId="741649C1"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27" w:type="pct"/>
            <w:noWrap/>
            <w:hideMark/>
          </w:tcPr>
          <w:p w14:paraId="16185FB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84" w:type="pct"/>
            <w:noWrap/>
            <w:hideMark/>
          </w:tcPr>
          <w:p w14:paraId="401C807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r>
      <w:tr w:rsidR="00F901B9" w:rsidRPr="0028355E" w14:paraId="49E86DE0" w14:textId="77777777" w:rsidTr="00F901B9">
        <w:trPr>
          <w:trHeight w:val="339"/>
        </w:trPr>
        <w:tc>
          <w:tcPr>
            <w:cnfStyle w:val="001000000000" w:firstRow="0" w:lastRow="0" w:firstColumn="1" w:lastColumn="0" w:oddVBand="0" w:evenVBand="0" w:oddHBand="0" w:evenHBand="0" w:firstRowFirstColumn="0" w:firstRowLastColumn="0" w:lastRowFirstColumn="0" w:lastRowLastColumn="0"/>
            <w:tcW w:w="958" w:type="pct"/>
            <w:noWrap/>
            <w:hideMark/>
          </w:tcPr>
          <w:p w14:paraId="07E41A89"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Luxembourg</w:t>
            </w:r>
          </w:p>
        </w:tc>
        <w:tc>
          <w:tcPr>
            <w:tcW w:w="1071" w:type="pct"/>
            <w:noWrap/>
            <w:hideMark/>
          </w:tcPr>
          <w:p w14:paraId="54DAB51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7.5</w:t>
            </w:r>
          </w:p>
        </w:tc>
        <w:tc>
          <w:tcPr>
            <w:tcW w:w="1059" w:type="pct"/>
            <w:noWrap/>
            <w:hideMark/>
          </w:tcPr>
          <w:p w14:paraId="6562EDFA"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57.3</w:t>
            </w:r>
          </w:p>
        </w:tc>
        <w:tc>
          <w:tcPr>
            <w:tcW w:w="927" w:type="pct"/>
            <w:noWrap/>
            <w:hideMark/>
          </w:tcPr>
          <w:p w14:paraId="1F5084D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57.3</w:t>
            </w:r>
          </w:p>
        </w:tc>
        <w:tc>
          <w:tcPr>
            <w:tcW w:w="984" w:type="pct"/>
            <w:noWrap/>
            <w:hideMark/>
          </w:tcPr>
          <w:p w14:paraId="6F05BB1E"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25.4</w:t>
            </w:r>
          </w:p>
        </w:tc>
      </w:tr>
      <w:tr w:rsidR="00F901B9" w:rsidRPr="0028355E" w14:paraId="3DD748BA" w14:textId="77777777" w:rsidTr="00F901B9">
        <w:trPr>
          <w:trHeight w:val="311"/>
        </w:trPr>
        <w:tc>
          <w:tcPr>
            <w:cnfStyle w:val="001000000000" w:firstRow="0" w:lastRow="0" w:firstColumn="1" w:lastColumn="0" w:oddVBand="0" w:evenVBand="0" w:oddHBand="0" w:evenHBand="0" w:firstRowFirstColumn="0" w:firstRowLastColumn="0" w:lastRowFirstColumn="0" w:lastRowLastColumn="0"/>
            <w:tcW w:w="958" w:type="pct"/>
            <w:noWrap/>
            <w:hideMark/>
          </w:tcPr>
          <w:p w14:paraId="74CC0D81"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Netherlands</w:t>
            </w:r>
          </w:p>
        </w:tc>
        <w:tc>
          <w:tcPr>
            <w:tcW w:w="1071" w:type="pct"/>
            <w:noWrap/>
            <w:hideMark/>
          </w:tcPr>
          <w:p w14:paraId="532EF39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1059" w:type="pct"/>
            <w:noWrap/>
            <w:hideMark/>
          </w:tcPr>
          <w:p w14:paraId="4B44C1A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27C5E18F"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84" w:type="pct"/>
            <w:noWrap/>
            <w:hideMark/>
          </w:tcPr>
          <w:p w14:paraId="6D6B062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33</w:t>
            </w:r>
          </w:p>
        </w:tc>
      </w:tr>
      <w:tr w:rsidR="00F901B9" w:rsidRPr="0028355E" w14:paraId="604C1097" w14:textId="77777777" w:rsidTr="00F901B9">
        <w:trPr>
          <w:trHeight w:val="255"/>
        </w:trPr>
        <w:tc>
          <w:tcPr>
            <w:cnfStyle w:val="001000000000" w:firstRow="0" w:lastRow="0" w:firstColumn="1" w:lastColumn="0" w:oddVBand="0" w:evenVBand="0" w:oddHBand="0" w:evenHBand="0" w:firstRowFirstColumn="0" w:firstRowLastColumn="0" w:lastRowFirstColumn="0" w:lastRowLastColumn="0"/>
            <w:tcW w:w="958" w:type="pct"/>
            <w:noWrap/>
            <w:hideMark/>
          </w:tcPr>
          <w:p w14:paraId="070DE383"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Bulgaria</w:t>
            </w:r>
          </w:p>
        </w:tc>
        <w:tc>
          <w:tcPr>
            <w:tcW w:w="1071" w:type="pct"/>
            <w:noWrap/>
            <w:hideMark/>
          </w:tcPr>
          <w:p w14:paraId="3ADDC73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60</w:t>
            </w:r>
          </w:p>
        </w:tc>
        <w:tc>
          <w:tcPr>
            <w:tcW w:w="1059" w:type="pct"/>
            <w:noWrap/>
            <w:hideMark/>
          </w:tcPr>
          <w:p w14:paraId="692FA240"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63707054"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84" w:type="pct"/>
            <w:noWrap/>
            <w:hideMark/>
          </w:tcPr>
          <w:p w14:paraId="6B9222C0"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r>
      <w:tr w:rsidR="00F901B9" w:rsidRPr="0028355E" w14:paraId="6671771D" w14:textId="77777777" w:rsidTr="00F901B9">
        <w:trPr>
          <w:trHeight w:val="283"/>
        </w:trPr>
        <w:tc>
          <w:tcPr>
            <w:cnfStyle w:val="001000000000" w:firstRow="0" w:lastRow="0" w:firstColumn="1" w:lastColumn="0" w:oddVBand="0" w:evenVBand="0" w:oddHBand="0" w:evenHBand="0" w:firstRowFirstColumn="0" w:firstRowLastColumn="0" w:lastRowFirstColumn="0" w:lastRowLastColumn="0"/>
            <w:tcW w:w="958" w:type="pct"/>
            <w:noWrap/>
            <w:hideMark/>
          </w:tcPr>
          <w:p w14:paraId="61255FF9" w14:textId="77777777" w:rsidR="00F901B9" w:rsidRPr="0028355E" w:rsidRDefault="00F901B9" w:rsidP="00F901B9">
            <w:pPr>
              <w:rPr>
                <w:rFonts w:ascii="Calibri" w:eastAsia="Times New Roman" w:hAnsi="Calibri" w:cs="Times New Roman"/>
                <w:color w:val="000000"/>
                <w:lang w:eastAsia="en-GB"/>
              </w:rPr>
            </w:pPr>
            <w:r>
              <w:rPr>
                <w:rFonts w:ascii="Calibri" w:eastAsia="Times New Roman" w:hAnsi="Calibri" w:cs="Times New Roman"/>
                <w:color w:val="000000"/>
                <w:lang w:eastAsia="en-GB"/>
              </w:rPr>
              <w:t>Czech R</w:t>
            </w:r>
            <w:r w:rsidRPr="0028355E">
              <w:rPr>
                <w:rFonts w:ascii="Calibri" w:eastAsia="Times New Roman" w:hAnsi="Calibri" w:cs="Times New Roman"/>
                <w:color w:val="000000"/>
                <w:lang w:eastAsia="en-GB"/>
              </w:rPr>
              <w:t>epublic</w:t>
            </w:r>
          </w:p>
        </w:tc>
        <w:tc>
          <w:tcPr>
            <w:tcW w:w="1071" w:type="pct"/>
            <w:noWrap/>
            <w:hideMark/>
          </w:tcPr>
          <w:p w14:paraId="71DFBB9B"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69.8</w:t>
            </w:r>
          </w:p>
        </w:tc>
        <w:tc>
          <w:tcPr>
            <w:tcW w:w="1059" w:type="pct"/>
            <w:noWrap/>
            <w:hideMark/>
          </w:tcPr>
          <w:p w14:paraId="2F2D1595"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6FA1BAB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69.8</w:t>
            </w:r>
          </w:p>
        </w:tc>
        <w:tc>
          <w:tcPr>
            <w:tcW w:w="984" w:type="pct"/>
            <w:noWrap/>
            <w:hideMark/>
          </w:tcPr>
          <w:p w14:paraId="2A85B4AF"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69.8</w:t>
            </w:r>
          </w:p>
        </w:tc>
      </w:tr>
      <w:tr w:rsidR="00F901B9" w:rsidRPr="0028355E" w14:paraId="73ACD0FA" w14:textId="77777777" w:rsidTr="00F901B9">
        <w:trPr>
          <w:trHeight w:val="241"/>
        </w:trPr>
        <w:tc>
          <w:tcPr>
            <w:cnfStyle w:val="001000000000" w:firstRow="0" w:lastRow="0" w:firstColumn="1" w:lastColumn="0" w:oddVBand="0" w:evenVBand="0" w:oddHBand="0" w:evenHBand="0" w:firstRowFirstColumn="0" w:firstRowLastColumn="0" w:lastRowFirstColumn="0" w:lastRowLastColumn="0"/>
            <w:tcW w:w="958" w:type="pct"/>
            <w:noWrap/>
            <w:hideMark/>
          </w:tcPr>
          <w:p w14:paraId="29F36FB3"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Hungary</w:t>
            </w:r>
          </w:p>
        </w:tc>
        <w:tc>
          <w:tcPr>
            <w:tcW w:w="1071" w:type="pct"/>
            <w:noWrap/>
            <w:hideMark/>
          </w:tcPr>
          <w:p w14:paraId="7B10E989"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99.9</w:t>
            </w:r>
          </w:p>
        </w:tc>
        <w:tc>
          <w:tcPr>
            <w:tcW w:w="1059" w:type="pct"/>
            <w:noWrap/>
            <w:hideMark/>
          </w:tcPr>
          <w:p w14:paraId="52DC1FD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61BF14C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84" w:type="pct"/>
            <w:noWrap/>
            <w:hideMark/>
          </w:tcPr>
          <w:p w14:paraId="7A8C4E8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r>
      <w:tr w:rsidR="00F901B9" w:rsidRPr="0028355E" w14:paraId="448D7556"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47D9FB7C"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Poland</w:t>
            </w:r>
          </w:p>
        </w:tc>
        <w:tc>
          <w:tcPr>
            <w:tcW w:w="1071" w:type="pct"/>
            <w:noWrap/>
            <w:hideMark/>
          </w:tcPr>
          <w:p w14:paraId="109196D9"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61.9</w:t>
            </w:r>
          </w:p>
        </w:tc>
        <w:tc>
          <w:tcPr>
            <w:tcW w:w="1059" w:type="pct"/>
            <w:noWrap/>
            <w:hideMark/>
          </w:tcPr>
          <w:p w14:paraId="3C54AB4B"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173C3963"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40.5</w:t>
            </w:r>
          </w:p>
        </w:tc>
        <w:tc>
          <w:tcPr>
            <w:tcW w:w="984" w:type="pct"/>
            <w:noWrap/>
            <w:hideMark/>
          </w:tcPr>
          <w:p w14:paraId="7C7235F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40.5</w:t>
            </w:r>
          </w:p>
        </w:tc>
      </w:tr>
      <w:tr w:rsidR="00F901B9" w:rsidRPr="0028355E" w14:paraId="070016B5"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01DB4308"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Romania</w:t>
            </w:r>
          </w:p>
        </w:tc>
        <w:tc>
          <w:tcPr>
            <w:tcW w:w="1071" w:type="pct"/>
            <w:noWrap/>
            <w:hideMark/>
          </w:tcPr>
          <w:p w14:paraId="53A734C4"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80</w:t>
            </w:r>
          </w:p>
        </w:tc>
        <w:tc>
          <w:tcPr>
            <w:tcW w:w="1059" w:type="pct"/>
            <w:noWrap/>
            <w:hideMark/>
          </w:tcPr>
          <w:p w14:paraId="50A0192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74</w:t>
            </w:r>
          </w:p>
        </w:tc>
        <w:tc>
          <w:tcPr>
            <w:tcW w:w="927" w:type="pct"/>
            <w:noWrap/>
            <w:hideMark/>
          </w:tcPr>
          <w:p w14:paraId="28F19E6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84" w:type="pct"/>
            <w:noWrap/>
            <w:hideMark/>
          </w:tcPr>
          <w:p w14:paraId="58566F7E"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r>
      <w:tr w:rsidR="00F901B9" w:rsidRPr="0028355E" w14:paraId="07061644"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2973E0BE"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Slovak Republic</w:t>
            </w:r>
          </w:p>
        </w:tc>
        <w:tc>
          <w:tcPr>
            <w:tcW w:w="1071" w:type="pct"/>
            <w:noWrap/>
            <w:hideMark/>
          </w:tcPr>
          <w:p w14:paraId="5D819B55"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34</w:t>
            </w:r>
          </w:p>
        </w:tc>
        <w:tc>
          <w:tcPr>
            <w:tcW w:w="1059" w:type="pct"/>
            <w:noWrap/>
            <w:hideMark/>
          </w:tcPr>
          <w:p w14:paraId="50310291"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033C43BB"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c>
          <w:tcPr>
            <w:tcW w:w="984" w:type="pct"/>
            <w:noWrap/>
            <w:hideMark/>
          </w:tcPr>
          <w:p w14:paraId="39FF0240"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r>
      <w:tr w:rsidR="00F901B9" w:rsidRPr="0028355E" w14:paraId="3F7C7ED5"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0F90DDFC"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Croatia</w:t>
            </w:r>
          </w:p>
        </w:tc>
        <w:tc>
          <w:tcPr>
            <w:tcW w:w="1071" w:type="pct"/>
            <w:noWrap/>
            <w:hideMark/>
          </w:tcPr>
          <w:p w14:paraId="43A0D7A0"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1059" w:type="pct"/>
            <w:noWrap/>
            <w:hideMark/>
          </w:tcPr>
          <w:p w14:paraId="0C7CEF1E"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2FEE0B25"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84" w:type="pct"/>
            <w:noWrap/>
            <w:hideMark/>
          </w:tcPr>
          <w:p w14:paraId="5A2E5B9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r>
      <w:tr w:rsidR="00F901B9" w:rsidRPr="0028355E" w14:paraId="3996443C"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261A7617"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Cyprus</w:t>
            </w:r>
          </w:p>
        </w:tc>
        <w:tc>
          <w:tcPr>
            <w:tcW w:w="1071" w:type="pct"/>
            <w:noWrap/>
            <w:hideMark/>
          </w:tcPr>
          <w:p w14:paraId="6031197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1059" w:type="pct"/>
            <w:noWrap/>
            <w:hideMark/>
          </w:tcPr>
          <w:p w14:paraId="56AB8EA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0E8D5A84"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84" w:type="pct"/>
            <w:noWrap/>
            <w:hideMark/>
          </w:tcPr>
          <w:p w14:paraId="5FD6415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r>
      <w:tr w:rsidR="00F901B9" w:rsidRPr="0028355E" w14:paraId="21D086FA"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54C47528"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Estonia</w:t>
            </w:r>
          </w:p>
        </w:tc>
        <w:tc>
          <w:tcPr>
            <w:tcW w:w="1071" w:type="pct"/>
            <w:noWrap/>
            <w:hideMark/>
          </w:tcPr>
          <w:p w14:paraId="0FCF64B0"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1059" w:type="pct"/>
            <w:noWrap/>
            <w:hideMark/>
          </w:tcPr>
          <w:p w14:paraId="22566FA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690650F4"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84" w:type="pct"/>
            <w:noWrap/>
            <w:hideMark/>
          </w:tcPr>
          <w:p w14:paraId="325C8113"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r>
      <w:tr w:rsidR="00F901B9" w:rsidRPr="0028355E" w14:paraId="317C099F"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57D6ECD3"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Ireland</w:t>
            </w:r>
          </w:p>
        </w:tc>
        <w:tc>
          <w:tcPr>
            <w:tcW w:w="1071" w:type="pct"/>
            <w:noWrap/>
            <w:hideMark/>
          </w:tcPr>
          <w:p w14:paraId="6B4849D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95</w:t>
            </w:r>
          </w:p>
        </w:tc>
        <w:tc>
          <w:tcPr>
            <w:tcW w:w="1059" w:type="pct"/>
            <w:noWrap/>
            <w:hideMark/>
          </w:tcPr>
          <w:p w14:paraId="4F45D29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44ACACB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95</w:t>
            </w:r>
          </w:p>
        </w:tc>
        <w:tc>
          <w:tcPr>
            <w:tcW w:w="984" w:type="pct"/>
            <w:noWrap/>
            <w:hideMark/>
          </w:tcPr>
          <w:p w14:paraId="2F6ADBB9"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95</w:t>
            </w:r>
          </w:p>
        </w:tc>
      </w:tr>
      <w:tr w:rsidR="00F901B9" w:rsidRPr="0028355E" w14:paraId="63B7B957"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7E89E230"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Latvia</w:t>
            </w:r>
          </w:p>
        </w:tc>
        <w:tc>
          <w:tcPr>
            <w:tcW w:w="1071" w:type="pct"/>
            <w:noWrap/>
            <w:hideMark/>
          </w:tcPr>
          <w:p w14:paraId="0AB74BF1"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1059" w:type="pct"/>
            <w:noWrap/>
            <w:hideMark/>
          </w:tcPr>
          <w:p w14:paraId="34E923CF"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6F0F8C1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84" w:type="pct"/>
            <w:noWrap/>
            <w:hideMark/>
          </w:tcPr>
          <w:p w14:paraId="427D8081"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r>
      <w:tr w:rsidR="00F901B9" w:rsidRPr="0028355E" w14:paraId="1FBBEDC2"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1A4E2EB3"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Lithuania</w:t>
            </w:r>
          </w:p>
        </w:tc>
        <w:tc>
          <w:tcPr>
            <w:tcW w:w="1071" w:type="pct"/>
            <w:noWrap/>
            <w:hideMark/>
          </w:tcPr>
          <w:p w14:paraId="446258A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96.1</w:t>
            </w:r>
          </w:p>
        </w:tc>
        <w:tc>
          <w:tcPr>
            <w:tcW w:w="1059" w:type="pct"/>
            <w:noWrap/>
            <w:hideMark/>
          </w:tcPr>
          <w:p w14:paraId="0BF0C1E9"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97.5</w:t>
            </w:r>
          </w:p>
        </w:tc>
        <w:tc>
          <w:tcPr>
            <w:tcW w:w="927" w:type="pct"/>
            <w:noWrap/>
            <w:hideMark/>
          </w:tcPr>
          <w:p w14:paraId="2E4BD20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82.6</w:t>
            </w:r>
          </w:p>
        </w:tc>
        <w:tc>
          <w:tcPr>
            <w:tcW w:w="984" w:type="pct"/>
            <w:noWrap/>
            <w:hideMark/>
          </w:tcPr>
          <w:p w14:paraId="2DC5FE5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82.6</w:t>
            </w:r>
          </w:p>
        </w:tc>
      </w:tr>
      <w:tr w:rsidR="00F901B9" w:rsidRPr="0028355E" w14:paraId="5F6228ED"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079CF942"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Malta</w:t>
            </w:r>
          </w:p>
        </w:tc>
        <w:tc>
          <w:tcPr>
            <w:tcW w:w="1071" w:type="pct"/>
            <w:noWrap/>
            <w:hideMark/>
          </w:tcPr>
          <w:p w14:paraId="2C12FAE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1059" w:type="pct"/>
            <w:noWrap/>
            <w:hideMark/>
          </w:tcPr>
          <w:p w14:paraId="6F30EE1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432A2D89"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84" w:type="pct"/>
            <w:noWrap/>
            <w:hideMark/>
          </w:tcPr>
          <w:p w14:paraId="4421CA7E"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r>
      <w:tr w:rsidR="00F901B9" w:rsidRPr="0028355E" w14:paraId="4C45D3E6"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53C8EE2E"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Slovenia</w:t>
            </w:r>
          </w:p>
        </w:tc>
        <w:tc>
          <w:tcPr>
            <w:tcW w:w="1071" w:type="pct"/>
            <w:noWrap/>
            <w:hideMark/>
          </w:tcPr>
          <w:p w14:paraId="5E662BA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1059" w:type="pct"/>
            <w:noWrap/>
            <w:hideMark/>
          </w:tcPr>
          <w:p w14:paraId="10A4C64A"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1C57AF9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84" w:type="pct"/>
            <w:noWrap/>
            <w:hideMark/>
          </w:tcPr>
          <w:p w14:paraId="6AF82239"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50</w:t>
            </w:r>
          </w:p>
        </w:tc>
      </w:tr>
      <w:tr w:rsidR="00F901B9" w:rsidRPr="0028355E" w14:paraId="5E4A4FF0"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2DDF0DAD"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United Kingdom</w:t>
            </w:r>
          </w:p>
        </w:tc>
        <w:tc>
          <w:tcPr>
            <w:tcW w:w="1071" w:type="pct"/>
            <w:noWrap/>
            <w:hideMark/>
          </w:tcPr>
          <w:p w14:paraId="611C67A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1059" w:type="pct"/>
            <w:noWrap/>
            <w:hideMark/>
          </w:tcPr>
          <w:p w14:paraId="19C09E20"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27" w:type="pct"/>
            <w:noWrap/>
            <w:hideMark/>
          </w:tcPr>
          <w:p w14:paraId="0D7EF729"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84" w:type="pct"/>
            <w:noWrap/>
            <w:hideMark/>
          </w:tcPr>
          <w:p w14:paraId="5ADCA8F3"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r>
      <w:tr w:rsidR="00F901B9" w:rsidRPr="0028355E" w14:paraId="37A51F0E"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63E985F9"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France</w:t>
            </w:r>
          </w:p>
        </w:tc>
        <w:tc>
          <w:tcPr>
            <w:tcW w:w="1071" w:type="pct"/>
            <w:noWrap/>
            <w:hideMark/>
          </w:tcPr>
          <w:p w14:paraId="10C58EDB"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84.4</w:t>
            </w:r>
          </w:p>
        </w:tc>
        <w:tc>
          <w:tcPr>
            <w:tcW w:w="1059" w:type="pct"/>
            <w:noWrap/>
            <w:hideMark/>
          </w:tcPr>
          <w:p w14:paraId="0606228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84.4</w:t>
            </w:r>
          </w:p>
        </w:tc>
        <w:tc>
          <w:tcPr>
            <w:tcW w:w="927" w:type="pct"/>
            <w:noWrap/>
            <w:hideMark/>
          </w:tcPr>
          <w:p w14:paraId="34676D03"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84.4</w:t>
            </w:r>
          </w:p>
        </w:tc>
        <w:tc>
          <w:tcPr>
            <w:tcW w:w="984" w:type="pct"/>
            <w:noWrap/>
            <w:hideMark/>
          </w:tcPr>
          <w:p w14:paraId="7ECDC901"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84.4</w:t>
            </w:r>
          </w:p>
        </w:tc>
      </w:tr>
      <w:tr w:rsidR="00F901B9" w:rsidRPr="0028355E" w14:paraId="3225BF9D"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54A520F2"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Greece</w:t>
            </w:r>
          </w:p>
        </w:tc>
        <w:tc>
          <w:tcPr>
            <w:tcW w:w="1071" w:type="pct"/>
            <w:noWrap/>
            <w:hideMark/>
          </w:tcPr>
          <w:p w14:paraId="5DEDBAFB"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c>
          <w:tcPr>
            <w:tcW w:w="1059" w:type="pct"/>
            <w:noWrap/>
            <w:hideMark/>
          </w:tcPr>
          <w:p w14:paraId="042B0B93"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c>
          <w:tcPr>
            <w:tcW w:w="927" w:type="pct"/>
            <w:noWrap/>
            <w:hideMark/>
          </w:tcPr>
          <w:p w14:paraId="0267B875"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c>
          <w:tcPr>
            <w:tcW w:w="984" w:type="pct"/>
            <w:noWrap/>
            <w:hideMark/>
          </w:tcPr>
          <w:p w14:paraId="601C20DE"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51</w:t>
            </w:r>
          </w:p>
        </w:tc>
      </w:tr>
      <w:tr w:rsidR="00F901B9" w:rsidRPr="0028355E" w14:paraId="5B5F0140"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6D34C825"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Italy</w:t>
            </w:r>
          </w:p>
        </w:tc>
        <w:tc>
          <w:tcPr>
            <w:tcW w:w="1071" w:type="pct"/>
            <w:noWrap/>
            <w:hideMark/>
          </w:tcPr>
          <w:p w14:paraId="1CEF12AE"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31.2</w:t>
            </w:r>
          </w:p>
        </w:tc>
        <w:tc>
          <w:tcPr>
            <w:tcW w:w="1059" w:type="pct"/>
            <w:noWrap/>
            <w:hideMark/>
          </w:tcPr>
          <w:p w14:paraId="1AAC4B9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29.9</w:t>
            </w:r>
          </w:p>
        </w:tc>
        <w:tc>
          <w:tcPr>
            <w:tcW w:w="927" w:type="pct"/>
            <w:noWrap/>
            <w:hideMark/>
          </w:tcPr>
          <w:p w14:paraId="5EDCCA67"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31.2</w:t>
            </w:r>
          </w:p>
        </w:tc>
        <w:tc>
          <w:tcPr>
            <w:tcW w:w="984" w:type="pct"/>
            <w:noWrap/>
            <w:hideMark/>
          </w:tcPr>
          <w:p w14:paraId="574DB67F"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31.2</w:t>
            </w:r>
          </w:p>
        </w:tc>
      </w:tr>
      <w:tr w:rsidR="00F901B9" w:rsidRPr="0028355E" w14:paraId="2957EA4A"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66BFC94B"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Portugal</w:t>
            </w:r>
          </w:p>
        </w:tc>
        <w:tc>
          <w:tcPr>
            <w:tcW w:w="1071" w:type="pct"/>
            <w:noWrap/>
            <w:hideMark/>
          </w:tcPr>
          <w:p w14:paraId="669A224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1059" w:type="pct"/>
            <w:noWrap/>
            <w:hideMark/>
          </w:tcPr>
          <w:p w14:paraId="4222DEEE"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10.3</w:t>
            </w:r>
          </w:p>
        </w:tc>
        <w:tc>
          <w:tcPr>
            <w:tcW w:w="927" w:type="pct"/>
            <w:noWrap/>
            <w:hideMark/>
          </w:tcPr>
          <w:p w14:paraId="4ECF2D1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84" w:type="pct"/>
            <w:noWrap/>
            <w:hideMark/>
          </w:tcPr>
          <w:p w14:paraId="7D00F8DB"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r>
      <w:tr w:rsidR="00F901B9" w:rsidRPr="0028355E" w14:paraId="564A7D12"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2CC3CEC2"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Spain</w:t>
            </w:r>
          </w:p>
        </w:tc>
        <w:tc>
          <w:tcPr>
            <w:tcW w:w="1071" w:type="pct"/>
            <w:noWrap/>
            <w:hideMark/>
          </w:tcPr>
          <w:p w14:paraId="6EDFB2F4"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1059" w:type="pct"/>
            <w:noWrap/>
            <w:hideMark/>
          </w:tcPr>
          <w:p w14:paraId="16E1299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20</w:t>
            </w:r>
          </w:p>
        </w:tc>
        <w:tc>
          <w:tcPr>
            <w:tcW w:w="927" w:type="pct"/>
            <w:noWrap/>
            <w:hideMark/>
          </w:tcPr>
          <w:p w14:paraId="57061FF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84" w:type="pct"/>
            <w:noWrap/>
            <w:hideMark/>
          </w:tcPr>
          <w:p w14:paraId="2104F57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r>
      <w:tr w:rsidR="00F901B9" w:rsidRPr="0028355E" w14:paraId="75A47D07"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02AD1261"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Denmark</w:t>
            </w:r>
          </w:p>
        </w:tc>
        <w:tc>
          <w:tcPr>
            <w:tcW w:w="1071" w:type="pct"/>
            <w:noWrap/>
            <w:hideMark/>
          </w:tcPr>
          <w:p w14:paraId="44A6C9D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80</w:t>
            </w:r>
          </w:p>
        </w:tc>
        <w:tc>
          <w:tcPr>
            <w:tcW w:w="1059" w:type="pct"/>
            <w:noWrap/>
            <w:hideMark/>
          </w:tcPr>
          <w:p w14:paraId="4D9AE6B9"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4A9223F8"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80</w:t>
            </w:r>
          </w:p>
        </w:tc>
        <w:tc>
          <w:tcPr>
            <w:tcW w:w="984" w:type="pct"/>
            <w:noWrap/>
            <w:hideMark/>
          </w:tcPr>
          <w:p w14:paraId="637AB5F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80</w:t>
            </w:r>
          </w:p>
        </w:tc>
      </w:tr>
      <w:tr w:rsidR="00F901B9" w:rsidRPr="0028355E" w14:paraId="4DC78674"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425D78BE"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Finland</w:t>
            </w:r>
          </w:p>
        </w:tc>
        <w:tc>
          <w:tcPr>
            <w:tcW w:w="1071" w:type="pct"/>
            <w:noWrap/>
            <w:hideMark/>
          </w:tcPr>
          <w:p w14:paraId="16EDECF7"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50.8</w:t>
            </w:r>
          </w:p>
        </w:tc>
        <w:tc>
          <w:tcPr>
            <w:tcW w:w="1059" w:type="pct"/>
            <w:noWrap/>
            <w:hideMark/>
          </w:tcPr>
          <w:p w14:paraId="40A86E5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53.1</w:t>
            </w:r>
          </w:p>
        </w:tc>
        <w:tc>
          <w:tcPr>
            <w:tcW w:w="927" w:type="pct"/>
            <w:noWrap/>
            <w:hideMark/>
          </w:tcPr>
          <w:p w14:paraId="189DB25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50.8</w:t>
            </w:r>
          </w:p>
        </w:tc>
        <w:tc>
          <w:tcPr>
            <w:tcW w:w="984" w:type="pct"/>
            <w:noWrap/>
            <w:hideMark/>
          </w:tcPr>
          <w:p w14:paraId="74CF3F97"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50.8</w:t>
            </w:r>
          </w:p>
        </w:tc>
      </w:tr>
      <w:tr w:rsidR="00F901B9" w:rsidRPr="0028355E" w14:paraId="20FD05F8"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7A7E010E"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Norway</w:t>
            </w:r>
          </w:p>
        </w:tc>
        <w:tc>
          <w:tcPr>
            <w:tcW w:w="1071" w:type="pct"/>
            <w:noWrap/>
            <w:hideMark/>
          </w:tcPr>
          <w:p w14:paraId="4EFB6C0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1059" w:type="pct"/>
            <w:noWrap/>
            <w:hideMark/>
          </w:tcPr>
          <w:p w14:paraId="1E6BF86D"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2F2623B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0</w:t>
            </w:r>
          </w:p>
        </w:tc>
        <w:tc>
          <w:tcPr>
            <w:tcW w:w="984" w:type="pct"/>
            <w:noWrap/>
            <w:hideMark/>
          </w:tcPr>
          <w:p w14:paraId="6534430C"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r>
      <w:tr w:rsidR="00F901B9" w:rsidRPr="0028355E" w14:paraId="623C044C"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958" w:type="pct"/>
            <w:noWrap/>
            <w:hideMark/>
          </w:tcPr>
          <w:p w14:paraId="25DAB012" w14:textId="77777777" w:rsidR="00F901B9" w:rsidRPr="0028355E" w:rsidRDefault="00F901B9" w:rsidP="00F901B9">
            <w:pPr>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Sweden</w:t>
            </w:r>
          </w:p>
        </w:tc>
        <w:tc>
          <w:tcPr>
            <w:tcW w:w="1071" w:type="pct"/>
            <w:noWrap/>
            <w:hideMark/>
          </w:tcPr>
          <w:p w14:paraId="51A16620"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1059" w:type="pct"/>
            <w:noWrap/>
            <w:hideMark/>
          </w:tcPr>
          <w:p w14:paraId="37D7AD52"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27" w:type="pct"/>
            <w:noWrap/>
            <w:hideMark/>
          </w:tcPr>
          <w:p w14:paraId="6820F881"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c>
          <w:tcPr>
            <w:tcW w:w="984" w:type="pct"/>
            <w:noWrap/>
            <w:hideMark/>
          </w:tcPr>
          <w:p w14:paraId="53EA6546" w14:textId="77777777" w:rsidR="00F901B9" w:rsidRPr="0028355E" w:rsidRDefault="00F901B9" w:rsidP="00F90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8355E">
              <w:rPr>
                <w:rFonts w:ascii="Calibri" w:eastAsia="Times New Roman" w:hAnsi="Calibri" w:cs="Times New Roman"/>
                <w:color w:val="000000"/>
                <w:lang w:eastAsia="en-GB"/>
              </w:rPr>
              <w:t>100</w:t>
            </w:r>
          </w:p>
        </w:tc>
      </w:tr>
      <w:tr w:rsidR="00F901B9" w:rsidRPr="00952A55" w14:paraId="78F90FD7" w14:textId="77777777" w:rsidTr="00F901B9">
        <w:trPr>
          <w:trHeight w:val="80"/>
        </w:trPr>
        <w:tc>
          <w:tcPr>
            <w:cnfStyle w:val="001000000000" w:firstRow="0" w:lastRow="0" w:firstColumn="1" w:lastColumn="0" w:oddVBand="0" w:evenVBand="0" w:oddHBand="0" w:evenHBand="0" w:firstRowFirstColumn="0" w:firstRowLastColumn="0" w:lastRowFirstColumn="0" w:lastRowLastColumn="0"/>
            <w:tcW w:w="5000" w:type="pct"/>
            <w:gridSpan w:val="5"/>
            <w:noWrap/>
          </w:tcPr>
          <w:p w14:paraId="337DB798" w14:textId="77777777" w:rsidR="00F901B9" w:rsidRPr="00952A55" w:rsidRDefault="00F901B9" w:rsidP="00F901B9">
            <w:pPr>
              <w:rPr>
                <w:rFonts w:ascii="Calibri" w:eastAsia="Times New Roman" w:hAnsi="Calibri" w:cs="Times New Roman"/>
                <w:b w:val="0"/>
                <w:i/>
                <w:color w:val="000000"/>
                <w:sz w:val="22"/>
                <w:lang w:eastAsia="en-GB"/>
              </w:rPr>
            </w:pPr>
            <w:r w:rsidRPr="00952A55">
              <w:rPr>
                <w:rFonts w:ascii="Calibri" w:eastAsia="Times New Roman" w:hAnsi="Calibri" w:cs="Times New Roman"/>
                <w:b w:val="0"/>
                <w:i/>
                <w:color w:val="000000"/>
                <w:sz w:val="22"/>
                <w:lang w:eastAsia="en-GB"/>
              </w:rPr>
              <w:t>OECD Product Market Regulation Indicators - http://www.oecd.org/eco/growth/indicatorsofproductmarketregulationhomepage.htm#indicators</w:t>
            </w:r>
          </w:p>
        </w:tc>
      </w:tr>
    </w:tbl>
    <w:p w14:paraId="05E1B234" w14:textId="77777777" w:rsidR="00F901B9" w:rsidRDefault="00F901B9" w:rsidP="00F901B9">
      <w:pPr>
        <w:spacing w:before="100" w:beforeAutospacing="1" w:after="100" w:afterAutospacing="1" w:line="480" w:lineRule="auto"/>
      </w:pPr>
    </w:p>
    <w:p w14:paraId="3E7E3B8C" w14:textId="77777777" w:rsidR="00F901B9" w:rsidRDefault="00F901B9" w:rsidP="00F901B9">
      <w:pPr>
        <w:suppressAutoHyphens w:val="0"/>
        <w:spacing w:after="160" w:line="259" w:lineRule="auto"/>
      </w:pPr>
      <w:r>
        <w:br w:type="page"/>
      </w:r>
    </w:p>
    <w:p w14:paraId="0BBF4EB7" w14:textId="17D020F1" w:rsidR="00F901B9" w:rsidRDefault="00F901B9" w:rsidP="00F901B9">
      <w:pPr>
        <w:pStyle w:val="Caption"/>
        <w:keepNext/>
      </w:pPr>
      <w:r>
        <w:lastRenderedPageBreak/>
        <w:t xml:space="preserve">Table </w:t>
      </w:r>
      <w:r w:rsidR="00AF1ADC">
        <w:t>6</w:t>
      </w:r>
      <w:bookmarkStart w:id="0" w:name="_GoBack"/>
      <w:bookmarkEnd w:id="0"/>
      <w:r>
        <w:t xml:space="preserve"> - Additional models controlling for the extent of market liberalization on regulators' ties</w:t>
      </w:r>
    </w:p>
    <w:tbl>
      <w:tblPr>
        <w:tblStyle w:val="PlainTable2"/>
        <w:tblW w:w="5285" w:type="pct"/>
        <w:tblBorders>
          <w:top w:val="none" w:sz="0" w:space="0" w:color="auto"/>
          <w:bottom w:val="none" w:sz="0" w:space="0" w:color="auto"/>
        </w:tblBorders>
        <w:tblLook w:val="06A0" w:firstRow="1" w:lastRow="0" w:firstColumn="1" w:lastColumn="0" w:noHBand="1" w:noVBand="1"/>
      </w:tblPr>
      <w:tblGrid>
        <w:gridCol w:w="4610"/>
        <w:gridCol w:w="1181"/>
        <w:gridCol w:w="1183"/>
        <w:gridCol w:w="1198"/>
        <w:gridCol w:w="69"/>
        <w:gridCol w:w="1299"/>
      </w:tblGrid>
      <w:tr w:rsidR="00F901B9" w:rsidRPr="00E16D3F" w14:paraId="356B6B6F" w14:textId="77777777" w:rsidTr="00F90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pct"/>
            <w:hideMark/>
          </w:tcPr>
          <w:p w14:paraId="453B88B0" w14:textId="77777777" w:rsidR="00F901B9" w:rsidRPr="00E16D3F" w:rsidRDefault="00F901B9" w:rsidP="00F901B9">
            <w:pPr>
              <w:rPr>
                <w:b w:val="0"/>
              </w:rPr>
            </w:pPr>
          </w:p>
        </w:tc>
        <w:tc>
          <w:tcPr>
            <w:tcW w:w="619" w:type="pct"/>
            <w:hideMark/>
          </w:tcPr>
          <w:p w14:paraId="17F7A959" w14:textId="77777777" w:rsidR="00F901B9" w:rsidRPr="00E16D3F" w:rsidRDefault="00F901B9" w:rsidP="00F901B9">
            <w:pPr>
              <w:jc w:val="center"/>
              <w:cnfStyle w:val="100000000000" w:firstRow="1" w:lastRow="0" w:firstColumn="0" w:lastColumn="0" w:oddVBand="0" w:evenVBand="0" w:oddHBand="0" w:evenHBand="0" w:firstRowFirstColumn="0" w:firstRowLastColumn="0" w:lastRowFirstColumn="0" w:lastRowLastColumn="0"/>
              <w:rPr>
                <w:b w:val="0"/>
              </w:rPr>
            </w:pPr>
            <w:r w:rsidRPr="00E16D3F">
              <w:rPr>
                <w:b w:val="0"/>
              </w:rPr>
              <w:t>(1)</w:t>
            </w:r>
          </w:p>
        </w:tc>
        <w:tc>
          <w:tcPr>
            <w:tcW w:w="620" w:type="pct"/>
            <w:hideMark/>
          </w:tcPr>
          <w:p w14:paraId="132873E8" w14:textId="77777777" w:rsidR="00F901B9" w:rsidRPr="00E16D3F" w:rsidRDefault="00F901B9" w:rsidP="00F901B9">
            <w:pPr>
              <w:jc w:val="center"/>
              <w:cnfStyle w:val="100000000000" w:firstRow="1" w:lastRow="0" w:firstColumn="0" w:lastColumn="0" w:oddVBand="0" w:evenVBand="0" w:oddHBand="0" w:evenHBand="0" w:firstRowFirstColumn="0" w:firstRowLastColumn="0" w:lastRowFirstColumn="0" w:lastRowLastColumn="0"/>
              <w:rPr>
                <w:b w:val="0"/>
              </w:rPr>
            </w:pPr>
            <w:r w:rsidRPr="00E16D3F">
              <w:rPr>
                <w:b w:val="0"/>
              </w:rPr>
              <w:t>(2)</w:t>
            </w:r>
          </w:p>
        </w:tc>
        <w:tc>
          <w:tcPr>
            <w:tcW w:w="628" w:type="pct"/>
            <w:hideMark/>
          </w:tcPr>
          <w:p w14:paraId="11F34414" w14:textId="77777777" w:rsidR="00F901B9" w:rsidRPr="00E16D3F" w:rsidRDefault="00F901B9" w:rsidP="00F901B9">
            <w:pPr>
              <w:jc w:val="center"/>
              <w:cnfStyle w:val="100000000000" w:firstRow="1" w:lastRow="0" w:firstColumn="0" w:lastColumn="0" w:oddVBand="0" w:evenVBand="0" w:oddHBand="0" w:evenHBand="0" w:firstRowFirstColumn="0" w:firstRowLastColumn="0" w:lastRowFirstColumn="0" w:lastRowLastColumn="0"/>
              <w:rPr>
                <w:b w:val="0"/>
              </w:rPr>
            </w:pPr>
            <w:r w:rsidRPr="00E16D3F">
              <w:rPr>
                <w:b w:val="0"/>
              </w:rPr>
              <w:t>(3)</w:t>
            </w:r>
          </w:p>
        </w:tc>
        <w:tc>
          <w:tcPr>
            <w:tcW w:w="717" w:type="pct"/>
            <w:gridSpan w:val="2"/>
            <w:hideMark/>
          </w:tcPr>
          <w:p w14:paraId="3C8780F8" w14:textId="77777777" w:rsidR="00F901B9" w:rsidRPr="00E16D3F" w:rsidRDefault="00F901B9" w:rsidP="00F901B9">
            <w:pPr>
              <w:jc w:val="center"/>
              <w:cnfStyle w:val="100000000000" w:firstRow="1" w:lastRow="0" w:firstColumn="0" w:lastColumn="0" w:oddVBand="0" w:evenVBand="0" w:oddHBand="0" w:evenHBand="0" w:firstRowFirstColumn="0" w:firstRowLastColumn="0" w:lastRowFirstColumn="0" w:lastRowLastColumn="0"/>
              <w:rPr>
                <w:b w:val="0"/>
              </w:rPr>
            </w:pPr>
            <w:r w:rsidRPr="00E16D3F">
              <w:rPr>
                <w:b w:val="0"/>
              </w:rPr>
              <w:t>(4)</w:t>
            </w:r>
          </w:p>
        </w:tc>
      </w:tr>
      <w:tr w:rsidR="00F901B9" w:rsidRPr="00E16D3F" w14:paraId="0CC7487D" w14:textId="77777777" w:rsidTr="00F901B9">
        <w:tc>
          <w:tcPr>
            <w:cnfStyle w:val="001000000000" w:firstRow="0" w:lastRow="0" w:firstColumn="1" w:lastColumn="0" w:oddVBand="0" w:evenVBand="0" w:oddHBand="0" w:evenHBand="0" w:firstRowFirstColumn="0" w:firstRowLastColumn="0" w:lastRowFirstColumn="0" w:lastRowLastColumn="0"/>
            <w:tcW w:w="2416" w:type="pct"/>
          </w:tcPr>
          <w:p w14:paraId="750543C8" w14:textId="77777777" w:rsidR="00F901B9" w:rsidRPr="00E16D3F" w:rsidRDefault="00F901B9" w:rsidP="00F901B9"/>
        </w:tc>
        <w:tc>
          <w:tcPr>
            <w:tcW w:w="619" w:type="pct"/>
          </w:tcPr>
          <w:p w14:paraId="6606544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tcPr>
          <w:p w14:paraId="1BDC151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8" w:type="pct"/>
          </w:tcPr>
          <w:p w14:paraId="6522D3E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717" w:type="pct"/>
            <w:gridSpan w:val="2"/>
          </w:tcPr>
          <w:p w14:paraId="0427FAA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07B664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4348DE5" w14:textId="77777777" w:rsidR="00F901B9" w:rsidRPr="00E16D3F" w:rsidRDefault="00F901B9" w:rsidP="00F901B9">
            <w:pPr>
              <w:rPr>
                <w:b w:val="0"/>
              </w:rPr>
            </w:pPr>
            <w:r w:rsidRPr="00E16D3F">
              <w:rPr>
                <w:b w:val="0"/>
              </w:rPr>
              <w:t>Network density</w:t>
            </w:r>
          </w:p>
        </w:tc>
        <w:tc>
          <w:tcPr>
            <w:tcW w:w="619" w:type="pct"/>
            <w:hideMark/>
          </w:tcPr>
          <w:p w14:paraId="7F3463A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-4.621</w:t>
            </w:r>
            <w:r w:rsidRPr="00E16D3F">
              <w:rPr>
                <w:vertAlign w:val="superscript"/>
              </w:rPr>
              <w:t>***</w:t>
            </w:r>
          </w:p>
        </w:tc>
        <w:tc>
          <w:tcPr>
            <w:tcW w:w="620" w:type="pct"/>
            <w:hideMark/>
          </w:tcPr>
          <w:p w14:paraId="17DFF93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-4.738</w:t>
            </w:r>
            <w:r w:rsidRPr="00E16D3F">
              <w:rPr>
                <w:vertAlign w:val="superscript"/>
              </w:rPr>
              <w:t>***</w:t>
            </w:r>
          </w:p>
        </w:tc>
        <w:tc>
          <w:tcPr>
            <w:tcW w:w="628" w:type="pct"/>
            <w:hideMark/>
          </w:tcPr>
          <w:p w14:paraId="0668EDC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-4.584</w:t>
            </w:r>
            <w:r w:rsidRPr="00E16D3F">
              <w:rPr>
                <w:vertAlign w:val="superscript"/>
              </w:rPr>
              <w:t>***</w:t>
            </w:r>
          </w:p>
        </w:tc>
        <w:tc>
          <w:tcPr>
            <w:tcW w:w="717" w:type="pct"/>
            <w:gridSpan w:val="2"/>
            <w:hideMark/>
          </w:tcPr>
          <w:p w14:paraId="0276BE9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-4.842</w:t>
            </w:r>
            <w:r w:rsidRPr="00E16D3F">
              <w:rPr>
                <w:vertAlign w:val="superscript"/>
              </w:rPr>
              <w:t>***</w:t>
            </w:r>
          </w:p>
        </w:tc>
      </w:tr>
      <w:tr w:rsidR="00F901B9" w:rsidRPr="00E16D3F" w14:paraId="2812592B"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390F7216" w14:textId="77777777" w:rsidR="00F901B9" w:rsidRPr="00E16D3F" w:rsidRDefault="00F901B9" w:rsidP="00F901B9">
            <w:pPr>
              <w:rPr>
                <w:b w:val="0"/>
              </w:rPr>
            </w:pPr>
          </w:p>
        </w:tc>
        <w:tc>
          <w:tcPr>
            <w:tcW w:w="619" w:type="pct"/>
            <w:hideMark/>
          </w:tcPr>
          <w:p w14:paraId="20987AA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(0.392)</w:t>
            </w:r>
          </w:p>
        </w:tc>
        <w:tc>
          <w:tcPr>
            <w:tcW w:w="620" w:type="pct"/>
            <w:hideMark/>
          </w:tcPr>
          <w:p w14:paraId="14A534A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(0.412)</w:t>
            </w:r>
          </w:p>
        </w:tc>
        <w:tc>
          <w:tcPr>
            <w:tcW w:w="628" w:type="pct"/>
            <w:hideMark/>
          </w:tcPr>
          <w:p w14:paraId="20E1AD0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(0.382)</w:t>
            </w:r>
          </w:p>
        </w:tc>
        <w:tc>
          <w:tcPr>
            <w:tcW w:w="717" w:type="pct"/>
            <w:gridSpan w:val="2"/>
            <w:hideMark/>
          </w:tcPr>
          <w:p w14:paraId="0CB8C96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(0.384)</w:t>
            </w:r>
          </w:p>
        </w:tc>
      </w:tr>
      <w:tr w:rsidR="00F901B9" w:rsidRPr="00E16D3F" w14:paraId="04EEFD24" w14:textId="77777777" w:rsidTr="00F901B9">
        <w:tc>
          <w:tcPr>
            <w:cnfStyle w:val="001000000000" w:firstRow="0" w:lastRow="0" w:firstColumn="1" w:lastColumn="0" w:oddVBand="0" w:evenVBand="0" w:oddHBand="0" w:evenHBand="0" w:firstRowFirstColumn="0" w:firstRowLastColumn="0" w:lastRowFirstColumn="0" w:lastRowLastColumn="0"/>
            <w:tcW w:w="3035" w:type="pct"/>
            <w:gridSpan w:val="2"/>
          </w:tcPr>
          <w:p w14:paraId="62F392AC" w14:textId="77777777" w:rsidR="00F901B9" w:rsidRPr="00E16D3F" w:rsidRDefault="00F901B9" w:rsidP="00F901B9">
            <w:pPr>
              <w:rPr>
                <w:b w:val="0"/>
              </w:rPr>
            </w:pPr>
          </w:p>
        </w:tc>
        <w:tc>
          <w:tcPr>
            <w:tcW w:w="620" w:type="pct"/>
          </w:tcPr>
          <w:p w14:paraId="354EB85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8" w:type="pct"/>
          </w:tcPr>
          <w:p w14:paraId="28028BA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717" w:type="pct"/>
            <w:gridSpan w:val="2"/>
          </w:tcPr>
          <w:p w14:paraId="04B3E89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42C773C" w14:textId="77777777" w:rsidTr="00F901B9">
        <w:tblPrEx>
          <w:tblBorders>
            <w:top w:val="single" w:sz="4" w:space="0" w:color="7F7F7F" w:themeColor="text1" w:themeTint="80"/>
            <w:bottom w:val="single" w:sz="4" w:space="0" w:color="7F7F7F" w:themeColor="text1" w:themeTint="80"/>
          </w:tblBorders>
        </w:tblPrEx>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F721376" w14:textId="77777777" w:rsidR="00F901B9" w:rsidRPr="00E16D3F" w:rsidRDefault="00F901B9" w:rsidP="00F901B9">
            <w:r w:rsidRPr="00E16D3F">
              <w:t xml:space="preserve">Homophily according to the extent of liberalization </w:t>
            </w:r>
          </w:p>
          <w:p w14:paraId="3661775A" w14:textId="77777777" w:rsidR="00F901B9" w:rsidRPr="00E16D3F" w:rsidRDefault="00F901B9" w:rsidP="00F901B9">
            <w:pPr>
              <w:rPr>
                <w:b w:val="0"/>
              </w:rPr>
            </w:pPr>
            <w:r w:rsidRPr="00E16D3F">
              <w:t>Government ownership in:</w:t>
            </w:r>
          </w:p>
        </w:tc>
      </w:tr>
      <w:tr w:rsidR="00F901B9" w:rsidRPr="00E16D3F" w14:paraId="63F0C6D1" w14:textId="77777777" w:rsidTr="00F901B9">
        <w:tc>
          <w:tcPr>
            <w:cnfStyle w:val="001000000000" w:firstRow="0" w:lastRow="0" w:firstColumn="1" w:lastColumn="0" w:oddVBand="0" w:evenVBand="0" w:oddHBand="0" w:evenHBand="0" w:firstRowFirstColumn="0" w:firstRowLastColumn="0" w:lastRowFirstColumn="0" w:lastRowLastColumn="0"/>
            <w:tcW w:w="5000" w:type="pct"/>
            <w:gridSpan w:val="6"/>
          </w:tcPr>
          <w:p w14:paraId="48E713D6" w14:textId="77777777" w:rsidR="00F901B9" w:rsidRPr="00E16D3F" w:rsidRDefault="00F901B9" w:rsidP="00F901B9"/>
        </w:tc>
      </w:tr>
      <w:tr w:rsidR="00F901B9" w:rsidRPr="00E16D3F" w14:paraId="2F691A4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708241B" w14:textId="77777777" w:rsidR="00F901B9" w:rsidRPr="00E16D3F" w:rsidRDefault="00F901B9" w:rsidP="00F901B9">
            <w:pPr>
              <w:rPr>
                <w:b w:val="0"/>
              </w:rPr>
            </w:pPr>
            <w:r w:rsidRPr="00E16D3F">
              <w:rPr>
                <w:b w:val="0"/>
              </w:rPr>
              <w:t>Electricity distribution</w:t>
            </w:r>
          </w:p>
        </w:tc>
        <w:tc>
          <w:tcPr>
            <w:tcW w:w="619" w:type="pct"/>
            <w:hideMark/>
          </w:tcPr>
          <w:p w14:paraId="7E5DF40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-0.220</w:t>
            </w:r>
          </w:p>
        </w:tc>
        <w:tc>
          <w:tcPr>
            <w:tcW w:w="620" w:type="pct"/>
            <w:hideMark/>
          </w:tcPr>
          <w:p w14:paraId="756790A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2126187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4D862C9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11E80ED"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6E231BCB" w14:textId="77777777" w:rsidR="00F901B9" w:rsidRPr="00E16D3F" w:rsidRDefault="00F901B9" w:rsidP="00F901B9">
            <w:pPr>
              <w:rPr>
                <w:b w:val="0"/>
              </w:rPr>
            </w:pPr>
          </w:p>
        </w:tc>
        <w:tc>
          <w:tcPr>
            <w:tcW w:w="619" w:type="pct"/>
            <w:hideMark/>
          </w:tcPr>
          <w:p w14:paraId="53EE257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(0.136)</w:t>
            </w:r>
          </w:p>
        </w:tc>
        <w:tc>
          <w:tcPr>
            <w:tcW w:w="620" w:type="pct"/>
            <w:hideMark/>
          </w:tcPr>
          <w:p w14:paraId="721F531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36C2860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5F9D504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4424B29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7A44CD99" w14:textId="77777777" w:rsidR="00F901B9" w:rsidRPr="00E16D3F" w:rsidRDefault="00F901B9" w:rsidP="00F901B9">
            <w:pPr>
              <w:rPr>
                <w:b w:val="0"/>
              </w:rPr>
            </w:pPr>
          </w:p>
        </w:tc>
        <w:tc>
          <w:tcPr>
            <w:tcW w:w="619" w:type="pct"/>
            <w:hideMark/>
          </w:tcPr>
          <w:p w14:paraId="3C906E0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BDAD22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4BCC51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38E1A93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63AF7D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EE41303" w14:textId="77777777" w:rsidR="00F901B9" w:rsidRPr="00E16D3F" w:rsidRDefault="00F901B9" w:rsidP="00F901B9">
            <w:pPr>
              <w:rPr>
                <w:b w:val="0"/>
              </w:rPr>
            </w:pPr>
            <w:r w:rsidRPr="00E16D3F">
              <w:rPr>
                <w:b w:val="0"/>
              </w:rPr>
              <w:t>Electricity transmission</w:t>
            </w:r>
          </w:p>
        </w:tc>
        <w:tc>
          <w:tcPr>
            <w:tcW w:w="619" w:type="pct"/>
            <w:hideMark/>
          </w:tcPr>
          <w:p w14:paraId="1EBA30D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-0.065</w:t>
            </w:r>
          </w:p>
        </w:tc>
        <w:tc>
          <w:tcPr>
            <w:tcW w:w="620" w:type="pct"/>
            <w:hideMark/>
          </w:tcPr>
          <w:p w14:paraId="67F1286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29A9133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565356E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6644033"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F44192E" w14:textId="77777777" w:rsidR="00F901B9" w:rsidRPr="00E16D3F" w:rsidRDefault="00F901B9" w:rsidP="00F901B9">
            <w:pPr>
              <w:rPr>
                <w:b w:val="0"/>
              </w:rPr>
            </w:pPr>
          </w:p>
        </w:tc>
        <w:tc>
          <w:tcPr>
            <w:tcW w:w="619" w:type="pct"/>
            <w:hideMark/>
          </w:tcPr>
          <w:p w14:paraId="6286B42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(0.105)</w:t>
            </w:r>
          </w:p>
        </w:tc>
        <w:tc>
          <w:tcPr>
            <w:tcW w:w="620" w:type="pct"/>
            <w:hideMark/>
          </w:tcPr>
          <w:p w14:paraId="64BA301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55D36F6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2B65406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7E6C391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EFFD8BE" w14:textId="77777777" w:rsidR="00F901B9" w:rsidRPr="00E16D3F" w:rsidRDefault="00F901B9" w:rsidP="00F901B9">
            <w:pPr>
              <w:rPr>
                <w:b w:val="0"/>
              </w:rPr>
            </w:pPr>
          </w:p>
        </w:tc>
        <w:tc>
          <w:tcPr>
            <w:tcW w:w="619" w:type="pct"/>
            <w:hideMark/>
          </w:tcPr>
          <w:p w14:paraId="282AC04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B20043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64DAAC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4C9EAD5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25117FC"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8D735CC" w14:textId="77777777" w:rsidR="00F901B9" w:rsidRPr="00E16D3F" w:rsidRDefault="00F901B9" w:rsidP="00F901B9">
            <w:pPr>
              <w:rPr>
                <w:b w:val="0"/>
              </w:rPr>
            </w:pPr>
            <w:r w:rsidRPr="00E16D3F">
              <w:rPr>
                <w:b w:val="0"/>
              </w:rPr>
              <w:t>Electricity generation</w:t>
            </w:r>
          </w:p>
        </w:tc>
        <w:tc>
          <w:tcPr>
            <w:tcW w:w="619" w:type="pct"/>
            <w:hideMark/>
          </w:tcPr>
          <w:p w14:paraId="1337922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-0.196</w:t>
            </w:r>
          </w:p>
        </w:tc>
        <w:tc>
          <w:tcPr>
            <w:tcW w:w="620" w:type="pct"/>
            <w:hideMark/>
          </w:tcPr>
          <w:p w14:paraId="55EDA63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190FA9D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08F24BC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B1D6B4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0C11F578" w14:textId="77777777" w:rsidR="00F901B9" w:rsidRPr="00E16D3F" w:rsidRDefault="00F901B9" w:rsidP="00F901B9">
            <w:pPr>
              <w:rPr>
                <w:b w:val="0"/>
              </w:rPr>
            </w:pPr>
          </w:p>
        </w:tc>
        <w:tc>
          <w:tcPr>
            <w:tcW w:w="619" w:type="pct"/>
            <w:hideMark/>
          </w:tcPr>
          <w:p w14:paraId="2802A4A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(0.128)</w:t>
            </w:r>
          </w:p>
        </w:tc>
        <w:tc>
          <w:tcPr>
            <w:tcW w:w="620" w:type="pct"/>
            <w:hideMark/>
          </w:tcPr>
          <w:p w14:paraId="087487D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798D359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394F1D2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7739A674"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2AA73E4" w14:textId="77777777" w:rsidR="00F901B9" w:rsidRPr="00E16D3F" w:rsidRDefault="00F901B9" w:rsidP="00F901B9">
            <w:pPr>
              <w:rPr>
                <w:b w:val="0"/>
              </w:rPr>
            </w:pPr>
          </w:p>
        </w:tc>
        <w:tc>
          <w:tcPr>
            <w:tcW w:w="619" w:type="pct"/>
            <w:hideMark/>
          </w:tcPr>
          <w:p w14:paraId="002CC28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502F809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49643E7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25BDA39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DBA258E"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79B39EBB" w14:textId="77777777" w:rsidR="00F901B9" w:rsidRPr="00E16D3F" w:rsidRDefault="00F901B9" w:rsidP="00F901B9">
            <w:pPr>
              <w:rPr>
                <w:b w:val="0"/>
              </w:rPr>
            </w:pPr>
            <w:r w:rsidRPr="00E16D3F">
              <w:rPr>
                <w:b w:val="0"/>
              </w:rPr>
              <w:t>Electricity retail</w:t>
            </w:r>
          </w:p>
        </w:tc>
        <w:tc>
          <w:tcPr>
            <w:tcW w:w="619" w:type="pct"/>
            <w:hideMark/>
          </w:tcPr>
          <w:p w14:paraId="7ADD700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0.167</w:t>
            </w:r>
          </w:p>
        </w:tc>
        <w:tc>
          <w:tcPr>
            <w:tcW w:w="620" w:type="pct"/>
            <w:hideMark/>
          </w:tcPr>
          <w:p w14:paraId="1C1FC5B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09F1AD9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179E449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8185870"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93F841D" w14:textId="77777777" w:rsidR="00F901B9" w:rsidRPr="00E16D3F" w:rsidRDefault="00F901B9" w:rsidP="00F901B9">
            <w:pPr>
              <w:rPr>
                <w:b w:val="0"/>
              </w:rPr>
            </w:pPr>
          </w:p>
        </w:tc>
        <w:tc>
          <w:tcPr>
            <w:tcW w:w="619" w:type="pct"/>
            <w:hideMark/>
          </w:tcPr>
          <w:p w14:paraId="74BC29F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(0.152)</w:t>
            </w:r>
          </w:p>
        </w:tc>
        <w:tc>
          <w:tcPr>
            <w:tcW w:w="620" w:type="pct"/>
            <w:hideMark/>
          </w:tcPr>
          <w:p w14:paraId="71A2FC5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14B7692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5B49C50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14A6510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90591B0" w14:textId="77777777" w:rsidR="00F901B9" w:rsidRPr="00E16D3F" w:rsidRDefault="00F901B9" w:rsidP="00F901B9">
            <w:pPr>
              <w:rPr>
                <w:b w:val="0"/>
              </w:rPr>
            </w:pPr>
          </w:p>
        </w:tc>
        <w:tc>
          <w:tcPr>
            <w:tcW w:w="619" w:type="pct"/>
            <w:hideMark/>
          </w:tcPr>
          <w:p w14:paraId="05B2CDF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3794BCC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01AC04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7D50825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0A1D2C52"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B7F3D34" w14:textId="77777777" w:rsidR="00F901B9" w:rsidRPr="00E16D3F" w:rsidRDefault="00F901B9" w:rsidP="00F901B9">
            <w:pPr>
              <w:rPr>
                <w:b w:val="0"/>
              </w:rPr>
            </w:pPr>
            <w:r w:rsidRPr="00E16D3F">
              <w:rPr>
                <w:b w:val="0"/>
              </w:rPr>
              <w:t>Gas distribution</w:t>
            </w:r>
          </w:p>
        </w:tc>
        <w:tc>
          <w:tcPr>
            <w:tcW w:w="619" w:type="pct"/>
            <w:hideMark/>
          </w:tcPr>
          <w:p w14:paraId="6B5BCE8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3C0FEF2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0.072</w:t>
            </w:r>
          </w:p>
        </w:tc>
        <w:tc>
          <w:tcPr>
            <w:tcW w:w="664" w:type="pct"/>
            <w:gridSpan w:val="2"/>
            <w:hideMark/>
          </w:tcPr>
          <w:p w14:paraId="4A57B09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211DAA5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52CE66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C39EF4D" w14:textId="77777777" w:rsidR="00F901B9" w:rsidRPr="00E16D3F" w:rsidRDefault="00F901B9" w:rsidP="00F901B9">
            <w:pPr>
              <w:rPr>
                <w:b w:val="0"/>
              </w:rPr>
            </w:pPr>
          </w:p>
        </w:tc>
        <w:tc>
          <w:tcPr>
            <w:tcW w:w="619" w:type="pct"/>
            <w:hideMark/>
          </w:tcPr>
          <w:p w14:paraId="759E289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4F8773C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(0.104)</w:t>
            </w:r>
          </w:p>
        </w:tc>
        <w:tc>
          <w:tcPr>
            <w:tcW w:w="664" w:type="pct"/>
            <w:gridSpan w:val="2"/>
            <w:hideMark/>
          </w:tcPr>
          <w:p w14:paraId="1A728EF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37E3472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BF326FB"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68FCB58" w14:textId="77777777" w:rsidR="00F901B9" w:rsidRPr="00E16D3F" w:rsidRDefault="00F901B9" w:rsidP="00F901B9">
            <w:pPr>
              <w:rPr>
                <w:b w:val="0"/>
              </w:rPr>
            </w:pPr>
          </w:p>
        </w:tc>
        <w:tc>
          <w:tcPr>
            <w:tcW w:w="619" w:type="pct"/>
            <w:hideMark/>
          </w:tcPr>
          <w:p w14:paraId="1578C53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5532851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0E282FA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36B8D5E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953232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6A2B5521" w14:textId="77777777" w:rsidR="00F901B9" w:rsidRPr="00E16D3F" w:rsidRDefault="00F901B9" w:rsidP="00F901B9">
            <w:pPr>
              <w:rPr>
                <w:b w:val="0"/>
              </w:rPr>
            </w:pPr>
            <w:r w:rsidRPr="00E16D3F">
              <w:rPr>
                <w:b w:val="0"/>
              </w:rPr>
              <w:t>Gas transmission</w:t>
            </w:r>
          </w:p>
        </w:tc>
        <w:tc>
          <w:tcPr>
            <w:tcW w:w="619" w:type="pct"/>
            <w:hideMark/>
          </w:tcPr>
          <w:p w14:paraId="1B6DCD3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5E65DAD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-0.137</w:t>
            </w:r>
          </w:p>
        </w:tc>
        <w:tc>
          <w:tcPr>
            <w:tcW w:w="664" w:type="pct"/>
            <w:gridSpan w:val="2"/>
            <w:hideMark/>
          </w:tcPr>
          <w:p w14:paraId="0488741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01DA935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7B1AA276"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5798CDB" w14:textId="77777777" w:rsidR="00F901B9" w:rsidRPr="00E16D3F" w:rsidRDefault="00F901B9" w:rsidP="00F901B9">
            <w:pPr>
              <w:rPr>
                <w:b w:val="0"/>
              </w:rPr>
            </w:pPr>
          </w:p>
        </w:tc>
        <w:tc>
          <w:tcPr>
            <w:tcW w:w="619" w:type="pct"/>
            <w:hideMark/>
          </w:tcPr>
          <w:p w14:paraId="631D82A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7E2B0DD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(0.129)</w:t>
            </w:r>
          </w:p>
        </w:tc>
        <w:tc>
          <w:tcPr>
            <w:tcW w:w="664" w:type="pct"/>
            <w:gridSpan w:val="2"/>
            <w:hideMark/>
          </w:tcPr>
          <w:p w14:paraId="54C01AD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68D2D3F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0F2EF80"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7D7931C" w14:textId="77777777" w:rsidR="00F901B9" w:rsidRPr="00E16D3F" w:rsidRDefault="00F901B9" w:rsidP="00F901B9">
            <w:pPr>
              <w:rPr>
                <w:b w:val="0"/>
              </w:rPr>
            </w:pPr>
          </w:p>
        </w:tc>
        <w:tc>
          <w:tcPr>
            <w:tcW w:w="619" w:type="pct"/>
            <w:hideMark/>
          </w:tcPr>
          <w:p w14:paraId="343377F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358DC33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1A875E0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562E800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027B1642"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2DAE29C" w14:textId="77777777" w:rsidR="00F901B9" w:rsidRPr="00E16D3F" w:rsidRDefault="00F901B9" w:rsidP="00F901B9">
            <w:pPr>
              <w:rPr>
                <w:b w:val="0"/>
              </w:rPr>
            </w:pPr>
            <w:r w:rsidRPr="00E16D3F">
              <w:rPr>
                <w:b w:val="0"/>
              </w:rPr>
              <w:t>Gas production</w:t>
            </w:r>
          </w:p>
        </w:tc>
        <w:tc>
          <w:tcPr>
            <w:tcW w:w="619" w:type="pct"/>
            <w:hideMark/>
          </w:tcPr>
          <w:p w14:paraId="72343DB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59311E9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-0.157</w:t>
            </w:r>
          </w:p>
        </w:tc>
        <w:tc>
          <w:tcPr>
            <w:tcW w:w="664" w:type="pct"/>
            <w:gridSpan w:val="2"/>
            <w:hideMark/>
          </w:tcPr>
          <w:p w14:paraId="4C6EE01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5498BC4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4B5E958B"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7119321" w14:textId="77777777" w:rsidR="00F901B9" w:rsidRPr="00E16D3F" w:rsidRDefault="00F901B9" w:rsidP="00F901B9">
            <w:pPr>
              <w:rPr>
                <w:b w:val="0"/>
              </w:rPr>
            </w:pPr>
          </w:p>
        </w:tc>
        <w:tc>
          <w:tcPr>
            <w:tcW w:w="619" w:type="pct"/>
            <w:hideMark/>
          </w:tcPr>
          <w:p w14:paraId="084638D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8FECD5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(0.155)</w:t>
            </w:r>
          </w:p>
        </w:tc>
        <w:tc>
          <w:tcPr>
            <w:tcW w:w="664" w:type="pct"/>
            <w:gridSpan w:val="2"/>
            <w:hideMark/>
          </w:tcPr>
          <w:p w14:paraId="321888E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7247E66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EFBEC0B"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069BE239" w14:textId="77777777" w:rsidR="00F901B9" w:rsidRPr="00E16D3F" w:rsidRDefault="00F901B9" w:rsidP="00F901B9">
            <w:pPr>
              <w:rPr>
                <w:b w:val="0"/>
              </w:rPr>
            </w:pPr>
          </w:p>
        </w:tc>
        <w:tc>
          <w:tcPr>
            <w:tcW w:w="619" w:type="pct"/>
            <w:hideMark/>
          </w:tcPr>
          <w:p w14:paraId="2542475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7AB711D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5C346B6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62082EE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5F5B01A"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19B4E91" w14:textId="77777777" w:rsidR="00F901B9" w:rsidRPr="00E16D3F" w:rsidRDefault="00F901B9" w:rsidP="00F901B9">
            <w:pPr>
              <w:rPr>
                <w:b w:val="0"/>
              </w:rPr>
            </w:pPr>
            <w:r w:rsidRPr="00E16D3F">
              <w:rPr>
                <w:b w:val="0"/>
              </w:rPr>
              <w:t>Gas retail</w:t>
            </w:r>
          </w:p>
        </w:tc>
        <w:tc>
          <w:tcPr>
            <w:tcW w:w="619" w:type="pct"/>
            <w:hideMark/>
          </w:tcPr>
          <w:p w14:paraId="4E21F22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753CE7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0.139</w:t>
            </w:r>
          </w:p>
        </w:tc>
        <w:tc>
          <w:tcPr>
            <w:tcW w:w="664" w:type="pct"/>
            <w:gridSpan w:val="2"/>
            <w:hideMark/>
          </w:tcPr>
          <w:p w14:paraId="3523535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2741E4D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F8A1163"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D71A9AA" w14:textId="77777777" w:rsidR="00F901B9" w:rsidRPr="00E16D3F" w:rsidRDefault="00F901B9" w:rsidP="00F901B9">
            <w:pPr>
              <w:rPr>
                <w:b w:val="0"/>
              </w:rPr>
            </w:pPr>
          </w:p>
        </w:tc>
        <w:tc>
          <w:tcPr>
            <w:tcW w:w="619" w:type="pct"/>
            <w:hideMark/>
          </w:tcPr>
          <w:p w14:paraId="6C86BEE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8560C6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(0.173)</w:t>
            </w:r>
          </w:p>
        </w:tc>
        <w:tc>
          <w:tcPr>
            <w:tcW w:w="664" w:type="pct"/>
            <w:gridSpan w:val="2"/>
            <w:hideMark/>
          </w:tcPr>
          <w:p w14:paraId="682630F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1C316F5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516107C" w14:textId="77777777" w:rsidTr="00F901B9">
        <w:tc>
          <w:tcPr>
            <w:cnfStyle w:val="001000000000" w:firstRow="0" w:lastRow="0" w:firstColumn="1" w:lastColumn="0" w:oddVBand="0" w:evenVBand="0" w:oddHBand="0" w:evenHBand="0" w:firstRowFirstColumn="0" w:firstRowLastColumn="0" w:lastRowFirstColumn="0" w:lastRowLastColumn="0"/>
            <w:tcW w:w="2416" w:type="pct"/>
          </w:tcPr>
          <w:p w14:paraId="5EC9CB32" w14:textId="77777777" w:rsidR="00F901B9" w:rsidRPr="00E16D3F" w:rsidRDefault="00F901B9" w:rsidP="00F901B9">
            <w:pPr>
              <w:rPr>
                <w:b w:val="0"/>
              </w:rPr>
            </w:pPr>
          </w:p>
        </w:tc>
        <w:tc>
          <w:tcPr>
            <w:tcW w:w="619" w:type="pct"/>
          </w:tcPr>
          <w:p w14:paraId="7E851AE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tcPr>
          <w:p w14:paraId="5365CC4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tcPr>
          <w:p w14:paraId="035BDC2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tcPr>
          <w:p w14:paraId="761880E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37C39F5"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A83348B" w14:textId="77777777" w:rsidR="00F901B9" w:rsidRPr="00E16D3F" w:rsidRDefault="00F901B9" w:rsidP="00F901B9">
            <w:pPr>
              <w:rPr>
                <w:b w:val="0"/>
              </w:rPr>
            </w:pPr>
            <w:r w:rsidRPr="00E16D3F">
              <w:rPr>
                <w:b w:val="0"/>
              </w:rPr>
              <w:t>Market share of largest electricity generator</w:t>
            </w:r>
          </w:p>
        </w:tc>
        <w:tc>
          <w:tcPr>
            <w:tcW w:w="619" w:type="pct"/>
            <w:hideMark/>
          </w:tcPr>
          <w:p w14:paraId="7683ADF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34B66F3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55D4922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56F6C1F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0.044</w:t>
            </w:r>
          </w:p>
        </w:tc>
      </w:tr>
      <w:tr w:rsidR="00F901B9" w:rsidRPr="00E16D3F" w14:paraId="52F2232C"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FC8574D" w14:textId="77777777" w:rsidR="00F901B9" w:rsidRPr="00E16D3F" w:rsidRDefault="00F901B9" w:rsidP="00F901B9">
            <w:pPr>
              <w:rPr>
                <w:b w:val="0"/>
              </w:rPr>
            </w:pPr>
          </w:p>
        </w:tc>
        <w:tc>
          <w:tcPr>
            <w:tcW w:w="619" w:type="pct"/>
            <w:hideMark/>
          </w:tcPr>
          <w:p w14:paraId="23CA030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17E23BF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5D24581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5653410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(0.119)</w:t>
            </w:r>
          </w:p>
        </w:tc>
      </w:tr>
      <w:tr w:rsidR="00F901B9" w:rsidRPr="00E16D3F" w14:paraId="5617B6A4" w14:textId="77777777" w:rsidTr="00F901B9">
        <w:tc>
          <w:tcPr>
            <w:cnfStyle w:val="001000000000" w:firstRow="0" w:lastRow="0" w:firstColumn="1" w:lastColumn="0" w:oddVBand="0" w:evenVBand="0" w:oddHBand="0" w:evenHBand="0" w:firstRowFirstColumn="0" w:firstRowLastColumn="0" w:lastRowFirstColumn="0" w:lastRowLastColumn="0"/>
            <w:tcW w:w="2416" w:type="pct"/>
          </w:tcPr>
          <w:p w14:paraId="2E3C3E54" w14:textId="77777777" w:rsidR="00F901B9" w:rsidRPr="00E16D3F" w:rsidRDefault="00F901B9" w:rsidP="00F901B9"/>
        </w:tc>
        <w:tc>
          <w:tcPr>
            <w:tcW w:w="619" w:type="pct"/>
          </w:tcPr>
          <w:p w14:paraId="582FF33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tcPr>
          <w:p w14:paraId="4292182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tcPr>
          <w:p w14:paraId="79B5C9E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tcPr>
          <w:p w14:paraId="4E0FFAD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96BB981" w14:textId="77777777" w:rsidTr="00F901B9">
        <w:tc>
          <w:tcPr>
            <w:cnfStyle w:val="001000000000" w:firstRow="0" w:lastRow="0" w:firstColumn="1" w:lastColumn="0" w:oddVBand="0" w:evenVBand="0" w:oddHBand="0" w:evenHBand="0" w:firstRowFirstColumn="0" w:firstRowLastColumn="0" w:lastRowFirstColumn="0" w:lastRowLastColumn="0"/>
            <w:tcW w:w="5000" w:type="pct"/>
            <w:gridSpan w:val="6"/>
          </w:tcPr>
          <w:p w14:paraId="66C6A0EB" w14:textId="77777777" w:rsidR="00F901B9" w:rsidRDefault="00F901B9" w:rsidP="00F901B9">
            <w:r>
              <w:t>Liberalization and incoming ties</w:t>
            </w:r>
          </w:p>
          <w:p w14:paraId="6D18546D" w14:textId="77777777" w:rsidR="00F901B9" w:rsidRPr="00E16D3F" w:rsidRDefault="00F901B9" w:rsidP="00F901B9">
            <w:r>
              <w:t xml:space="preserve">Government ownership in: </w:t>
            </w:r>
          </w:p>
        </w:tc>
      </w:tr>
      <w:tr w:rsidR="00F901B9" w:rsidRPr="00E16D3F" w14:paraId="03B5A0F6" w14:textId="77777777" w:rsidTr="00F901B9">
        <w:tc>
          <w:tcPr>
            <w:cnfStyle w:val="001000000000" w:firstRow="0" w:lastRow="0" w:firstColumn="1" w:lastColumn="0" w:oddVBand="0" w:evenVBand="0" w:oddHBand="0" w:evenHBand="0" w:firstRowFirstColumn="0" w:firstRowLastColumn="0" w:lastRowFirstColumn="0" w:lastRowLastColumn="0"/>
            <w:tcW w:w="5000" w:type="pct"/>
            <w:gridSpan w:val="6"/>
          </w:tcPr>
          <w:p w14:paraId="14B876E3" w14:textId="77777777" w:rsidR="00F901B9" w:rsidRDefault="00F901B9" w:rsidP="00F901B9"/>
        </w:tc>
      </w:tr>
      <w:tr w:rsidR="00F901B9" w:rsidRPr="00E16D3F" w14:paraId="3181D37D"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69EC9D36" w14:textId="77777777" w:rsidR="00F901B9" w:rsidRPr="00E16D3F" w:rsidRDefault="00F901B9" w:rsidP="00F901B9">
            <w:pPr>
              <w:rPr>
                <w:b w:val="0"/>
              </w:rPr>
            </w:pPr>
            <w:r w:rsidRPr="00E16D3F">
              <w:rPr>
                <w:b w:val="0"/>
              </w:rPr>
              <w:t>Gas distribution</w:t>
            </w:r>
          </w:p>
        </w:tc>
        <w:tc>
          <w:tcPr>
            <w:tcW w:w="619" w:type="pct"/>
            <w:hideMark/>
          </w:tcPr>
          <w:p w14:paraId="3558020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C527F1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53E35AB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0.182</w:t>
            </w:r>
          </w:p>
        </w:tc>
        <w:tc>
          <w:tcPr>
            <w:tcW w:w="681" w:type="pct"/>
            <w:hideMark/>
          </w:tcPr>
          <w:p w14:paraId="541B2C5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10303173"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C9B24DF" w14:textId="77777777" w:rsidR="00F901B9" w:rsidRPr="00E16D3F" w:rsidRDefault="00F901B9" w:rsidP="00F901B9">
            <w:pPr>
              <w:rPr>
                <w:b w:val="0"/>
              </w:rPr>
            </w:pPr>
          </w:p>
        </w:tc>
        <w:tc>
          <w:tcPr>
            <w:tcW w:w="619" w:type="pct"/>
            <w:hideMark/>
          </w:tcPr>
          <w:p w14:paraId="46E25D4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75210D3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1005A99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(0.172)</w:t>
            </w:r>
          </w:p>
        </w:tc>
        <w:tc>
          <w:tcPr>
            <w:tcW w:w="681" w:type="pct"/>
            <w:hideMark/>
          </w:tcPr>
          <w:p w14:paraId="4447C3D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A162D9C"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3E5BA4F" w14:textId="77777777" w:rsidR="00F901B9" w:rsidRPr="00E16D3F" w:rsidRDefault="00F901B9" w:rsidP="00F901B9">
            <w:pPr>
              <w:rPr>
                <w:b w:val="0"/>
              </w:rPr>
            </w:pPr>
          </w:p>
        </w:tc>
        <w:tc>
          <w:tcPr>
            <w:tcW w:w="619" w:type="pct"/>
            <w:hideMark/>
          </w:tcPr>
          <w:p w14:paraId="3F291EA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278997C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48F8B9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71EB472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442DA9E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6FE0B693" w14:textId="77777777" w:rsidR="00F901B9" w:rsidRPr="00E16D3F" w:rsidRDefault="00F901B9" w:rsidP="00F901B9">
            <w:pPr>
              <w:rPr>
                <w:b w:val="0"/>
              </w:rPr>
            </w:pPr>
            <w:r w:rsidRPr="00E16D3F">
              <w:rPr>
                <w:b w:val="0"/>
              </w:rPr>
              <w:t>Gas transmission</w:t>
            </w:r>
          </w:p>
        </w:tc>
        <w:tc>
          <w:tcPr>
            <w:tcW w:w="619" w:type="pct"/>
            <w:hideMark/>
          </w:tcPr>
          <w:p w14:paraId="1AC91DB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3086AAB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394FD3C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-0.053</w:t>
            </w:r>
          </w:p>
        </w:tc>
        <w:tc>
          <w:tcPr>
            <w:tcW w:w="681" w:type="pct"/>
            <w:hideMark/>
          </w:tcPr>
          <w:p w14:paraId="467CFE1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1C85EFCB"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6DBD710" w14:textId="77777777" w:rsidR="00F901B9" w:rsidRPr="00E16D3F" w:rsidRDefault="00F901B9" w:rsidP="00F901B9">
            <w:pPr>
              <w:rPr>
                <w:b w:val="0"/>
              </w:rPr>
            </w:pPr>
          </w:p>
        </w:tc>
        <w:tc>
          <w:tcPr>
            <w:tcW w:w="619" w:type="pct"/>
            <w:hideMark/>
          </w:tcPr>
          <w:p w14:paraId="5AD659F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6C46AB8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E2E4BF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(0.151)</w:t>
            </w:r>
          </w:p>
        </w:tc>
        <w:tc>
          <w:tcPr>
            <w:tcW w:w="681" w:type="pct"/>
            <w:hideMark/>
          </w:tcPr>
          <w:p w14:paraId="0125A70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020E8D3"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94D0B53" w14:textId="77777777" w:rsidR="00F901B9" w:rsidRPr="00E16D3F" w:rsidRDefault="00F901B9" w:rsidP="00F901B9">
            <w:pPr>
              <w:rPr>
                <w:b w:val="0"/>
              </w:rPr>
            </w:pPr>
          </w:p>
        </w:tc>
        <w:tc>
          <w:tcPr>
            <w:tcW w:w="619" w:type="pct"/>
            <w:hideMark/>
          </w:tcPr>
          <w:p w14:paraId="7BB8468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67779E2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72FC60C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571A1EE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F64EEDD"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990BD1F" w14:textId="77777777" w:rsidR="00F901B9" w:rsidRPr="00E16D3F" w:rsidRDefault="00F901B9" w:rsidP="00F901B9">
            <w:pPr>
              <w:rPr>
                <w:b w:val="0"/>
              </w:rPr>
            </w:pPr>
            <w:r w:rsidRPr="00E16D3F">
              <w:rPr>
                <w:b w:val="0"/>
              </w:rPr>
              <w:t>Gas production</w:t>
            </w:r>
          </w:p>
        </w:tc>
        <w:tc>
          <w:tcPr>
            <w:tcW w:w="619" w:type="pct"/>
            <w:hideMark/>
          </w:tcPr>
          <w:p w14:paraId="30B4194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83A18B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37D354F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-0.366</w:t>
            </w:r>
            <w:r w:rsidRPr="00E16D3F">
              <w:rPr>
                <w:vertAlign w:val="superscript"/>
              </w:rPr>
              <w:t>*</w:t>
            </w:r>
          </w:p>
        </w:tc>
        <w:tc>
          <w:tcPr>
            <w:tcW w:w="681" w:type="pct"/>
            <w:hideMark/>
          </w:tcPr>
          <w:p w14:paraId="416E4BF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C519448"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E2C6D9A" w14:textId="77777777" w:rsidR="00F901B9" w:rsidRPr="00E16D3F" w:rsidRDefault="00F901B9" w:rsidP="00F901B9">
            <w:pPr>
              <w:rPr>
                <w:b w:val="0"/>
              </w:rPr>
            </w:pPr>
          </w:p>
        </w:tc>
        <w:tc>
          <w:tcPr>
            <w:tcW w:w="619" w:type="pct"/>
            <w:hideMark/>
          </w:tcPr>
          <w:p w14:paraId="2975743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19F7BEC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505E30C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(0.205)</w:t>
            </w:r>
          </w:p>
        </w:tc>
        <w:tc>
          <w:tcPr>
            <w:tcW w:w="681" w:type="pct"/>
            <w:hideMark/>
          </w:tcPr>
          <w:p w14:paraId="4883333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6A3D37E"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0B2884B" w14:textId="77777777" w:rsidR="00F901B9" w:rsidRPr="00E16D3F" w:rsidRDefault="00F901B9" w:rsidP="00F901B9">
            <w:pPr>
              <w:rPr>
                <w:b w:val="0"/>
              </w:rPr>
            </w:pPr>
          </w:p>
        </w:tc>
        <w:tc>
          <w:tcPr>
            <w:tcW w:w="619" w:type="pct"/>
            <w:hideMark/>
          </w:tcPr>
          <w:p w14:paraId="2C235BB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63827DB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201D56C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2096075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113831F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5F56888" w14:textId="77777777" w:rsidR="00F901B9" w:rsidRPr="00E16D3F" w:rsidRDefault="00F901B9" w:rsidP="00F901B9">
            <w:pPr>
              <w:rPr>
                <w:b w:val="0"/>
              </w:rPr>
            </w:pPr>
            <w:r w:rsidRPr="00E16D3F">
              <w:rPr>
                <w:b w:val="0"/>
              </w:rPr>
              <w:t>Gas retail</w:t>
            </w:r>
          </w:p>
        </w:tc>
        <w:tc>
          <w:tcPr>
            <w:tcW w:w="619" w:type="pct"/>
            <w:hideMark/>
          </w:tcPr>
          <w:p w14:paraId="72B8087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192A908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10F690B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0.010</w:t>
            </w:r>
          </w:p>
        </w:tc>
        <w:tc>
          <w:tcPr>
            <w:tcW w:w="681" w:type="pct"/>
            <w:hideMark/>
          </w:tcPr>
          <w:p w14:paraId="5E19720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03096E4"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33E185C8" w14:textId="77777777" w:rsidR="00F901B9" w:rsidRPr="00E16D3F" w:rsidRDefault="00F901B9" w:rsidP="00F901B9">
            <w:pPr>
              <w:rPr>
                <w:b w:val="0"/>
              </w:rPr>
            </w:pPr>
          </w:p>
        </w:tc>
        <w:tc>
          <w:tcPr>
            <w:tcW w:w="619" w:type="pct"/>
            <w:hideMark/>
          </w:tcPr>
          <w:p w14:paraId="6DD6143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48D22B3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41CFCD0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(0.235)</w:t>
            </w:r>
          </w:p>
        </w:tc>
        <w:tc>
          <w:tcPr>
            <w:tcW w:w="681" w:type="pct"/>
            <w:hideMark/>
          </w:tcPr>
          <w:p w14:paraId="5BF9FB7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3A1C022"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03196513" w14:textId="77777777" w:rsidR="00F901B9" w:rsidRPr="00E16D3F" w:rsidRDefault="00F901B9" w:rsidP="00F901B9">
            <w:pPr>
              <w:rPr>
                <w:b w:val="0"/>
              </w:rPr>
            </w:pPr>
          </w:p>
        </w:tc>
        <w:tc>
          <w:tcPr>
            <w:tcW w:w="619" w:type="pct"/>
            <w:hideMark/>
          </w:tcPr>
          <w:p w14:paraId="00473EE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4844015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73F3B7D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67E0BC3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FAA05EA"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F54A1A1" w14:textId="77777777" w:rsidR="00F901B9" w:rsidRPr="00E16D3F" w:rsidRDefault="00F901B9" w:rsidP="00F901B9">
            <w:pPr>
              <w:rPr>
                <w:b w:val="0"/>
              </w:rPr>
            </w:pPr>
            <w:r w:rsidRPr="00E16D3F">
              <w:rPr>
                <w:b w:val="0"/>
              </w:rPr>
              <w:t>Electricity distribution</w:t>
            </w:r>
          </w:p>
        </w:tc>
        <w:tc>
          <w:tcPr>
            <w:tcW w:w="619" w:type="pct"/>
            <w:hideMark/>
          </w:tcPr>
          <w:p w14:paraId="4CC9900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6BA8388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2F8CC1B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-0.412</w:t>
            </w:r>
            <w:r w:rsidRPr="00E16D3F">
              <w:rPr>
                <w:vertAlign w:val="superscript"/>
              </w:rPr>
              <w:t>**</w:t>
            </w:r>
          </w:p>
        </w:tc>
        <w:tc>
          <w:tcPr>
            <w:tcW w:w="681" w:type="pct"/>
            <w:hideMark/>
          </w:tcPr>
          <w:p w14:paraId="45F1933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EF0CB21"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8B1C6CA" w14:textId="77777777" w:rsidR="00F901B9" w:rsidRPr="00E16D3F" w:rsidRDefault="00F901B9" w:rsidP="00F901B9">
            <w:pPr>
              <w:rPr>
                <w:b w:val="0"/>
              </w:rPr>
            </w:pPr>
          </w:p>
        </w:tc>
        <w:tc>
          <w:tcPr>
            <w:tcW w:w="619" w:type="pct"/>
            <w:hideMark/>
          </w:tcPr>
          <w:p w14:paraId="7723F29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391FA34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0DC82C8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(0.194)</w:t>
            </w:r>
          </w:p>
        </w:tc>
        <w:tc>
          <w:tcPr>
            <w:tcW w:w="681" w:type="pct"/>
            <w:hideMark/>
          </w:tcPr>
          <w:p w14:paraId="5360AD9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47FA4AD5"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36AD9731" w14:textId="77777777" w:rsidR="00F901B9" w:rsidRPr="00E16D3F" w:rsidRDefault="00F901B9" w:rsidP="00F901B9">
            <w:pPr>
              <w:rPr>
                <w:b w:val="0"/>
              </w:rPr>
            </w:pPr>
          </w:p>
        </w:tc>
        <w:tc>
          <w:tcPr>
            <w:tcW w:w="619" w:type="pct"/>
            <w:hideMark/>
          </w:tcPr>
          <w:p w14:paraId="3C8E035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2F23514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78F2433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0108C1A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F87C0CC"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6815B06F" w14:textId="77777777" w:rsidR="00F901B9" w:rsidRPr="00E16D3F" w:rsidRDefault="00F901B9" w:rsidP="00F901B9">
            <w:pPr>
              <w:rPr>
                <w:b w:val="0"/>
              </w:rPr>
            </w:pPr>
            <w:r w:rsidRPr="00E16D3F">
              <w:rPr>
                <w:b w:val="0"/>
              </w:rPr>
              <w:t>Electricity transmission</w:t>
            </w:r>
          </w:p>
        </w:tc>
        <w:tc>
          <w:tcPr>
            <w:tcW w:w="619" w:type="pct"/>
            <w:hideMark/>
          </w:tcPr>
          <w:p w14:paraId="231E7C9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639DDC9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3A2511E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-0.080</w:t>
            </w:r>
          </w:p>
        </w:tc>
        <w:tc>
          <w:tcPr>
            <w:tcW w:w="681" w:type="pct"/>
            <w:hideMark/>
          </w:tcPr>
          <w:p w14:paraId="3B2CC4D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CA6AA68"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5FC2C66" w14:textId="77777777" w:rsidR="00F901B9" w:rsidRPr="00E16D3F" w:rsidRDefault="00F901B9" w:rsidP="00F901B9">
            <w:pPr>
              <w:rPr>
                <w:b w:val="0"/>
              </w:rPr>
            </w:pPr>
          </w:p>
        </w:tc>
        <w:tc>
          <w:tcPr>
            <w:tcW w:w="619" w:type="pct"/>
            <w:hideMark/>
          </w:tcPr>
          <w:p w14:paraId="46401A2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2438F10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3782D09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(0.145)</w:t>
            </w:r>
          </w:p>
        </w:tc>
        <w:tc>
          <w:tcPr>
            <w:tcW w:w="681" w:type="pct"/>
            <w:hideMark/>
          </w:tcPr>
          <w:p w14:paraId="3088014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763945BE"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0E443E7" w14:textId="77777777" w:rsidR="00F901B9" w:rsidRPr="00E16D3F" w:rsidRDefault="00F901B9" w:rsidP="00F901B9">
            <w:pPr>
              <w:rPr>
                <w:b w:val="0"/>
              </w:rPr>
            </w:pPr>
          </w:p>
        </w:tc>
        <w:tc>
          <w:tcPr>
            <w:tcW w:w="619" w:type="pct"/>
            <w:hideMark/>
          </w:tcPr>
          <w:p w14:paraId="600DD2F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D62B2E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1E76471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3A9160B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F3C657C"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0E35795F" w14:textId="77777777" w:rsidR="00F901B9" w:rsidRPr="00E16D3F" w:rsidRDefault="00F901B9" w:rsidP="00F901B9">
            <w:pPr>
              <w:rPr>
                <w:b w:val="0"/>
              </w:rPr>
            </w:pPr>
            <w:r w:rsidRPr="00E16D3F">
              <w:rPr>
                <w:b w:val="0"/>
              </w:rPr>
              <w:t>Electricity generation</w:t>
            </w:r>
          </w:p>
        </w:tc>
        <w:tc>
          <w:tcPr>
            <w:tcW w:w="619" w:type="pct"/>
            <w:hideMark/>
          </w:tcPr>
          <w:p w14:paraId="347DE1F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5C5394C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0D7E94E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-0.097</w:t>
            </w:r>
          </w:p>
        </w:tc>
        <w:tc>
          <w:tcPr>
            <w:tcW w:w="681" w:type="pct"/>
            <w:hideMark/>
          </w:tcPr>
          <w:p w14:paraId="4C22D46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14A8DE58"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7B0E4AF7" w14:textId="77777777" w:rsidR="00F901B9" w:rsidRPr="00E16D3F" w:rsidRDefault="00F901B9" w:rsidP="00F901B9">
            <w:pPr>
              <w:rPr>
                <w:b w:val="0"/>
              </w:rPr>
            </w:pPr>
          </w:p>
        </w:tc>
        <w:tc>
          <w:tcPr>
            <w:tcW w:w="619" w:type="pct"/>
            <w:hideMark/>
          </w:tcPr>
          <w:p w14:paraId="6E5EEEE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4B00C40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776E0B5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(0.186)</w:t>
            </w:r>
          </w:p>
        </w:tc>
        <w:tc>
          <w:tcPr>
            <w:tcW w:w="681" w:type="pct"/>
            <w:hideMark/>
          </w:tcPr>
          <w:p w14:paraId="53B6535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72D622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D669B5B" w14:textId="77777777" w:rsidR="00F901B9" w:rsidRPr="00E16D3F" w:rsidRDefault="00F901B9" w:rsidP="00F901B9">
            <w:pPr>
              <w:rPr>
                <w:b w:val="0"/>
              </w:rPr>
            </w:pPr>
          </w:p>
        </w:tc>
        <w:tc>
          <w:tcPr>
            <w:tcW w:w="619" w:type="pct"/>
            <w:hideMark/>
          </w:tcPr>
          <w:p w14:paraId="5462AD2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689A7D3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09C3DB4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39C073F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7307B1A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31C794C" w14:textId="77777777" w:rsidR="00F901B9" w:rsidRPr="00E16D3F" w:rsidRDefault="00F901B9" w:rsidP="00F901B9">
            <w:pPr>
              <w:rPr>
                <w:b w:val="0"/>
              </w:rPr>
            </w:pPr>
            <w:r w:rsidRPr="00E16D3F">
              <w:rPr>
                <w:b w:val="0"/>
              </w:rPr>
              <w:t>Electricity retail</w:t>
            </w:r>
          </w:p>
        </w:tc>
        <w:tc>
          <w:tcPr>
            <w:tcW w:w="619" w:type="pct"/>
            <w:hideMark/>
          </w:tcPr>
          <w:p w14:paraId="4666126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54DBEEC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146506F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0.460</w:t>
            </w:r>
            <w:r w:rsidRPr="00E16D3F">
              <w:rPr>
                <w:vertAlign w:val="superscript"/>
              </w:rPr>
              <w:t>*</w:t>
            </w:r>
          </w:p>
        </w:tc>
        <w:tc>
          <w:tcPr>
            <w:tcW w:w="681" w:type="pct"/>
            <w:hideMark/>
          </w:tcPr>
          <w:p w14:paraId="02C8F91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763740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09374185" w14:textId="77777777" w:rsidR="00F901B9" w:rsidRPr="00E16D3F" w:rsidRDefault="00F901B9" w:rsidP="00F901B9">
            <w:pPr>
              <w:rPr>
                <w:b w:val="0"/>
              </w:rPr>
            </w:pPr>
          </w:p>
        </w:tc>
        <w:tc>
          <w:tcPr>
            <w:tcW w:w="619" w:type="pct"/>
            <w:hideMark/>
          </w:tcPr>
          <w:p w14:paraId="27D93A7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53A40AE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5743BB9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(0.236)</w:t>
            </w:r>
          </w:p>
        </w:tc>
        <w:tc>
          <w:tcPr>
            <w:tcW w:w="681" w:type="pct"/>
            <w:hideMark/>
          </w:tcPr>
          <w:p w14:paraId="5C80E1C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F3E92BD" w14:textId="77777777" w:rsidTr="00F901B9">
        <w:tc>
          <w:tcPr>
            <w:cnfStyle w:val="001000000000" w:firstRow="0" w:lastRow="0" w:firstColumn="1" w:lastColumn="0" w:oddVBand="0" w:evenVBand="0" w:oddHBand="0" w:evenHBand="0" w:firstRowFirstColumn="0" w:firstRowLastColumn="0" w:lastRowFirstColumn="0" w:lastRowLastColumn="0"/>
            <w:tcW w:w="2416" w:type="pct"/>
          </w:tcPr>
          <w:p w14:paraId="1D67025E" w14:textId="77777777" w:rsidR="00F901B9" w:rsidRPr="00E16D3F" w:rsidRDefault="00F901B9" w:rsidP="00F901B9">
            <w:pPr>
              <w:rPr>
                <w:b w:val="0"/>
              </w:rPr>
            </w:pPr>
          </w:p>
        </w:tc>
        <w:tc>
          <w:tcPr>
            <w:tcW w:w="619" w:type="pct"/>
          </w:tcPr>
          <w:p w14:paraId="13D2911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tcPr>
          <w:p w14:paraId="1015CB8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tcPr>
          <w:p w14:paraId="2F2D79D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tcPr>
          <w:p w14:paraId="7EA7323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70DD6D8" w14:textId="77777777" w:rsidTr="00F901B9">
        <w:tc>
          <w:tcPr>
            <w:cnfStyle w:val="001000000000" w:firstRow="0" w:lastRow="0" w:firstColumn="1" w:lastColumn="0" w:oddVBand="0" w:evenVBand="0" w:oddHBand="0" w:evenHBand="0" w:firstRowFirstColumn="0" w:firstRowLastColumn="0" w:lastRowFirstColumn="0" w:lastRowLastColumn="0"/>
            <w:tcW w:w="2416" w:type="pct"/>
          </w:tcPr>
          <w:p w14:paraId="4E905B5D" w14:textId="77777777" w:rsidR="00F901B9" w:rsidRPr="00E16D3F" w:rsidRDefault="00F901B9" w:rsidP="00F901B9">
            <w:pPr>
              <w:rPr>
                <w:b w:val="0"/>
              </w:rPr>
            </w:pPr>
            <w:r w:rsidRPr="00E16D3F">
              <w:rPr>
                <w:b w:val="0"/>
              </w:rPr>
              <w:t>Market share of largest electricity generator</w:t>
            </w:r>
          </w:p>
        </w:tc>
        <w:tc>
          <w:tcPr>
            <w:tcW w:w="619" w:type="pct"/>
          </w:tcPr>
          <w:p w14:paraId="130DDE9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tcPr>
          <w:p w14:paraId="1622397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tcPr>
          <w:p w14:paraId="3A02D9C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tcPr>
          <w:p w14:paraId="1A6886F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-0.112</w:t>
            </w:r>
          </w:p>
        </w:tc>
      </w:tr>
      <w:tr w:rsidR="00F901B9" w:rsidRPr="00E16D3F" w14:paraId="10FCD4F5"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8F7E9A6" w14:textId="77777777" w:rsidR="00F901B9" w:rsidRPr="00E16D3F" w:rsidRDefault="00F901B9" w:rsidP="00F901B9">
            <w:pPr>
              <w:rPr>
                <w:b w:val="0"/>
              </w:rPr>
            </w:pPr>
          </w:p>
        </w:tc>
        <w:tc>
          <w:tcPr>
            <w:tcW w:w="619" w:type="pct"/>
            <w:hideMark/>
          </w:tcPr>
          <w:p w14:paraId="49CB3C3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14D25C6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52ED0E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501000D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(0.118)</w:t>
            </w:r>
          </w:p>
        </w:tc>
      </w:tr>
      <w:tr w:rsidR="00F901B9" w:rsidRPr="00E16D3F" w14:paraId="1E6A3EE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E826BDB" w14:textId="77777777" w:rsidR="00F901B9" w:rsidRPr="00E16D3F" w:rsidRDefault="00F901B9" w:rsidP="00F901B9">
            <w:pPr>
              <w:rPr>
                <w:b w:val="0"/>
              </w:rPr>
            </w:pPr>
          </w:p>
        </w:tc>
        <w:tc>
          <w:tcPr>
            <w:tcW w:w="619" w:type="pct"/>
            <w:hideMark/>
          </w:tcPr>
          <w:p w14:paraId="7C709AE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6F2A04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24FB850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602C4BF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34E179D3" w14:textId="77777777" w:rsidTr="00F901B9">
        <w:tc>
          <w:tcPr>
            <w:cnfStyle w:val="001000000000" w:firstRow="0" w:lastRow="0" w:firstColumn="1" w:lastColumn="0" w:oddVBand="0" w:evenVBand="0" w:oddHBand="0" w:evenHBand="0" w:firstRowFirstColumn="0" w:firstRowLastColumn="0" w:lastRowFirstColumn="0" w:lastRowLastColumn="0"/>
            <w:tcW w:w="2416" w:type="pct"/>
          </w:tcPr>
          <w:p w14:paraId="6CFD1D41" w14:textId="77777777" w:rsidR="00F901B9" w:rsidRPr="00E16D3F" w:rsidRDefault="00F901B9" w:rsidP="00F901B9">
            <w:pPr>
              <w:rPr>
                <w:b w:val="0"/>
              </w:rPr>
            </w:pPr>
          </w:p>
        </w:tc>
        <w:tc>
          <w:tcPr>
            <w:tcW w:w="619" w:type="pct"/>
          </w:tcPr>
          <w:p w14:paraId="45583CE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tcPr>
          <w:p w14:paraId="652622B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tcPr>
          <w:p w14:paraId="030FBA4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tcPr>
          <w:p w14:paraId="0D69F4D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4C2CDD80" w14:textId="77777777" w:rsidTr="00F901B9">
        <w:tc>
          <w:tcPr>
            <w:cnfStyle w:val="001000000000" w:firstRow="0" w:lastRow="0" w:firstColumn="1" w:lastColumn="0" w:oddVBand="0" w:evenVBand="0" w:oddHBand="0" w:evenHBand="0" w:firstRowFirstColumn="0" w:firstRowLastColumn="0" w:lastRowFirstColumn="0" w:lastRowLastColumn="0"/>
            <w:tcW w:w="2416" w:type="pct"/>
          </w:tcPr>
          <w:p w14:paraId="490B6F37" w14:textId="77777777" w:rsidR="00F901B9" w:rsidRPr="00E16D3F" w:rsidRDefault="00F901B9" w:rsidP="00F901B9">
            <w:r w:rsidRPr="00E16D3F">
              <w:t>Controls</w:t>
            </w:r>
          </w:p>
        </w:tc>
        <w:tc>
          <w:tcPr>
            <w:tcW w:w="619" w:type="pct"/>
          </w:tcPr>
          <w:p w14:paraId="56B6697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tcPr>
          <w:p w14:paraId="2EF90E4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tcPr>
          <w:p w14:paraId="23A603B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tcPr>
          <w:p w14:paraId="32E9BE0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13A7F0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703A5D1A" w14:textId="77777777" w:rsidR="00F901B9" w:rsidRPr="00E16D3F" w:rsidRDefault="00F901B9" w:rsidP="00F901B9">
            <w:pPr>
              <w:rPr>
                <w:b w:val="0"/>
              </w:rPr>
            </w:pPr>
            <w:r w:rsidRPr="00E16D3F">
              <w:rPr>
                <w:b w:val="0"/>
              </w:rPr>
              <w:t>Co-membership in Regional Initiatives for Electricity</w:t>
            </w:r>
          </w:p>
        </w:tc>
        <w:tc>
          <w:tcPr>
            <w:tcW w:w="619" w:type="pct"/>
            <w:hideMark/>
          </w:tcPr>
          <w:p w14:paraId="0A1293F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0.476</w:t>
            </w:r>
            <w:r w:rsidRPr="00E16D3F">
              <w:rPr>
                <w:vertAlign w:val="superscript"/>
              </w:rPr>
              <w:t>***</w:t>
            </w:r>
          </w:p>
        </w:tc>
        <w:tc>
          <w:tcPr>
            <w:tcW w:w="620" w:type="pct"/>
            <w:hideMark/>
          </w:tcPr>
          <w:p w14:paraId="05C3961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0.438</w:t>
            </w:r>
            <w:r w:rsidRPr="00E16D3F">
              <w:rPr>
                <w:vertAlign w:val="superscript"/>
              </w:rPr>
              <w:t>***</w:t>
            </w:r>
          </w:p>
        </w:tc>
        <w:tc>
          <w:tcPr>
            <w:tcW w:w="664" w:type="pct"/>
            <w:gridSpan w:val="2"/>
            <w:hideMark/>
          </w:tcPr>
          <w:p w14:paraId="3B61DA0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0.614</w:t>
            </w:r>
            <w:r w:rsidRPr="00E16D3F">
              <w:rPr>
                <w:vertAlign w:val="superscript"/>
              </w:rPr>
              <w:t>***</w:t>
            </w:r>
          </w:p>
        </w:tc>
        <w:tc>
          <w:tcPr>
            <w:tcW w:w="681" w:type="pct"/>
            <w:hideMark/>
          </w:tcPr>
          <w:p w14:paraId="33F5368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0.447</w:t>
            </w:r>
            <w:r w:rsidRPr="00E16D3F">
              <w:rPr>
                <w:vertAlign w:val="superscript"/>
              </w:rPr>
              <w:t>***</w:t>
            </w:r>
          </w:p>
        </w:tc>
      </w:tr>
      <w:tr w:rsidR="00F901B9" w:rsidRPr="00E16D3F" w14:paraId="2561CEFA"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C29595D" w14:textId="77777777" w:rsidR="00F901B9" w:rsidRPr="00E16D3F" w:rsidRDefault="00F901B9" w:rsidP="00F901B9">
            <w:pPr>
              <w:rPr>
                <w:b w:val="0"/>
              </w:rPr>
            </w:pPr>
          </w:p>
        </w:tc>
        <w:tc>
          <w:tcPr>
            <w:tcW w:w="619" w:type="pct"/>
            <w:hideMark/>
          </w:tcPr>
          <w:p w14:paraId="7956025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(0.167)</w:t>
            </w:r>
          </w:p>
        </w:tc>
        <w:tc>
          <w:tcPr>
            <w:tcW w:w="620" w:type="pct"/>
            <w:hideMark/>
          </w:tcPr>
          <w:p w14:paraId="73A6028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(0.167)</w:t>
            </w:r>
          </w:p>
        </w:tc>
        <w:tc>
          <w:tcPr>
            <w:tcW w:w="664" w:type="pct"/>
            <w:gridSpan w:val="2"/>
            <w:hideMark/>
          </w:tcPr>
          <w:p w14:paraId="42BCC7C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(0.203)</w:t>
            </w:r>
          </w:p>
        </w:tc>
        <w:tc>
          <w:tcPr>
            <w:tcW w:w="681" w:type="pct"/>
            <w:hideMark/>
          </w:tcPr>
          <w:p w14:paraId="5F49983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(0.166)</w:t>
            </w:r>
          </w:p>
        </w:tc>
      </w:tr>
      <w:tr w:rsidR="00F901B9" w:rsidRPr="00E16D3F" w14:paraId="17D639D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344E017F" w14:textId="77777777" w:rsidR="00F901B9" w:rsidRPr="00E16D3F" w:rsidRDefault="00F901B9" w:rsidP="00F901B9">
            <w:pPr>
              <w:rPr>
                <w:b w:val="0"/>
              </w:rPr>
            </w:pPr>
          </w:p>
        </w:tc>
        <w:tc>
          <w:tcPr>
            <w:tcW w:w="619" w:type="pct"/>
            <w:hideMark/>
          </w:tcPr>
          <w:p w14:paraId="2F9C333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166582C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4F57A05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6FAE96A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43F5D4C"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076D24B" w14:textId="77777777" w:rsidR="00F901B9" w:rsidRPr="00E16D3F" w:rsidRDefault="00F901B9" w:rsidP="00F901B9">
            <w:pPr>
              <w:rPr>
                <w:b w:val="0"/>
              </w:rPr>
            </w:pPr>
            <w:r w:rsidRPr="00E16D3F">
              <w:rPr>
                <w:b w:val="0"/>
              </w:rPr>
              <w:t>Co-membership in Regional Initiatives for Gas</w:t>
            </w:r>
          </w:p>
        </w:tc>
        <w:tc>
          <w:tcPr>
            <w:tcW w:w="619" w:type="pct"/>
            <w:hideMark/>
          </w:tcPr>
          <w:p w14:paraId="396E362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0.142</w:t>
            </w:r>
          </w:p>
        </w:tc>
        <w:tc>
          <w:tcPr>
            <w:tcW w:w="620" w:type="pct"/>
            <w:hideMark/>
          </w:tcPr>
          <w:p w14:paraId="542044C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0.136</w:t>
            </w:r>
          </w:p>
        </w:tc>
        <w:tc>
          <w:tcPr>
            <w:tcW w:w="664" w:type="pct"/>
            <w:gridSpan w:val="2"/>
            <w:hideMark/>
          </w:tcPr>
          <w:p w14:paraId="74FB01C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0.261</w:t>
            </w:r>
          </w:p>
        </w:tc>
        <w:tc>
          <w:tcPr>
            <w:tcW w:w="681" w:type="pct"/>
            <w:hideMark/>
          </w:tcPr>
          <w:p w14:paraId="5C80CCD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0.152</w:t>
            </w:r>
          </w:p>
        </w:tc>
      </w:tr>
      <w:tr w:rsidR="00F901B9" w:rsidRPr="00E16D3F" w14:paraId="4D47867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DEB1CDB" w14:textId="77777777" w:rsidR="00F901B9" w:rsidRPr="00E16D3F" w:rsidRDefault="00F901B9" w:rsidP="00F901B9">
            <w:pPr>
              <w:rPr>
                <w:b w:val="0"/>
              </w:rPr>
            </w:pPr>
          </w:p>
        </w:tc>
        <w:tc>
          <w:tcPr>
            <w:tcW w:w="619" w:type="pct"/>
            <w:hideMark/>
          </w:tcPr>
          <w:p w14:paraId="5FBEB4C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(0.179)</w:t>
            </w:r>
          </w:p>
        </w:tc>
        <w:tc>
          <w:tcPr>
            <w:tcW w:w="620" w:type="pct"/>
            <w:hideMark/>
          </w:tcPr>
          <w:p w14:paraId="322A317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(0.182)</w:t>
            </w:r>
          </w:p>
        </w:tc>
        <w:tc>
          <w:tcPr>
            <w:tcW w:w="664" w:type="pct"/>
            <w:gridSpan w:val="2"/>
            <w:hideMark/>
          </w:tcPr>
          <w:p w14:paraId="17B8E07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(0.209)</w:t>
            </w:r>
          </w:p>
        </w:tc>
        <w:tc>
          <w:tcPr>
            <w:tcW w:w="681" w:type="pct"/>
            <w:hideMark/>
          </w:tcPr>
          <w:p w14:paraId="2A8862E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(0.182)</w:t>
            </w:r>
          </w:p>
        </w:tc>
      </w:tr>
      <w:tr w:rsidR="00F901B9" w:rsidRPr="00E16D3F" w14:paraId="5844D4D5"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BFF87A9" w14:textId="77777777" w:rsidR="00F901B9" w:rsidRPr="00E16D3F" w:rsidRDefault="00F901B9" w:rsidP="00F901B9">
            <w:pPr>
              <w:rPr>
                <w:b w:val="0"/>
              </w:rPr>
            </w:pPr>
          </w:p>
        </w:tc>
        <w:tc>
          <w:tcPr>
            <w:tcW w:w="619" w:type="pct"/>
            <w:hideMark/>
          </w:tcPr>
          <w:p w14:paraId="250429D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2BC6404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F9D94F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0B690DD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DDC8E44"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63A5E683" w14:textId="77777777" w:rsidR="00F901B9" w:rsidRPr="00E16D3F" w:rsidRDefault="00F901B9" w:rsidP="00F901B9">
            <w:pPr>
              <w:rPr>
                <w:b w:val="0"/>
              </w:rPr>
            </w:pPr>
            <w:r w:rsidRPr="00E16D3F">
              <w:rPr>
                <w:b w:val="0"/>
              </w:rPr>
              <w:t>Cross border electricity flows</w:t>
            </w:r>
          </w:p>
        </w:tc>
        <w:tc>
          <w:tcPr>
            <w:tcW w:w="619" w:type="pct"/>
            <w:hideMark/>
          </w:tcPr>
          <w:p w14:paraId="6E89287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0.712</w:t>
            </w:r>
            <w:r w:rsidRPr="00E16D3F">
              <w:rPr>
                <w:vertAlign w:val="superscript"/>
              </w:rPr>
              <w:t>***</w:t>
            </w:r>
          </w:p>
        </w:tc>
        <w:tc>
          <w:tcPr>
            <w:tcW w:w="620" w:type="pct"/>
            <w:hideMark/>
          </w:tcPr>
          <w:p w14:paraId="1EE19D1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0.716</w:t>
            </w:r>
            <w:r w:rsidRPr="00E16D3F">
              <w:rPr>
                <w:vertAlign w:val="superscript"/>
              </w:rPr>
              <w:t>***</w:t>
            </w:r>
          </w:p>
        </w:tc>
        <w:tc>
          <w:tcPr>
            <w:tcW w:w="664" w:type="pct"/>
            <w:gridSpan w:val="2"/>
            <w:hideMark/>
          </w:tcPr>
          <w:p w14:paraId="505468F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0.693</w:t>
            </w:r>
            <w:r w:rsidRPr="00E16D3F">
              <w:rPr>
                <w:vertAlign w:val="superscript"/>
              </w:rPr>
              <w:t>***</w:t>
            </w:r>
          </w:p>
        </w:tc>
        <w:tc>
          <w:tcPr>
            <w:tcW w:w="681" w:type="pct"/>
            <w:hideMark/>
          </w:tcPr>
          <w:p w14:paraId="514C0EB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0.728</w:t>
            </w:r>
            <w:r w:rsidRPr="00E16D3F">
              <w:rPr>
                <w:vertAlign w:val="superscript"/>
              </w:rPr>
              <w:t>***</w:t>
            </w:r>
          </w:p>
        </w:tc>
      </w:tr>
      <w:tr w:rsidR="00F901B9" w:rsidRPr="00E16D3F" w14:paraId="6728635D"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14AAB1B" w14:textId="77777777" w:rsidR="00F901B9" w:rsidRPr="00E16D3F" w:rsidRDefault="00F901B9" w:rsidP="00F901B9">
            <w:pPr>
              <w:rPr>
                <w:b w:val="0"/>
              </w:rPr>
            </w:pPr>
          </w:p>
        </w:tc>
        <w:tc>
          <w:tcPr>
            <w:tcW w:w="619" w:type="pct"/>
            <w:hideMark/>
          </w:tcPr>
          <w:p w14:paraId="689313E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(0.174)</w:t>
            </w:r>
          </w:p>
        </w:tc>
        <w:tc>
          <w:tcPr>
            <w:tcW w:w="620" w:type="pct"/>
            <w:hideMark/>
          </w:tcPr>
          <w:p w14:paraId="6D708B9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(0.175)</w:t>
            </w:r>
          </w:p>
        </w:tc>
        <w:tc>
          <w:tcPr>
            <w:tcW w:w="664" w:type="pct"/>
            <w:gridSpan w:val="2"/>
            <w:hideMark/>
          </w:tcPr>
          <w:p w14:paraId="11A822E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(0.203)</w:t>
            </w:r>
          </w:p>
        </w:tc>
        <w:tc>
          <w:tcPr>
            <w:tcW w:w="681" w:type="pct"/>
            <w:hideMark/>
          </w:tcPr>
          <w:p w14:paraId="7A4FEC4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(0.168)</w:t>
            </w:r>
          </w:p>
        </w:tc>
      </w:tr>
      <w:tr w:rsidR="00F901B9" w:rsidRPr="00E16D3F" w14:paraId="42E45F19"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378E57E" w14:textId="77777777" w:rsidR="00F901B9" w:rsidRPr="00E16D3F" w:rsidRDefault="00F901B9" w:rsidP="00F901B9">
            <w:pPr>
              <w:rPr>
                <w:b w:val="0"/>
              </w:rPr>
            </w:pPr>
          </w:p>
        </w:tc>
        <w:tc>
          <w:tcPr>
            <w:tcW w:w="619" w:type="pct"/>
            <w:hideMark/>
          </w:tcPr>
          <w:p w14:paraId="2008CC2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0C8D6CB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2890227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3C87DAD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6343D292"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E2123DD" w14:textId="77777777" w:rsidR="00F901B9" w:rsidRPr="00E16D3F" w:rsidRDefault="00F901B9" w:rsidP="00F901B9">
            <w:pPr>
              <w:rPr>
                <w:b w:val="0"/>
              </w:rPr>
            </w:pPr>
            <w:r w:rsidRPr="00E16D3F">
              <w:rPr>
                <w:b w:val="0"/>
              </w:rPr>
              <w:t>Cross border gas flows</w:t>
            </w:r>
          </w:p>
        </w:tc>
        <w:tc>
          <w:tcPr>
            <w:tcW w:w="619" w:type="pct"/>
            <w:hideMark/>
          </w:tcPr>
          <w:p w14:paraId="6869B0B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0.027</w:t>
            </w:r>
          </w:p>
        </w:tc>
        <w:tc>
          <w:tcPr>
            <w:tcW w:w="620" w:type="pct"/>
            <w:hideMark/>
          </w:tcPr>
          <w:p w14:paraId="39AC8D9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0.010</w:t>
            </w:r>
          </w:p>
        </w:tc>
        <w:tc>
          <w:tcPr>
            <w:tcW w:w="664" w:type="pct"/>
            <w:gridSpan w:val="2"/>
            <w:hideMark/>
          </w:tcPr>
          <w:p w14:paraId="2BC05CB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-0.046</w:t>
            </w:r>
          </w:p>
        </w:tc>
        <w:tc>
          <w:tcPr>
            <w:tcW w:w="681" w:type="pct"/>
            <w:hideMark/>
          </w:tcPr>
          <w:p w14:paraId="0DB13B7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-0.015</w:t>
            </w:r>
          </w:p>
        </w:tc>
      </w:tr>
      <w:tr w:rsidR="00F901B9" w:rsidRPr="00E16D3F" w14:paraId="136DCC18"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3BF212AA" w14:textId="77777777" w:rsidR="00F901B9" w:rsidRPr="00E16D3F" w:rsidRDefault="00F901B9" w:rsidP="00F901B9">
            <w:pPr>
              <w:rPr>
                <w:b w:val="0"/>
              </w:rPr>
            </w:pPr>
          </w:p>
        </w:tc>
        <w:tc>
          <w:tcPr>
            <w:tcW w:w="619" w:type="pct"/>
            <w:hideMark/>
          </w:tcPr>
          <w:p w14:paraId="50C2E59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(0.090)</w:t>
            </w:r>
          </w:p>
        </w:tc>
        <w:tc>
          <w:tcPr>
            <w:tcW w:w="620" w:type="pct"/>
            <w:hideMark/>
          </w:tcPr>
          <w:p w14:paraId="5FEF9A6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(0.090)</w:t>
            </w:r>
          </w:p>
        </w:tc>
        <w:tc>
          <w:tcPr>
            <w:tcW w:w="664" w:type="pct"/>
            <w:gridSpan w:val="2"/>
            <w:hideMark/>
          </w:tcPr>
          <w:p w14:paraId="0603C14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(0.097)</w:t>
            </w:r>
          </w:p>
        </w:tc>
        <w:tc>
          <w:tcPr>
            <w:tcW w:w="681" w:type="pct"/>
            <w:hideMark/>
          </w:tcPr>
          <w:p w14:paraId="591B9D4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(0.089)</w:t>
            </w:r>
          </w:p>
        </w:tc>
      </w:tr>
      <w:tr w:rsidR="00F901B9" w:rsidRPr="00E16D3F" w14:paraId="49369D3F"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763B6EA3" w14:textId="77777777" w:rsidR="00F901B9" w:rsidRPr="00E16D3F" w:rsidRDefault="00F901B9" w:rsidP="00F901B9">
            <w:pPr>
              <w:rPr>
                <w:b w:val="0"/>
              </w:rPr>
            </w:pPr>
          </w:p>
        </w:tc>
        <w:tc>
          <w:tcPr>
            <w:tcW w:w="619" w:type="pct"/>
            <w:hideMark/>
          </w:tcPr>
          <w:p w14:paraId="61104CB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495BD8B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396460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1708D74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597C49F0" w14:textId="77777777" w:rsidTr="00F901B9">
        <w:tc>
          <w:tcPr>
            <w:cnfStyle w:val="001000000000" w:firstRow="0" w:lastRow="0" w:firstColumn="1" w:lastColumn="0" w:oddVBand="0" w:evenVBand="0" w:oddHBand="0" w:evenHBand="0" w:firstRowFirstColumn="0" w:firstRowLastColumn="0" w:lastRowFirstColumn="0" w:lastRowLastColumn="0"/>
            <w:tcW w:w="2416" w:type="pct"/>
          </w:tcPr>
          <w:p w14:paraId="4F3B6269" w14:textId="77777777" w:rsidR="00F901B9" w:rsidRPr="00E16D3F" w:rsidRDefault="00F901B9" w:rsidP="00F901B9">
            <w:pPr>
              <w:rPr>
                <w:b w:val="0"/>
                <w:i/>
              </w:rPr>
            </w:pPr>
            <w:r w:rsidRPr="00E16D3F">
              <w:rPr>
                <w:b w:val="0"/>
                <w:i/>
              </w:rPr>
              <w:t>Endogenous dependencies:</w:t>
            </w:r>
          </w:p>
        </w:tc>
        <w:tc>
          <w:tcPr>
            <w:tcW w:w="619" w:type="pct"/>
          </w:tcPr>
          <w:p w14:paraId="343B3EE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tcPr>
          <w:p w14:paraId="5FE8AE7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tcPr>
          <w:p w14:paraId="7C7A95F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tcPr>
          <w:p w14:paraId="05D863E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0D151D93"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02D538F" w14:textId="77777777" w:rsidR="00F901B9" w:rsidRPr="00E16D3F" w:rsidRDefault="00F901B9" w:rsidP="00F901B9">
            <w:pPr>
              <w:rPr>
                <w:b w:val="0"/>
              </w:rPr>
            </w:pPr>
            <w:r w:rsidRPr="00E16D3F">
              <w:rPr>
                <w:b w:val="0"/>
              </w:rPr>
              <w:t>Reciprocity</w:t>
            </w:r>
          </w:p>
        </w:tc>
        <w:tc>
          <w:tcPr>
            <w:tcW w:w="619" w:type="pct"/>
            <w:hideMark/>
          </w:tcPr>
          <w:p w14:paraId="35EB407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2.092</w:t>
            </w:r>
            <w:r w:rsidRPr="00E16D3F">
              <w:rPr>
                <w:vertAlign w:val="superscript"/>
              </w:rPr>
              <w:t>***</w:t>
            </w:r>
          </w:p>
        </w:tc>
        <w:tc>
          <w:tcPr>
            <w:tcW w:w="620" w:type="pct"/>
            <w:hideMark/>
          </w:tcPr>
          <w:p w14:paraId="1D159CF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2.196</w:t>
            </w:r>
            <w:r w:rsidRPr="00E16D3F">
              <w:rPr>
                <w:vertAlign w:val="superscript"/>
              </w:rPr>
              <w:t>***</w:t>
            </w:r>
          </w:p>
        </w:tc>
        <w:tc>
          <w:tcPr>
            <w:tcW w:w="664" w:type="pct"/>
            <w:gridSpan w:val="2"/>
            <w:hideMark/>
          </w:tcPr>
          <w:p w14:paraId="61340B0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2.253</w:t>
            </w:r>
            <w:r w:rsidRPr="00E16D3F">
              <w:rPr>
                <w:vertAlign w:val="superscript"/>
              </w:rPr>
              <w:t>***</w:t>
            </w:r>
          </w:p>
        </w:tc>
        <w:tc>
          <w:tcPr>
            <w:tcW w:w="681" w:type="pct"/>
            <w:hideMark/>
          </w:tcPr>
          <w:p w14:paraId="2498983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2.229</w:t>
            </w:r>
            <w:r w:rsidRPr="00E16D3F">
              <w:rPr>
                <w:vertAlign w:val="superscript"/>
              </w:rPr>
              <w:t>***</w:t>
            </w:r>
          </w:p>
        </w:tc>
      </w:tr>
      <w:tr w:rsidR="00F901B9" w:rsidRPr="00E16D3F" w14:paraId="03AAABD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7E1C59D4" w14:textId="77777777" w:rsidR="00F901B9" w:rsidRPr="00E16D3F" w:rsidRDefault="00F901B9" w:rsidP="00F901B9">
            <w:pPr>
              <w:rPr>
                <w:b w:val="0"/>
              </w:rPr>
            </w:pPr>
          </w:p>
        </w:tc>
        <w:tc>
          <w:tcPr>
            <w:tcW w:w="619" w:type="pct"/>
            <w:hideMark/>
          </w:tcPr>
          <w:p w14:paraId="20AF1A8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(0.364)</w:t>
            </w:r>
          </w:p>
        </w:tc>
        <w:tc>
          <w:tcPr>
            <w:tcW w:w="620" w:type="pct"/>
            <w:hideMark/>
          </w:tcPr>
          <w:p w14:paraId="7899279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(0.360)</w:t>
            </w:r>
          </w:p>
        </w:tc>
        <w:tc>
          <w:tcPr>
            <w:tcW w:w="664" w:type="pct"/>
            <w:gridSpan w:val="2"/>
            <w:hideMark/>
          </w:tcPr>
          <w:p w14:paraId="2690024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(0.366)</w:t>
            </w:r>
          </w:p>
        </w:tc>
        <w:tc>
          <w:tcPr>
            <w:tcW w:w="681" w:type="pct"/>
            <w:hideMark/>
          </w:tcPr>
          <w:p w14:paraId="7DB4298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(0.357)</w:t>
            </w:r>
          </w:p>
        </w:tc>
      </w:tr>
      <w:tr w:rsidR="00F901B9" w:rsidRPr="00E16D3F" w14:paraId="7B2D43F6"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458F11C6" w14:textId="77777777" w:rsidR="00F901B9" w:rsidRPr="00E16D3F" w:rsidRDefault="00F901B9" w:rsidP="00F901B9">
            <w:pPr>
              <w:rPr>
                <w:b w:val="0"/>
              </w:rPr>
            </w:pPr>
          </w:p>
        </w:tc>
        <w:tc>
          <w:tcPr>
            <w:tcW w:w="619" w:type="pct"/>
            <w:hideMark/>
          </w:tcPr>
          <w:p w14:paraId="1CA9BB6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3686925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3A9EBF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08CEA8C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4FC056E2"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12952FA1" w14:textId="77777777" w:rsidR="00F901B9" w:rsidRPr="00E16D3F" w:rsidRDefault="00F901B9" w:rsidP="00F901B9">
            <w:pPr>
              <w:rPr>
                <w:b w:val="0"/>
              </w:rPr>
            </w:pPr>
            <w:r w:rsidRPr="00E16D3F">
              <w:rPr>
                <w:b w:val="0"/>
              </w:rPr>
              <w:t>Activity</w:t>
            </w:r>
          </w:p>
        </w:tc>
        <w:tc>
          <w:tcPr>
            <w:tcW w:w="619" w:type="pct"/>
            <w:hideMark/>
          </w:tcPr>
          <w:p w14:paraId="0050DF5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3.790</w:t>
            </w:r>
            <w:r w:rsidRPr="00E16D3F">
              <w:rPr>
                <w:vertAlign w:val="superscript"/>
              </w:rPr>
              <w:t>**</w:t>
            </w:r>
          </w:p>
        </w:tc>
        <w:tc>
          <w:tcPr>
            <w:tcW w:w="620" w:type="pct"/>
            <w:hideMark/>
          </w:tcPr>
          <w:p w14:paraId="3994309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3.989</w:t>
            </w:r>
            <w:r w:rsidRPr="00E16D3F">
              <w:rPr>
                <w:vertAlign w:val="superscript"/>
              </w:rPr>
              <w:t>***</w:t>
            </w:r>
          </w:p>
        </w:tc>
        <w:tc>
          <w:tcPr>
            <w:tcW w:w="664" w:type="pct"/>
            <w:gridSpan w:val="2"/>
            <w:hideMark/>
          </w:tcPr>
          <w:p w14:paraId="05190EF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3.601</w:t>
            </w:r>
            <w:r w:rsidRPr="00E16D3F">
              <w:rPr>
                <w:vertAlign w:val="superscript"/>
              </w:rPr>
              <w:t>**</w:t>
            </w:r>
          </w:p>
        </w:tc>
        <w:tc>
          <w:tcPr>
            <w:tcW w:w="681" w:type="pct"/>
            <w:hideMark/>
          </w:tcPr>
          <w:p w14:paraId="2D5FD02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4.127</w:t>
            </w:r>
            <w:r w:rsidRPr="00E16D3F">
              <w:rPr>
                <w:vertAlign w:val="superscript"/>
              </w:rPr>
              <w:t>**</w:t>
            </w:r>
          </w:p>
        </w:tc>
      </w:tr>
      <w:tr w:rsidR="00F901B9" w:rsidRPr="00E16D3F" w14:paraId="2A0595A0"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20D1EE3A" w14:textId="77777777" w:rsidR="00F901B9" w:rsidRPr="00E16D3F" w:rsidRDefault="00F901B9" w:rsidP="00F901B9">
            <w:pPr>
              <w:rPr>
                <w:b w:val="0"/>
              </w:rPr>
            </w:pPr>
          </w:p>
        </w:tc>
        <w:tc>
          <w:tcPr>
            <w:tcW w:w="619" w:type="pct"/>
            <w:hideMark/>
          </w:tcPr>
          <w:p w14:paraId="30ACDD8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(1.639)</w:t>
            </w:r>
          </w:p>
        </w:tc>
        <w:tc>
          <w:tcPr>
            <w:tcW w:w="620" w:type="pct"/>
            <w:hideMark/>
          </w:tcPr>
          <w:p w14:paraId="72BBF95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(1.521)</w:t>
            </w:r>
          </w:p>
        </w:tc>
        <w:tc>
          <w:tcPr>
            <w:tcW w:w="664" w:type="pct"/>
            <w:gridSpan w:val="2"/>
            <w:hideMark/>
          </w:tcPr>
          <w:p w14:paraId="305A0C6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(1.582)</w:t>
            </w:r>
          </w:p>
        </w:tc>
        <w:tc>
          <w:tcPr>
            <w:tcW w:w="681" w:type="pct"/>
            <w:hideMark/>
          </w:tcPr>
          <w:p w14:paraId="099B688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(1.672)</w:t>
            </w:r>
          </w:p>
        </w:tc>
      </w:tr>
      <w:tr w:rsidR="00F901B9" w:rsidRPr="00E16D3F" w14:paraId="2931676E"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3349F6C3" w14:textId="77777777" w:rsidR="00F901B9" w:rsidRPr="00E16D3F" w:rsidRDefault="00F901B9" w:rsidP="00F901B9">
            <w:pPr>
              <w:rPr>
                <w:b w:val="0"/>
              </w:rPr>
            </w:pPr>
          </w:p>
        </w:tc>
        <w:tc>
          <w:tcPr>
            <w:tcW w:w="619" w:type="pct"/>
            <w:hideMark/>
          </w:tcPr>
          <w:p w14:paraId="378C764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22A32B2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68BC814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22B8DE3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7D7096D"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6759A812" w14:textId="77777777" w:rsidR="00F901B9" w:rsidRPr="00E16D3F" w:rsidRDefault="00F901B9" w:rsidP="00F901B9">
            <w:pPr>
              <w:rPr>
                <w:b w:val="0"/>
              </w:rPr>
            </w:pPr>
            <w:r w:rsidRPr="00E16D3F">
              <w:rPr>
                <w:b w:val="0"/>
              </w:rPr>
              <w:t>Shared partners</w:t>
            </w:r>
          </w:p>
        </w:tc>
        <w:tc>
          <w:tcPr>
            <w:tcW w:w="619" w:type="pct"/>
            <w:hideMark/>
          </w:tcPr>
          <w:p w14:paraId="7591B4D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0.023</w:t>
            </w:r>
          </w:p>
        </w:tc>
        <w:tc>
          <w:tcPr>
            <w:tcW w:w="620" w:type="pct"/>
            <w:hideMark/>
          </w:tcPr>
          <w:p w14:paraId="71D2C6E9"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0.011</w:t>
            </w:r>
          </w:p>
        </w:tc>
        <w:tc>
          <w:tcPr>
            <w:tcW w:w="664" w:type="pct"/>
            <w:gridSpan w:val="2"/>
            <w:hideMark/>
          </w:tcPr>
          <w:p w14:paraId="3E25C4C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-0.015</w:t>
            </w:r>
          </w:p>
        </w:tc>
        <w:tc>
          <w:tcPr>
            <w:tcW w:w="681" w:type="pct"/>
            <w:hideMark/>
          </w:tcPr>
          <w:p w14:paraId="49FA713D"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0.006</w:t>
            </w:r>
          </w:p>
        </w:tc>
      </w:tr>
      <w:tr w:rsidR="00F901B9" w:rsidRPr="00E16D3F" w14:paraId="670F5800"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7F917362" w14:textId="77777777" w:rsidR="00F901B9" w:rsidRPr="00E16D3F" w:rsidRDefault="00F901B9" w:rsidP="00F901B9">
            <w:pPr>
              <w:rPr>
                <w:b w:val="0"/>
              </w:rPr>
            </w:pPr>
          </w:p>
        </w:tc>
        <w:tc>
          <w:tcPr>
            <w:tcW w:w="619" w:type="pct"/>
            <w:hideMark/>
          </w:tcPr>
          <w:p w14:paraId="0A04802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(0.032)</w:t>
            </w:r>
          </w:p>
        </w:tc>
        <w:tc>
          <w:tcPr>
            <w:tcW w:w="620" w:type="pct"/>
            <w:hideMark/>
          </w:tcPr>
          <w:p w14:paraId="69B5DE57"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(0.034)</w:t>
            </w:r>
          </w:p>
        </w:tc>
        <w:tc>
          <w:tcPr>
            <w:tcW w:w="664" w:type="pct"/>
            <w:gridSpan w:val="2"/>
            <w:hideMark/>
          </w:tcPr>
          <w:p w14:paraId="011F9EF4"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(0.035)</w:t>
            </w:r>
          </w:p>
        </w:tc>
        <w:tc>
          <w:tcPr>
            <w:tcW w:w="681" w:type="pct"/>
            <w:hideMark/>
          </w:tcPr>
          <w:p w14:paraId="3521A6F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(0.032)</w:t>
            </w:r>
          </w:p>
        </w:tc>
      </w:tr>
      <w:tr w:rsidR="00F901B9" w:rsidRPr="00E16D3F" w14:paraId="12418EEC"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52AFF085" w14:textId="77777777" w:rsidR="00F901B9" w:rsidRPr="00E16D3F" w:rsidRDefault="00F901B9" w:rsidP="00F901B9">
            <w:pPr>
              <w:rPr>
                <w:b w:val="0"/>
              </w:rPr>
            </w:pPr>
          </w:p>
        </w:tc>
        <w:tc>
          <w:tcPr>
            <w:tcW w:w="619" w:type="pct"/>
            <w:hideMark/>
          </w:tcPr>
          <w:p w14:paraId="42AB11DB"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hideMark/>
          </w:tcPr>
          <w:p w14:paraId="37D8DBD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hideMark/>
          </w:tcPr>
          <w:p w14:paraId="1576CCC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hideMark/>
          </w:tcPr>
          <w:p w14:paraId="099AC9E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73DD4C59"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7814B6F1" w14:textId="77777777" w:rsidR="00F901B9" w:rsidRPr="00E16D3F" w:rsidRDefault="00F901B9" w:rsidP="00F901B9">
            <w:pPr>
              <w:rPr>
                <w:b w:val="0"/>
              </w:rPr>
            </w:pPr>
            <w:r w:rsidRPr="00E16D3F">
              <w:rPr>
                <w:b w:val="0"/>
              </w:rPr>
              <w:t>Transitivity</w:t>
            </w:r>
          </w:p>
        </w:tc>
        <w:tc>
          <w:tcPr>
            <w:tcW w:w="619" w:type="pct"/>
            <w:hideMark/>
          </w:tcPr>
          <w:p w14:paraId="4DBB392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1.191</w:t>
            </w:r>
            <w:r w:rsidRPr="00E16D3F">
              <w:rPr>
                <w:vertAlign w:val="superscript"/>
              </w:rPr>
              <w:t>***</w:t>
            </w:r>
          </w:p>
        </w:tc>
        <w:tc>
          <w:tcPr>
            <w:tcW w:w="620" w:type="pct"/>
            <w:hideMark/>
          </w:tcPr>
          <w:p w14:paraId="228B9150"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1.154</w:t>
            </w:r>
            <w:r w:rsidRPr="00E16D3F">
              <w:rPr>
                <w:vertAlign w:val="superscript"/>
              </w:rPr>
              <w:t>***</w:t>
            </w:r>
          </w:p>
        </w:tc>
        <w:tc>
          <w:tcPr>
            <w:tcW w:w="664" w:type="pct"/>
            <w:gridSpan w:val="2"/>
            <w:hideMark/>
          </w:tcPr>
          <w:p w14:paraId="5F527A3C"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1.032</w:t>
            </w:r>
            <w:r w:rsidRPr="00E16D3F">
              <w:rPr>
                <w:vertAlign w:val="superscript"/>
              </w:rPr>
              <w:t>***</w:t>
            </w:r>
          </w:p>
        </w:tc>
        <w:tc>
          <w:tcPr>
            <w:tcW w:w="681" w:type="pct"/>
            <w:hideMark/>
          </w:tcPr>
          <w:p w14:paraId="7A283745"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1.131</w:t>
            </w:r>
            <w:r w:rsidRPr="00E16D3F">
              <w:rPr>
                <w:vertAlign w:val="superscript"/>
              </w:rPr>
              <w:t>***</w:t>
            </w:r>
          </w:p>
        </w:tc>
      </w:tr>
      <w:tr w:rsidR="00F901B9" w:rsidRPr="00E16D3F" w14:paraId="145AAC27" w14:textId="77777777" w:rsidTr="00F901B9">
        <w:tc>
          <w:tcPr>
            <w:cnfStyle w:val="001000000000" w:firstRow="0" w:lastRow="0" w:firstColumn="1" w:lastColumn="0" w:oddVBand="0" w:evenVBand="0" w:oddHBand="0" w:evenHBand="0" w:firstRowFirstColumn="0" w:firstRowLastColumn="0" w:lastRowFirstColumn="0" w:lastRowLastColumn="0"/>
            <w:tcW w:w="2416" w:type="pct"/>
            <w:hideMark/>
          </w:tcPr>
          <w:p w14:paraId="0BC6DCF5" w14:textId="77777777" w:rsidR="00F901B9" w:rsidRPr="00E16D3F" w:rsidRDefault="00F901B9" w:rsidP="00F901B9">
            <w:pPr>
              <w:rPr>
                <w:b w:val="0"/>
              </w:rPr>
            </w:pPr>
          </w:p>
        </w:tc>
        <w:tc>
          <w:tcPr>
            <w:tcW w:w="619" w:type="pct"/>
            <w:hideMark/>
          </w:tcPr>
          <w:p w14:paraId="671768C3"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(0.198)</w:t>
            </w:r>
          </w:p>
        </w:tc>
        <w:tc>
          <w:tcPr>
            <w:tcW w:w="620" w:type="pct"/>
            <w:hideMark/>
          </w:tcPr>
          <w:p w14:paraId="081ADEC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(0.193)</w:t>
            </w:r>
          </w:p>
        </w:tc>
        <w:tc>
          <w:tcPr>
            <w:tcW w:w="664" w:type="pct"/>
            <w:gridSpan w:val="2"/>
            <w:hideMark/>
          </w:tcPr>
          <w:p w14:paraId="09E22FC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(0.196)</w:t>
            </w:r>
          </w:p>
        </w:tc>
        <w:tc>
          <w:tcPr>
            <w:tcW w:w="681" w:type="pct"/>
            <w:hideMark/>
          </w:tcPr>
          <w:p w14:paraId="454F757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(0.191)</w:t>
            </w:r>
          </w:p>
        </w:tc>
      </w:tr>
      <w:tr w:rsidR="00F901B9" w:rsidRPr="00E16D3F" w14:paraId="60DAF3BF" w14:textId="77777777" w:rsidTr="00F901B9">
        <w:tc>
          <w:tcPr>
            <w:cnfStyle w:val="001000000000" w:firstRow="0" w:lastRow="0" w:firstColumn="1" w:lastColumn="0" w:oddVBand="0" w:evenVBand="0" w:oddHBand="0" w:evenHBand="0" w:firstRowFirstColumn="0" w:firstRowLastColumn="0" w:lastRowFirstColumn="0" w:lastRowLastColumn="0"/>
            <w:tcW w:w="2416" w:type="pct"/>
            <w:tcBorders>
              <w:bottom w:val="single" w:sz="4" w:space="0" w:color="auto"/>
            </w:tcBorders>
            <w:hideMark/>
          </w:tcPr>
          <w:p w14:paraId="758B1E0B" w14:textId="77777777" w:rsidR="00F901B9" w:rsidRPr="00E16D3F" w:rsidRDefault="00F901B9" w:rsidP="00F901B9">
            <w:pPr>
              <w:rPr>
                <w:b w:val="0"/>
              </w:rPr>
            </w:pPr>
          </w:p>
        </w:tc>
        <w:tc>
          <w:tcPr>
            <w:tcW w:w="619" w:type="pct"/>
            <w:tcBorders>
              <w:bottom w:val="single" w:sz="4" w:space="0" w:color="auto"/>
            </w:tcBorders>
            <w:hideMark/>
          </w:tcPr>
          <w:p w14:paraId="750C8FF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20" w:type="pct"/>
            <w:tcBorders>
              <w:bottom w:val="single" w:sz="4" w:space="0" w:color="auto"/>
            </w:tcBorders>
            <w:hideMark/>
          </w:tcPr>
          <w:p w14:paraId="7DFB0BC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64" w:type="pct"/>
            <w:gridSpan w:val="2"/>
            <w:tcBorders>
              <w:bottom w:val="single" w:sz="4" w:space="0" w:color="auto"/>
            </w:tcBorders>
            <w:hideMark/>
          </w:tcPr>
          <w:p w14:paraId="2300D66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c>
          <w:tcPr>
            <w:tcW w:w="681" w:type="pct"/>
            <w:tcBorders>
              <w:bottom w:val="single" w:sz="4" w:space="0" w:color="auto"/>
            </w:tcBorders>
            <w:hideMark/>
          </w:tcPr>
          <w:p w14:paraId="722DC491"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p>
        </w:tc>
      </w:tr>
      <w:tr w:rsidR="00F901B9" w:rsidRPr="00E16D3F" w14:paraId="2A74F642" w14:textId="77777777" w:rsidTr="00F901B9">
        <w:tc>
          <w:tcPr>
            <w:cnfStyle w:val="001000000000" w:firstRow="0" w:lastRow="0" w:firstColumn="1" w:lastColumn="0" w:oddVBand="0" w:evenVBand="0" w:oddHBand="0" w:evenHBand="0" w:firstRowFirstColumn="0" w:firstRowLastColumn="0" w:lastRowFirstColumn="0" w:lastRowLastColumn="0"/>
            <w:tcW w:w="2416" w:type="pct"/>
            <w:tcBorders>
              <w:top w:val="single" w:sz="4" w:space="0" w:color="auto"/>
            </w:tcBorders>
            <w:hideMark/>
          </w:tcPr>
          <w:p w14:paraId="4AC5D701" w14:textId="77777777" w:rsidR="00F901B9" w:rsidRPr="00E16D3F" w:rsidRDefault="00F901B9" w:rsidP="00F901B9">
            <w:pPr>
              <w:rPr>
                <w:b w:val="0"/>
              </w:rPr>
            </w:pPr>
            <w:r w:rsidRPr="00E16D3F">
              <w:rPr>
                <w:b w:val="0"/>
              </w:rPr>
              <w:t>Akaike Inf. Crit.</w:t>
            </w:r>
          </w:p>
        </w:tc>
        <w:tc>
          <w:tcPr>
            <w:tcW w:w="619" w:type="pct"/>
            <w:tcBorders>
              <w:top w:val="single" w:sz="4" w:space="0" w:color="auto"/>
            </w:tcBorders>
            <w:hideMark/>
          </w:tcPr>
          <w:p w14:paraId="22D61B6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501.039</w:t>
            </w:r>
          </w:p>
        </w:tc>
        <w:tc>
          <w:tcPr>
            <w:tcW w:w="620" w:type="pct"/>
            <w:tcBorders>
              <w:top w:val="single" w:sz="4" w:space="0" w:color="auto"/>
            </w:tcBorders>
            <w:hideMark/>
          </w:tcPr>
          <w:p w14:paraId="0AE70B2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506.378</w:t>
            </w:r>
          </w:p>
        </w:tc>
        <w:tc>
          <w:tcPr>
            <w:tcW w:w="664" w:type="pct"/>
            <w:gridSpan w:val="2"/>
            <w:tcBorders>
              <w:top w:val="single" w:sz="4" w:space="0" w:color="auto"/>
            </w:tcBorders>
            <w:hideMark/>
          </w:tcPr>
          <w:p w14:paraId="5CA48A5F"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505.162</w:t>
            </w:r>
          </w:p>
        </w:tc>
        <w:tc>
          <w:tcPr>
            <w:tcW w:w="681" w:type="pct"/>
            <w:tcBorders>
              <w:top w:val="single" w:sz="4" w:space="0" w:color="auto"/>
            </w:tcBorders>
            <w:hideMark/>
          </w:tcPr>
          <w:p w14:paraId="2F5D543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504.978</w:t>
            </w:r>
          </w:p>
        </w:tc>
      </w:tr>
      <w:tr w:rsidR="00F901B9" w:rsidRPr="00E16D3F" w14:paraId="2AC0DA2F" w14:textId="77777777" w:rsidTr="00F901B9">
        <w:tc>
          <w:tcPr>
            <w:cnfStyle w:val="001000000000" w:firstRow="0" w:lastRow="0" w:firstColumn="1" w:lastColumn="0" w:oddVBand="0" w:evenVBand="0" w:oddHBand="0" w:evenHBand="0" w:firstRowFirstColumn="0" w:firstRowLastColumn="0" w:lastRowFirstColumn="0" w:lastRowLastColumn="0"/>
            <w:tcW w:w="2416" w:type="pct"/>
            <w:tcBorders>
              <w:bottom w:val="single" w:sz="4" w:space="0" w:color="auto"/>
            </w:tcBorders>
            <w:hideMark/>
          </w:tcPr>
          <w:p w14:paraId="64181CDD" w14:textId="77777777" w:rsidR="00F901B9" w:rsidRPr="00E16D3F" w:rsidRDefault="00F901B9" w:rsidP="00F901B9">
            <w:pPr>
              <w:rPr>
                <w:b w:val="0"/>
              </w:rPr>
            </w:pPr>
            <w:r w:rsidRPr="00E16D3F">
              <w:rPr>
                <w:b w:val="0"/>
              </w:rPr>
              <w:t>Bayesian Inf. Crit.</w:t>
            </w:r>
          </w:p>
        </w:tc>
        <w:tc>
          <w:tcPr>
            <w:tcW w:w="619" w:type="pct"/>
            <w:tcBorders>
              <w:bottom w:val="single" w:sz="4" w:space="0" w:color="auto"/>
            </w:tcBorders>
            <w:hideMark/>
          </w:tcPr>
          <w:p w14:paraId="0C1830CA"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562.132</w:t>
            </w:r>
          </w:p>
        </w:tc>
        <w:tc>
          <w:tcPr>
            <w:tcW w:w="620" w:type="pct"/>
            <w:tcBorders>
              <w:bottom w:val="single" w:sz="4" w:space="0" w:color="auto"/>
            </w:tcBorders>
            <w:hideMark/>
          </w:tcPr>
          <w:p w14:paraId="17147B72"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567.472</w:t>
            </w:r>
          </w:p>
        </w:tc>
        <w:tc>
          <w:tcPr>
            <w:tcW w:w="664" w:type="pct"/>
            <w:gridSpan w:val="2"/>
            <w:tcBorders>
              <w:bottom w:val="single" w:sz="4" w:space="0" w:color="auto"/>
            </w:tcBorders>
            <w:hideMark/>
          </w:tcPr>
          <w:p w14:paraId="07D07186"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585.054</w:t>
            </w:r>
          </w:p>
        </w:tc>
        <w:tc>
          <w:tcPr>
            <w:tcW w:w="681" w:type="pct"/>
            <w:tcBorders>
              <w:bottom w:val="single" w:sz="4" w:space="0" w:color="auto"/>
            </w:tcBorders>
            <w:hideMark/>
          </w:tcPr>
          <w:p w14:paraId="629FE27E"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t>561.372</w:t>
            </w:r>
          </w:p>
        </w:tc>
      </w:tr>
      <w:tr w:rsidR="00F901B9" w:rsidRPr="00E16D3F" w14:paraId="086A2C0A" w14:textId="77777777" w:rsidTr="00F901B9">
        <w:tblPrEx>
          <w:tblBorders>
            <w:top w:val="single" w:sz="4" w:space="0" w:color="7F7F7F" w:themeColor="text1" w:themeTint="80"/>
            <w:bottom w:val="single" w:sz="4" w:space="0" w:color="7F7F7F" w:themeColor="text1" w:themeTint="80"/>
          </w:tblBorders>
        </w:tblPrEx>
        <w:tc>
          <w:tcPr>
            <w:cnfStyle w:val="001000000000" w:firstRow="0" w:lastRow="0" w:firstColumn="1" w:lastColumn="0" w:oddVBand="0" w:evenVBand="0" w:oddHBand="0" w:evenHBand="0" w:firstRowFirstColumn="0" w:firstRowLastColumn="0" w:lastRowFirstColumn="0" w:lastRowLastColumn="0"/>
            <w:tcW w:w="2416" w:type="pct"/>
            <w:tcBorders>
              <w:top w:val="single" w:sz="4" w:space="0" w:color="auto"/>
            </w:tcBorders>
          </w:tcPr>
          <w:p w14:paraId="437F11D1" w14:textId="77777777" w:rsidR="00F901B9" w:rsidRPr="00E16D3F" w:rsidRDefault="00F901B9" w:rsidP="00F901B9">
            <w:pPr>
              <w:rPr>
                <w:b w:val="0"/>
              </w:rPr>
            </w:pPr>
            <w:r w:rsidRPr="00E16D3F">
              <w:rPr>
                <w:b w:val="0"/>
                <w:i/>
                <w:iCs/>
              </w:rPr>
              <w:t>Note:</w:t>
            </w:r>
            <w:r w:rsidRPr="00E16D3F">
              <w:rPr>
                <w:b w:val="0"/>
                <w:vertAlign w:val="superscript"/>
              </w:rPr>
              <w:t xml:space="preserve"> </w:t>
            </w:r>
          </w:p>
        </w:tc>
        <w:tc>
          <w:tcPr>
            <w:tcW w:w="2584" w:type="pct"/>
            <w:gridSpan w:val="5"/>
            <w:tcBorders>
              <w:top w:val="single" w:sz="4" w:space="0" w:color="auto"/>
            </w:tcBorders>
          </w:tcPr>
          <w:p w14:paraId="7CDB6978" w14:textId="77777777" w:rsidR="00F901B9" w:rsidRPr="00E16D3F" w:rsidRDefault="00F901B9" w:rsidP="00F901B9">
            <w:pPr>
              <w:cnfStyle w:val="000000000000" w:firstRow="0" w:lastRow="0" w:firstColumn="0" w:lastColumn="0" w:oddVBand="0" w:evenVBand="0" w:oddHBand="0" w:evenHBand="0" w:firstRowFirstColumn="0" w:firstRowLastColumn="0" w:lastRowFirstColumn="0" w:lastRowLastColumn="0"/>
            </w:pPr>
            <w:r w:rsidRPr="00E16D3F">
              <w:rPr>
                <w:vertAlign w:val="superscript"/>
              </w:rPr>
              <w:t>*</w:t>
            </w:r>
            <w:r w:rsidRPr="00E16D3F">
              <w:t>p&lt;0.1; </w:t>
            </w:r>
            <w:r w:rsidRPr="00E16D3F">
              <w:rPr>
                <w:vertAlign w:val="superscript"/>
              </w:rPr>
              <w:t>**</w:t>
            </w:r>
            <w:r w:rsidRPr="00E16D3F">
              <w:t>p&lt;0.05; </w:t>
            </w:r>
            <w:r w:rsidRPr="00E16D3F">
              <w:rPr>
                <w:vertAlign w:val="superscript"/>
              </w:rPr>
              <w:t>***</w:t>
            </w:r>
            <w:r w:rsidRPr="00E16D3F">
              <w:t>p&lt;0.01</w:t>
            </w:r>
          </w:p>
        </w:tc>
      </w:tr>
    </w:tbl>
    <w:p w14:paraId="6C283074" w14:textId="77777777" w:rsidR="00F901B9" w:rsidRDefault="00F901B9" w:rsidP="00F901B9">
      <w:pPr>
        <w:suppressAutoHyphens w:val="0"/>
        <w:spacing w:after="160" w:line="259" w:lineRule="auto"/>
      </w:pPr>
      <w:r>
        <w:br w:type="page"/>
      </w:r>
    </w:p>
    <w:p w14:paraId="5CD7D484" w14:textId="77777777" w:rsidR="00037F2C" w:rsidRDefault="00037F2C"/>
    <w:sectPr w:rsidR="00037F2C" w:rsidSect="00F90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1343F"/>
    <w:multiLevelType w:val="multilevel"/>
    <w:tmpl w:val="40F2EB18"/>
    <w:styleLink w:val="Style1"/>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FB5679"/>
    <w:multiLevelType w:val="multilevel"/>
    <w:tmpl w:val="D7EC0538"/>
    <w:lvl w:ilvl="0">
      <w:start w:val="1"/>
      <w:numFmt w:val="decimal"/>
      <w:suff w:val="space"/>
      <w:lvlText w:val="Chapter %1"/>
      <w:lvlJc w:val="left"/>
      <w:pPr>
        <w:ind w:left="360" w:firstLine="0"/>
      </w:pPr>
      <w:rPr>
        <w:rFonts w:hint="default"/>
      </w:rPr>
    </w:lvl>
    <w:lvl w:ilvl="1">
      <w:start w:val="1"/>
      <w:numFmt w:val="none"/>
      <w:pStyle w:val="Heading2"/>
      <w:suff w:val="nothing"/>
      <w:lvlText w:val=""/>
      <w:lvlJc w:val="left"/>
      <w:pPr>
        <w:ind w:left="360" w:firstLine="0"/>
      </w:pPr>
      <w:rPr>
        <w:rFonts w:hint="default"/>
      </w:rPr>
    </w:lvl>
    <w:lvl w:ilvl="2">
      <w:start w:val="1"/>
      <w:numFmt w:val="none"/>
      <w:pStyle w:val="Heading3"/>
      <w:suff w:val="nothing"/>
      <w:lvlText w:val=""/>
      <w:lvlJc w:val="left"/>
      <w:pPr>
        <w:ind w:left="360" w:firstLine="0"/>
      </w:pPr>
      <w:rPr>
        <w:rFonts w:hint="default"/>
      </w:rPr>
    </w:lvl>
    <w:lvl w:ilvl="3">
      <w:start w:val="1"/>
      <w:numFmt w:val="none"/>
      <w:pStyle w:val="Heading4"/>
      <w:suff w:val="nothing"/>
      <w:lvlText w:val=""/>
      <w:lvlJc w:val="left"/>
      <w:pPr>
        <w:ind w:left="360" w:firstLine="0"/>
      </w:pPr>
      <w:rPr>
        <w:rFonts w:hint="default"/>
      </w:rPr>
    </w:lvl>
    <w:lvl w:ilvl="4">
      <w:start w:val="1"/>
      <w:numFmt w:val="none"/>
      <w:pStyle w:val="Heading5"/>
      <w:suff w:val="nothing"/>
      <w:lvlText w:val=""/>
      <w:lvlJc w:val="left"/>
      <w:pPr>
        <w:ind w:left="360" w:firstLine="0"/>
      </w:pPr>
      <w:rPr>
        <w:rFonts w:hint="default"/>
      </w:rPr>
    </w:lvl>
    <w:lvl w:ilvl="5">
      <w:start w:val="1"/>
      <w:numFmt w:val="none"/>
      <w:pStyle w:val="Heading6"/>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B9"/>
    <w:rsid w:val="00006576"/>
    <w:rsid w:val="00016831"/>
    <w:rsid w:val="00021E21"/>
    <w:rsid w:val="000339B0"/>
    <w:rsid w:val="00035630"/>
    <w:rsid w:val="00035D46"/>
    <w:rsid w:val="00037F2C"/>
    <w:rsid w:val="000408A2"/>
    <w:rsid w:val="00041064"/>
    <w:rsid w:val="00041CF5"/>
    <w:rsid w:val="00050ADB"/>
    <w:rsid w:val="00051CED"/>
    <w:rsid w:val="00063A67"/>
    <w:rsid w:val="00071CB9"/>
    <w:rsid w:val="00074629"/>
    <w:rsid w:val="0007640F"/>
    <w:rsid w:val="00076FAC"/>
    <w:rsid w:val="00080E8C"/>
    <w:rsid w:val="0008395E"/>
    <w:rsid w:val="000845C1"/>
    <w:rsid w:val="000872D4"/>
    <w:rsid w:val="00093264"/>
    <w:rsid w:val="0009470C"/>
    <w:rsid w:val="0009587B"/>
    <w:rsid w:val="00097A08"/>
    <w:rsid w:val="000A51E9"/>
    <w:rsid w:val="000B0764"/>
    <w:rsid w:val="000B3B11"/>
    <w:rsid w:val="000C58A3"/>
    <w:rsid w:val="000C6ED3"/>
    <w:rsid w:val="000D2543"/>
    <w:rsid w:val="000E25E3"/>
    <w:rsid w:val="000F4775"/>
    <w:rsid w:val="000F62D8"/>
    <w:rsid w:val="0010182E"/>
    <w:rsid w:val="00104E32"/>
    <w:rsid w:val="001052F0"/>
    <w:rsid w:val="00105546"/>
    <w:rsid w:val="00121F0A"/>
    <w:rsid w:val="00122367"/>
    <w:rsid w:val="0012471D"/>
    <w:rsid w:val="00126517"/>
    <w:rsid w:val="00131BD9"/>
    <w:rsid w:val="001345A4"/>
    <w:rsid w:val="00136E2D"/>
    <w:rsid w:val="00137877"/>
    <w:rsid w:val="0014030A"/>
    <w:rsid w:val="0014292D"/>
    <w:rsid w:val="00142C66"/>
    <w:rsid w:val="00143E41"/>
    <w:rsid w:val="00147164"/>
    <w:rsid w:val="00151305"/>
    <w:rsid w:val="0015212F"/>
    <w:rsid w:val="00166294"/>
    <w:rsid w:val="0016731F"/>
    <w:rsid w:val="00167893"/>
    <w:rsid w:val="00172DA0"/>
    <w:rsid w:val="00184644"/>
    <w:rsid w:val="0018683F"/>
    <w:rsid w:val="00196B1B"/>
    <w:rsid w:val="00197D17"/>
    <w:rsid w:val="001A40FB"/>
    <w:rsid w:val="001A5446"/>
    <w:rsid w:val="001B2805"/>
    <w:rsid w:val="001B47C2"/>
    <w:rsid w:val="001C3F08"/>
    <w:rsid w:val="001C4E63"/>
    <w:rsid w:val="001D016C"/>
    <w:rsid w:val="001D1C92"/>
    <w:rsid w:val="001D376C"/>
    <w:rsid w:val="001D4FAB"/>
    <w:rsid w:val="001E22E6"/>
    <w:rsid w:val="001E4F2D"/>
    <w:rsid w:val="001F0A57"/>
    <w:rsid w:val="001F3E98"/>
    <w:rsid w:val="001F65C1"/>
    <w:rsid w:val="002006B7"/>
    <w:rsid w:val="002031AB"/>
    <w:rsid w:val="002036A2"/>
    <w:rsid w:val="00213D88"/>
    <w:rsid w:val="0021534B"/>
    <w:rsid w:val="0022392A"/>
    <w:rsid w:val="00225B87"/>
    <w:rsid w:val="002323AB"/>
    <w:rsid w:val="00235807"/>
    <w:rsid w:val="00236862"/>
    <w:rsid w:val="0023767B"/>
    <w:rsid w:val="00242836"/>
    <w:rsid w:val="0024330A"/>
    <w:rsid w:val="002514F1"/>
    <w:rsid w:val="00253744"/>
    <w:rsid w:val="002603BC"/>
    <w:rsid w:val="00260D0B"/>
    <w:rsid w:val="002620DB"/>
    <w:rsid w:val="00264B17"/>
    <w:rsid w:val="002716C0"/>
    <w:rsid w:val="002723F4"/>
    <w:rsid w:val="00272F71"/>
    <w:rsid w:val="00275F12"/>
    <w:rsid w:val="00275F3F"/>
    <w:rsid w:val="002761D8"/>
    <w:rsid w:val="002806F3"/>
    <w:rsid w:val="00281A8F"/>
    <w:rsid w:val="00282868"/>
    <w:rsid w:val="00287150"/>
    <w:rsid w:val="00291105"/>
    <w:rsid w:val="002929A3"/>
    <w:rsid w:val="002941D5"/>
    <w:rsid w:val="002A1EF9"/>
    <w:rsid w:val="002A74BA"/>
    <w:rsid w:val="002B19C9"/>
    <w:rsid w:val="002B27CD"/>
    <w:rsid w:val="002B4A61"/>
    <w:rsid w:val="002C1FD9"/>
    <w:rsid w:val="002C480A"/>
    <w:rsid w:val="002E7547"/>
    <w:rsid w:val="002E7DA8"/>
    <w:rsid w:val="002F0616"/>
    <w:rsid w:val="002F3810"/>
    <w:rsid w:val="002F44FD"/>
    <w:rsid w:val="003069A9"/>
    <w:rsid w:val="00315917"/>
    <w:rsid w:val="00322FD4"/>
    <w:rsid w:val="00323260"/>
    <w:rsid w:val="00324996"/>
    <w:rsid w:val="00324C71"/>
    <w:rsid w:val="00326C42"/>
    <w:rsid w:val="0033431E"/>
    <w:rsid w:val="00341A09"/>
    <w:rsid w:val="00343811"/>
    <w:rsid w:val="00354D35"/>
    <w:rsid w:val="00355DDC"/>
    <w:rsid w:val="003579EA"/>
    <w:rsid w:val="00360E41"/>
    <w:rsid w:val="00367991"/>
    <w:rsid w:val="003725BA"/>
    <w:rsid w:val="00377320"/>
    <w:rsid w:val="003817F7"/>
    <w:rsid w:val="003850F0"/>
    <w:rsid w:val="003856FC"/>
    <w:rsid w:val="00385ABD"/>
    <w:rsid w:val="003874EB"/>
    <w:rsid w:val="00387EFE"/>
    <w:rsid w:val="00390055"/>
    <w:rsid w:val="0039141E"/>
    <w:rsid w:val="00392195"/>
    <w:rsid w:val="003937E4"/>
    <w:rsid w:val="00393D9B"/>
    <w:rsid w:val="003943A8"/>
    <w:rsid w:val="00397297"/>
    <w:rsid w:val="003A359B"/>
    <w:rsid w:val="003A460C"/>
    <w:rsid w:val="003A596F"/>
    <w:rsid w:val="003B0BFC"/>
    <w:rsid w:val="003B17DB"/>
    <w:rsid w:val="003B2829"/>
    <w:rsid w:val="003B2866"/>
    <w:rsid w:val="003B682B"/>
    <w:rsid w:val="003C1D84"/>
    <w:rsid w:val="003C38DD"/>
    <w:rsid w:val="003D2A16"/>
    <w:rsid w:val="003D3A04"/>
    <w:rsid w:val="003D3CCA"/>
    <w:rsid w:val="003D7B20"/>
    <w:rsid w:val="003E33E3"/>
    <w:rsid w:val="003E6D97"/>
    <w:rsid w:val="003F6927"/>
    <w:rsid w:val="00402ECB"/>
    <w:rsid w:val="00404632"/>
    <w:rsid w:val="004066AE"/>
    <w:rsid w:val="00406AF1"/>
    <w:rsid w:val="00424F76"/>
    <w:rsid w:val="00430AE2"/>
    <w:rsid w:val="00440232"/>
    <w:rsid w:val="00440861"/>
    <w:rsid w:val="00442189"/>
    <w:rsid w:val="004445BA"/>
    <w:rsid w:val="004457E9"/>
    <w:rsid w:val="00445B5A"/>
    <w:rsid w:val="00455F47"/>
    <w:rsid w:val="00456335"/>
    <w:rsid w:val="00464F59"/>
    <w:rsid w:val="00466577"/>
    <w:rsid w:val="004703A1"/>
    <w:rsid w:val="00473E56"/>
    <w:rsid w:val="00474F91"/>
    <w:rsid w:val="00483306"/>
    <w:rsid w:val="004836A5"/>
    <w:rsid w:val="00492B1D"/>
    <w:rsid w:val="0049602D"/>
    <w:rsid w:val="00496D4C"/>
    <w:rsid w:val="004A23AF"/>
    <w:rsid w:val="004A30DA"/>
    <w:rsid w:val="004A34EE"/>
    <w:rsid w:val="004A5507"/>
    <w:rsid w:val="004A5577"/>
    <w:rsid w:val="004B0BF4"/>
    <w:rsid w:val="004B75D7"/>
    <w:rsid w:val="004C22AA"/>
    <w:rsid w:val="004C429E"/>
    <w:rsid w:val="004C68E0"/>
    <w:rsid w:val="004C6D94"/>
    <w:rsid w:val="004D03E1"/>
    <w:rsid w:val="004D0C87"/>
    <w:rsid w:val="004E43AD"/>
    <w:rsid w:val="004E7C2A"/>
    <w:rsid w:val="004F1709"/>
    <w:rsid w:val="004F5918"/>
    <w:rsid w:val="004F7F22"/>
    <w:rsid w:val="005008E5"/>
    <w:rsid w:val="00500D6F"/>
    <w:rsid w:val="00506325"/>
    <w:rsid w:val="00506C5E"/>
    <w:rsid w:val="00511D07"/>
    <w:rsid w:val="00512FD5"/>
    <w:rsid w:val="0051330B"/>
    <w:rsid w:val="005155EF"/>
    <w:rsid w:val="005230B7"/>
    <w:rsid w:val="00524C1B"/>
    <w:rsid w:val="0053342E"/>
    <w:rsid w:val="005343FE"/>
    <w:rsid w:val="00536722"/>
    <w:rsid w:val="005414A8"/>
    <w:rsid w:val="00543D88"/>
    <w:rsid w:val="00550A17"/>
    <w:rsid w:val="00551A66"/>
    <w:rsid w:val="00554493"/>
    <w:rsid w:val="00556B1E"/>
    <w:rsid w:val="005615CE"/>
    <w:rsid w:val="00566FF7"/>
    <w:rsid w:val="00567DB0"/>
    <w:rsid w:val="00570772"/>
    <w:rsid w:val="00575DF4"/>
    <w:rsid w:val="00577120"/>
    <w:rsid w:val="00577292"/>
    <w:rsid w:val="005812FB"/>
    <w:rsid w:val="0058440B"/>
    <w:rsid w:val="00585C3F"/>
    <w:rsid w:val="005930A0"/>
    <w:rsid w:val="0059419E"/>
    <w:rsid w:val="005A1A20"/>
    <w:rsid w:val="005A5757"/>
    <w:rsid w:val="005B2FCF"/>
    <w:rsid w:val="005B5CF5"/>
    <w:rsid w:val="005C5BD0"/>
    <w:rsid w:val="005D300B"/>
    <w:rsid w:val="005D629E"/>
    <w:rsid w:val="005E5748"/>
    <w:rsid w:val="005E7BD5"/>
    <w:rsid w:val="005F0541"/>
    <w:rsid w:val="005F1B88"/>
    <w:rsid w:val="005F1EAD"/>
    <w:rsid w:val="005F4E1F"/>
    <w:rsid w:val="00600413"/>
    <w:rsid w:val="00603912"/>
    <w:rsid w:val="00603DB2"/>
    <w:rsid w:val="00615E90"/>
    <w:rsid w:val="00631DC3"/>
    <w:rsid w:val="00636057"/>
    <w:rsid w:val="006372C9"/>
    <w:rsid w:val="00637BBD"/>
    <w:rsid w:val="00640274"/>
    <w:rsid w:val="0064502D"/>
    <w:rsid w:val="0064532B"/>
    <w:rsid w:val="00646F8E"/>
    <w:rsid w:val="00647FDB"/>
    <w:rsid w:val="006538BE"/>
    <w:rsid w:val="006555AF"/>
    <w:rsid w:val="00655CEE"/>
    <w:rsid w:val="00657BC8"/>
    <w:rsid w:val="0066505E"/>
    <w:rsid w:val="006734B3"/>
    <w:rsid w:val="00675086"/>
    <w:rsid w:val="00675AE2"/>
    <w:rsid w:val="006909EA"/>
    <w:rsid w:val="00697905"/>
    <w:rsid w:val="006A098A"/>
    <w:rsid w:val="006A3B04"/>
    <w:rsid w:val="006A6938"/>
    <w:rsid w:val="006A71E4"/>
    <w:rsid w:val="006B3858"/>
    <w:rsid w:val="006B55F2"/>
    <w:rsid w:val="006C3D3D"/>
    <w:rsid w:val="006C4A0B"/>
    <w:rsid w:val="006C6DA0"/>
    <w:rsid w:val="006D6D93"/>
    <w:rsid w:val="006E3526"/>
    <w:rsid w:val="006E39D0"/>
    <w:rsid w:val="006F05F8"/>
    <w:rsid w:val="006F2543"/>
    <w:rsid w:val="00700D34"/>
    <w:rsid w:val="00705E3A"/>
    <w:rsid w:val="0070738E"/>
    <w:rsid w:val="00711D79"/>
    <w:rsid w:val="00712065"/>
    <w:rsid w:val="00713A80"/>
    <w:rsid w:val="007160D6"/>
    <w:rsid w:val="00722125"/>
    <w:rsid w:val="00727613"/>
    <w:rsid w:val="0073417A"/>
    <w:rsid w:val="00734242"/>
    <w:rsid w:val="00735EBF"/>
    <w:rsid w:val="00746F12"/>
    <w:rsid w:val="00747F34"/>
    <w:rsid w:val="00753B77"/>
    <w:rsid w:val="00753D89"/>
    <w:rsid w:val="007561DC"/>
    <w:rsid w:val="00757752"/>
    <w:rsid w:val="0076080E"/>
    <w:rsid w:val="00760AFF"/>
    <w:rsid w:val="00760D84"/>
    <w:rsid w:val="00761906"/>
    <w:rsid w:val="00764764"/>
    <w:rsid w:val="007719E9"/>
    <w:rsid w:val="00773500"/>
    <w:rsid w:val="00782C94"/>
    <w:rsid w:val="0078645C"/>
    <w:rsid w:val="00795444"/>
    <w:rsid w:val="007A1DFB"/>
    <w:rsid w:val="007A20F9"/>
    <w:rsid w:val="007A26E5"/>
    <w:rsid w:val="007A38AD"/>
    <w:rsid w:val="007A6811"/>
    <w:rsid w:val="007A6994"/>
    <w:rsid w:val="007B08D7"/>
    <w:rsid w:val="007B1075"/>
    <w:rsid w:val="007B44F9"/>
    <w:rsid w:val="007D3AEE"/>
    <w:rsid w:val="007D4C7B"/>
    <w:rsid w:val="007E0FFB"/>
    <w:rsid w:val="007E256F"/>
    <w:rsid w:val="007E41DC"/>
    <w:rsid w:val="007F0077"/>
    <w:rsid w:val="007F0EB8"/>
    <w:rsid w:val="007F342E"/>
    <w:rsid w:val="007F4623"/>
    <w:rsid w:val="007F5DF7"/>
    <w:rsid w:val="007F61A1"/>
    <w:rsid w:val="007F6347"/>
    <w:rsid w:val="007F652E"/>
    <w:rsid w:val="00802A4C"/>
    <w:rsid w:val="00803EB9"/>
    <w:rsid w:val="008040F7"/>
    <w:rsid w:val="008057CF"/>
    <w:rsid w:val="00806C49"/>
    <w:rsid w:val="00817890"/>
    <w:rsid w:val="00821501"/>
    <w:rsid w:val="008330B0"/>
    <w:rsid w:val="00836555"/>
    <w:rsid w:val="008372CB"/>
    <w:rsid w:val="008401B0"/>
    <w:rsid w:val="008407E7"/>
    <w:rsid w:val="0084097F"/>
    <w:rsid w:val="00843594"/>
    <w:rsid w:val="008536D5"/>
    <w:rsid w:val="008554E1"/>
    <w:rsid w:val="00856162"/>
    <w:rsid w:val="00857B0D"/>
    <w:rsid w:val="008622AD"/>
    <w:rsid w:val="00863907"/>
    <w:rsid w:val="008639BD"/>
    <w:rsid w:val="008654CF"/>
    <w:rsid w:val="00866B65"/>
    <w:rsid w:val="008714C9"/>
    <w:rsid w:val="008743E4"/>
    <w:rsid w:val="00874768"/>
    <w:rsid w:val="00875BCB"/>
    <w:rsid w:val="00877BFA"/>
    <w:rsid w:val="00885B6E"/>
    <w:rsid w:val="0089109E"/>
    <w:rsid w:val="00893B4F"/>
    <w:rsid w:val="00893CDB"/>
    <w:rsid w:val="008953ED"/>
    <w:rsid w:val="008A1881"/>
    <w:rsid w:val="008A46F2"/>
    <w:rsid w:val="008B2976"/>
    <w:rsid w:val="008C0056"/>
    <w:rsid w:val="008C0583"/>
    <w:rsid w:val="008C075D"/>
    <w:rsid w:val="008C1E26"/>
    <w:rsid w:val="008C57B6"/>
    <w:rsid w:val="008D55CC"/>
    <w:rsid w:val="008F19E4"/>
    <w:rsid w:val="00900C0F"/>
    <w:rsid w:val="00904341"/>
    <w:rsid w:val="00904C58"/>
    <w:rsid w:val="00905CC1"/>
    <w:rsid w:val="009150B8"/>
    <w:rsid w:val="00916BD7"/>
    <w:rsid w:val="009243F0"/>
    <w:rsid w:val="0092563F"/>
    <w:rsid w:val="009313B5"/>
    <w:rsid w:val="009341BC"/>
    <w:rsid w:val="00937CA8"/>
    <w:rsid w:val="00937F95"/>
    <w:rsid w:val="009436F9"/>
    <w:rsid w:val="009529F6"/>
    <w:rsid w:val="00953644"/>
    <w:rsid w:val="00953883"/>
    <w:rsid w:val="00964C54"/>
    <w:rsid w:val="00965B96"/>
    <w:rsid w:val="009664BD"/>
    <w:rsid w:val="00976173"/>
    <w:rsid w:val="00980DA6"/>
    <w:rsid w:val="00982AD9"/>
    <w:rsid w:val="00983B6C"/>
    <w:rsid w:val="009842F7"/>
    <w:rsid w:val="009855F4"/>
    <w:rsid w:val="00985ACA"/>
    <w:rsid w:val="00991383"/>
    <w:rsid w:val="009920DF"/>
    <w:rsid w:val="00992708"/>
    <w:rsid w:val="00997679"/>
    <w:rsid w:val="009A13FC"/>
    <w:rsid w:val="009A1E5B"/>
    <w:rsid w:val="009B0555"/>
    <w:rsid w:val="009B14B8"/>
    <w:rsid w:val="009C26A8"/>
    <w:rsid w:val="009C2A41"/>
    <w:rsid w:val="009C6BCB"/>
    <w:rsid w:val="009D1108"/>
    <w:rsid w:val="009D4E08"/>
    <w:rsid w:val="009E1692"/>
    <w:rsid w:val="009E19A5"/>
    <w:rsid w:val="009E47F6"/>
    <w:rsid w:val="009E7C3D"/>
    <w:rsid w:val="009F6A16"/>
    <w:rsid w:val="009F7077"/>
    <w:rsid w:val="00A150A7"/>
    <w:rsid w:val="00A168EC"/>
    <w:rsid w:val="00A21DBA"/>
    <w:rsid w:val="00A244D8"/>
    <w:rsid w:val="00A24FB8"/>
    <w:rsid w:val="00A314E9"/>
    <w:rsid w:val="00A324A2"/>
    <w:rsid w:val="00A35BCE"/>
    <w:rsid w:val="00A3656D"/>
    <w:rsid w:val="00A37970"/>
    <w:rsid w:val="00A40725"/>
    <w:rsid w:val="00A40752"/>
    <w:rsid w:val="00A4356E"/>
    <w:rsid w:val="00A47048"/>
    <w:rsid w:val="00A55120"/>
    <w:rsid w:val="00A557B9"/>
    <w:rsid w:val="00A558C2"/>
    <w:rsid w:val="00A57E59"/>
    <w:rsid w:val="00A66594"/>
    <w:rsid w:val="00A70788"/>
    <w:rsid w:val="00A718B3"/>
    <w:rsid w:val="00A72903"/>
    <w:rsid w:val="00A75523"/>
    <w:rsid w:val="00A81560"/>
    <w:rsid w:val="00A92132"/>
    <w:rsid w:val="00A922DD"/>
    <w:rsid w:val="00A94B70"/>
    <w:rsid w:val="00AA3038"/>
    <w:rsid w:val="00AA35E0"/>
    <w:rsid w:val="00AA515F"/>
    <w:rsid w:val="00AB304F"/>
    <w:rsid w:val="00AB68EE"/>
    <w:rsid w:val="00AC0868"/>
    <w:rsid w:val="00AC0C44"/>
    <w:rsid w:val="00AE7C97"/>
    <w:rsid w:val="00AF1ADC"/>
    <w:rsid w:val="00AF27E7"/>
    <w:rsid w:val="00AF466B"/>
    <w:rsid w:val="00AF747F"/>
    <w:rsid w:val="00B041E8"/>
    <w:rsid w:val="00B04A2F"/>
    <w:rsid w:val="00B060E4"/>
    <w:rsid w:val="00B106AA"/>
    <w:rsid w:val="00B12C49"/>
    <w:rsid w:val="00B146C8"/>
    <w:rsid w:val="00B236D8"/>
    <w:rsid w:val="00B27391"/>
    <w:rsid w:val="00B30B0A"/>
    <w:rsid w:val="00B318C2"/>
    <w:rsid w:val="00B32155"/>
    <w:rsid w:val="00B321A2"/>
    <w:rsid w:val="00B33861"/>
    <w:rsid w:val="00B374BD"/>
    <w:rsid w:val="00B37D9C"/>
    <w:rsid w:val="00B473C2"/>
    <w:rsid w:val="00B47E24"/>
    <w:rsid w:val="00B51859"/>
    <w:rsid w:val="00B54C17"/>
    <w:rsid w:val="00B61855"/>
    <w:rsid w:val="00B710EF"/>
    <w:rsid w:val="00B738A7"/>
    <w:rsid w:val="00B73FB4"/>
    <w:rsid w:val="00B75879"/>
    <w:rsid w:val="00B8339B"/>
    <w:rsid w:val="00B84C4E"/>
    <w:rsid w:val="00B91FBF"/>
    <w:rsid w:val="00BA18B4"/>
    <w:rsid w:val="00BA33B7"/>
    <w:rsid w:val="00BA6FBE"/>
    <w:rsid w:val="00BB6EDA"/>
    <w:rsid w:val="00BC20F7"/>
    <w:rsid w:val="00BC5D98"/>
    <w:rsid w:val="00BD2C52"/>
    <w:rsid w:val="00BD33CF"/>
    <w:rsid w:val="00BD76D7"/>
    <w:rsid w:val="00BE354F"/>
    <w:rsid w:val="00BE5950"/>
    <w:rsid w:val="00BF149A"/>
    <w:rsid w:val="00BF3F13"/>
    <w:rsid w:val="00BF4712"/>
    <w:rsid w:val="00BF5084"/>
    <w:rsid w:val="00BF6398"/>
    <w:rsid w:val="00C009B5"/>
    <w:rsid w:val="00C019BE"/>
    <w:rsid w:val="00C02193"/>
    <w:rsid w:val="00C132A4"/>
    <w:rsid w:val="00C15613"/>
    <w:rsid w:val="00C16235"/>
    <w:rsid w:val="00C17180"/>
    <w:rsid w:val="00C23A80"/>
    <w:rsid w:val="00C24042"/>
    <w:rsid w:val="00C264AE"/>
    <w:rsid w:val="00C2696C"/>
    <w:rsid w:val="00C2765C"/>
    <w:rsid w:val="00C32D99"/>
    <w:rsid w:val="00C352D7"/>
    <w:rsid w:val="00C41EBF"/>
    <w:rsid w:val="00C434E6"/>
    <w:rsid w:val="00C444A5"/>
    <w:rsid w:val="00C51910"/>
    <w:rsid w:val="00C53569"/>
    <w:rsid w:val="00C564AA"/>
    <w:rsid w:val="00C600CF"/>
    <w:rsid w:val="00C60F55"/>
    <w:rsid w:val="00C62A99"/>
    <w:rsid w:val="00C62D2B"/>
    <w:rsid w:val="00C63B85"/>
    <w:rsid w:val="00C63CC5"/>
    <w:rsid w:val="00C6436F"/>
    <w:rsid w:val="00C659F9"/>
    <w:rsid w:val="00C662C9"/>
    <w:rsid w:val="00C746C8"/>
    <w:rsid w:val="00C76AE3"/>
    <w:rsid w:val="00C81714"/>
    <w:rsid w:val="00C82823"/>
    <w:rsid w:val="00C92210"/>
    <w:rsid w:val="00C92C08"/>
    <w:rsid w:val="00C97F5A"/>
    <w:rsid w:val="00CA6175"/>
    <w:rsid w:val="00CB1F40"/>
    <w:rsid w:val="00CB2779"/>
    <w:rsid w:val="00CB2EF5"/>
    <w:rsid w:val="00CB5A53"/>
    <w:rsid w:val="00CC7D14"/>
    <w:rsid w:val="00CD0A0B"/>
    <w:rsid w:val="00CD2EEE"/>
    <w:rsid w:val="00CD5CFE"/>
    <w:rsid w:val="00CE06F9"/>
    <w:rsid w:val="00CE17C6"/>
    <w:rsid w:val="00CE1EF2"/>
    <w:rsid w:val="00CE3C78"/>
    <w:rsid w:val="00CF33CF"/>
    <w:rsid w:val="00CF5A97"/>
    <w:rsid w:val="00CF61D0"/>
    <w:rsid w:val="00D04ECA"/>
    <w:rsid w:val="00D07D23"/>
    <w:rsid w:val="00D1229E"/>
    <w:rsid w:val="00D16E76"/>
    <w:rsid w:val="00D20AFB"/>
    <w:rsid w:val="00D22DCB"/>
    <w:rsid w:val="00D254B3"/>
    <w:rsid w:val="00D256D4"/>
    <w:rsid w:val="00D31C9D"/>
    <w:rsid w:val="00D37ADD"/>
    <w:rsid w:val="00D41386"/>
    <w:rsid w:val="00D419C3"/>
    <w:rsid w:val="00D44776"/>
    <w:rsid w:val="00D44B6C"/>
    <w:rsid w:val="00D467E5"/>
    <w:rsid w:val="00D51CB8"/>
    <w:rsid w:val="00D55C58"/>
    <w:rsid w:val="00D60601"/>
    <w:rsid w:val="00D63A3B"/>
    <w:rsid w:val="00D643C6"/>
    <w:rsid w:val="00D80862"/>
    <w:rsid w:val="00D829CA"/>
    <w:rsid w:val="00D82CC4"/>
    <w:rsid w:val="00D87624"/>
    <w:rsid w:val="00D913AD"/>
    <w:rsid w:val="00D9465D"/>
    <w:rsid w:val="00D97981"/>
    <w:rsid w:val="00D979AF"/>
    <w:rsid w:val="00DA2323"/>
    <w:rsid w:val="00DA4273"/>
    <w:rsid w:val="00DA52E8"/>
    <w:rsid w:val="00DA7528"/>
    <w:rsid w:val="00DB2B4F"/>
    <w:rsid w:val="00DB5230"/>
    <w:rsid w:val="00DC4337"/>
    <w:rsid w:val="00DC53A7"/>
    <w:rsid w:val="00DC72BE"/>
    <w:rsid w:val="00DC7C84"/>
    <w:rsid w:val="00DE1FD5"/>
    <w:rsid w:val="00DE40EF"/>
    <w:rsid w:val="00DF1F90"/>
    <w:rsid w:val="00DF31E6"/>
    <w:rsid w:val="00DF4844"/>
    <w:rsid w:val="00E04F44"/>
    <w:rsid w:val="00E05D46"/>
    <w:rsid w:val="00E062A6"/>
    <w:rsid w:val="00E10792"/>
    <w:rsid w:val="00E11FCA"/>
    <w:rsid w:val="00E1457E"/>
    <w:rsid w:val="00E2592D"/>
    <w:rsid w:val="00E3426D"/>
    <w:rsid w:val="00E41BAF"/>
    <w:rsid w:val="00E431A1"/>
    <w:rsid w:val="00E45D3F"/>
    <w:rsid w:val="00E46D90"/>
    <w:rsid w:val="00E53143"/>
    <w:rsid w:val="00E63997"/>
    <w:rsid w:val="00E6584E"/>
    <w:rsid w:val="00E6594B"/>
    <w:rsid w:val="00E66D6A"/>
    <w:rsid w:val="00E7069A"/>
    <w:rsid w:val="00E759A0"/>
    <w:rsid w:val="00E802DF"/>
    <w:rsid w:val="00E8225C"/>
    <w:rsid w:val="00E83060"/>
    <w:rsid w:val="00E872AF"/>
    <w:rsid w:val="00E87762"/>
    <w:rsid w:val="00E91CD4"/>
    <w:rsid w:val="00E9466B"/>
    <w:rsid w:val="00E9501C"/>
    <w:rsid w:val="00E95E4B"/>
    <w:rsid w:val="00EA1C73"/>
    <w:rsid w:val="00EA2252"/>
    <w:rsid w:val="00EA44B9"/>
    <w:rsid w:val="00EA7477"/>
    <w:rsid w:val="00EC437C"/>
    <w:rsid w:val="00EC5ED8"/>
    <w:rsid w:val="00EC7218"/>
    <w:rsid w:val="00ED0A9B"/>
    <w:rsid w:val="00ED0BAE"/>
    <w:rsid w:val="00ED216E"/>
    <w:rsid w:val="00ED260B"/>
    <w:rsid w:val="00ED6FE8"/>
    <w:rsid w:val="00ED7C55"/>
    <w:rsid w:val="00ED7EF4"/>
    <w:rsid w:val="00EE2176"/>
    <w:rsid w:val="00EE27D2"/>
    <w:rsid w:val="00EE315D"/>
    <w:rsid w:val="00EE6E45"/>
    <w:rsid w:val="00EE7A95"/>
    <w:rsid w:val="00EF044C"/>
    <w:rsid w:val="00EF2ADE"/>
    <w:rsid w:val="00EF36CD"/>
    <w:rsid w:val="00EF6614"/>
    <w:rsid w:val="00F02268"/>
    <w:rsid w:val="00F04257"/>
    <w:rsid w:val="00F06EA0"/>
    <w:rsid w:val="00F14008"/>
    <w:rsid w:val="00F34A36"/>
    <w:rsid w:val="00F4204B"/>
    <w:rsid w:val="00F439E3"/>
    <w:rsid w:val="00F464EC"/>
    <w:rsid w:val="00F52B6D"/>
    <w:rsid w:val="00F534DF"/>
    <w:rsid w:val="00F54518"/>
    <w:rsid w:val="00F57D12"/>
    <w:rsid w:val="00F606F3"/>
    <w:rsid w:val="00F6381F"/>
    <w:rsid w:val="00F64009"/>
    <w:rsid w:val="00F65697"/>
    <w:rsid w:val="00F67565"/>
    <w:rsid w:val="00F716A8"/>
    <w:rsid w:val="00F811A0"/>
    <w:rsid w:val="00F82079"/>
    <w:rsid w:val="00F844FF"/>
    <w:rsid w:val="00F901B9"/>
    <w:rsid w:val="00F94F1C"/>
    <w:rsid w:val="00FB2A66"/>
    <w:rsid w:val="00FB3FC5"/>
    <w:rsid w:val="00FB69C9"/>
    <w:rsid w:val="00FB6C92"/>
    <w:rsid w:val="00FB7A6F"/>
    <w:rsid w:val="00FC0D12"/>
    <w:rsid w:val="00FC1CD4"/>
    <w:rsid w:val="00FC51FA"/>
    <w:rsid w:val="00FC5FC1"/>
    <w:rsid w:val="00FC67FB"/>
    <w:rsid w:val="00FD6D9D"/>
    <w:rsid w:val="00FD70E1"/>
    <w:rsid w:val="00FE14C1"/>
    <w:rsid w:val="00FF0D08"/>
    <w:rsid w:val="00FF327E"/>
    <w:rsid w:val="00FF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F024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1B9"/>
    <w:pPr>
      <w:suppressAutoHyphens/>
    </w:pPr>
    <w:rPr>
      <w:rFonts w:eastAsiaTheme="minorEastAsia"/>
    </w:rPr>
  </w:style>
  <w:style w:type="paragraph" w:styleId="Heading1">
    <w:name w:val="heading 1"/>
    <w:basedOn w:val="Normal"/>
    <w:next w:val="Normal"/>
    <w:link w:val="Heading1Char"/>
    <w:autoRedefine/>
    <w:uiPriority w:val="9"/>
    <w:qFormat/>
    <w:rsid w:val="00F901B9"/>
    <w:pPr>
      <w:keepNext/>
      <w:keepLines/>
      <w:spacing w:before="100" w:beforeAutospacing="1" w:after="100" w:afterAutospacing="1" w:line="480" w:lineRule="auto"/>
      <w:outlineLvl w:val="0"/>
    </w:pPr>
    <w:rPr>
      <w:rFonts w:eastAsia="Calibri" w:cs="Calibri"/>
      <w:b/>
      <w:bCs/>
      <w:sz w:val="32"/>
    </w:rPr>
  </w:style>
  <w:style w:type="paragraph" w:styleId="Heading2">
    <w:name w:val="heading 2"/>
    <w:basedOn w:val="Normal"/>
    <w:next w:val="Normal"/>
    <w:link w:val="Heading2Char"/>
    <w:autoRedefine/>
    <w:uiPriority w:val="9"/>
    <w:unhideWhenUsed/>
    <w:qFormat/>
    <w:rsid w:val="00F901B9"/>
    <w:pPr>
      <w:keepNext/>
      <w:keepLines/>
      <w:numPr>
        <w:ilvl w:val="1"/>
        <w:numId w:val="2"/>
      </w:numPr>
      <w:spacing w:before="100" w:beforeAutospacing="1" w:after="100" w:afterAutospacing="1" w:line="480" w:lineRule="auto"/>
      <w:ind w:left="357"/>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F901B9"/>
    <w:pPr>
      <w:keepNext/>
      <w:keepLines/>
      <w:numPr>
        <w:ilvl w:val="2"/>
        <w:numId w:val="2"/>
      </w:numPr>
      <w:spacing w:before="100" w:beforeAutospacing="1" w:after="100" w:afterAutospacing="1" w:line="276" w:lineRule="auto"/>
      <w:ind w:left="357"/>
      <w:jc w:val="both"/>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F901B9"/>
    <w:pPr>
      <w:keepNext/>
      <w:keepLines/>
      <w:numPr>
        <w:ilvl w:val="3"/>
        <w:numId w:val="2"/>
      </w:numPr>
      <w:spacing w:before="200"/>
      <w:outlineLvl w:val="3"/>
    </w:pPr>
    <w:rPr>
      <w:rFonts w:eastAsiaTheme="majorEastAsia" w:cstheme="majorBidi"/>
      <w:bCs/>
      <w:i/>
      <w:iCs/>
      <w:lang w:val="en-US"/>
    </w:rPr>
  </w:style>
  <w:style w:type="paragraph" w:styleId="Heading5">
    <w:name w:val="heading 5"/>
    <w:basedOn w:val="Normal"/>
    <w:next w:val="Normal"/>
    <w:link w:val="Heading5Char"/>
    <w:uiPriority w:val="9"/>
    <w:unhideWhenUsed/>
    <w:qFormat/>
    <w:rsid w:val="00F901B9"/>
    <w:pPr>
      <w:keepNext/>
      <w:keepLines/>
      <w:numPr>
        <w:ilvl w:val="4"/>
        <w:numId w:val="2"/>
      </w:numPr>
      <w:spacing w:before="200"/>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uiPriority w:val="9"/>
    <w:semiHidden/>
    <w:unhideWhenUsed/>
    <w:qFormat/>
    <w:rsid w:val="00F901B9"/>
    <w:pPr>
      <w:keepNext/>
      <w:keepLines/>
      <w:numPr>
        <w:ilvl w:val="5"/>
        <w:numId w:val="2"/>
      </w:numPr>
      <w:spacing w:before="200"/>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iPriority w:val="9"/>
    <w:semiHidden/>
    <w:unhideWhenUsed/>
    <w:qFormat/>
    <w:rsid w:val="00F901B9"/>
    <w:pPr>
      <w:keepNext/>
      <w:keepLines/>
      <w:numPr>
        <w:ilvl w:val="6"/>
        <w:numId w:val="2"/>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F901B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F901B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1B9"/>
    <w:rPr>
      <w:rFonts w:eastAsia="Calibri" w:cs="Calibri"/>
      <w:b/>
      <w:bCs/>
      <w:sz w:val="32"/>
    </w:rPr>
  </w:style>
  <w:style w:type="character" w:customStyle="1" w:styleId="Heading2Char">
    <w:name w:val="Heading 2 Char"/>
    <w:basedOn w:val="DefaultParagraphFont"/>
    <w:link w:val="Heading2"/>
    <w:uiPriority w:val="9"/>
    <w:rsid w:val="00F901B9"/>
    <w:rPr>
      <w:rFonts w:eastAsiaTheme="majorEastAsia" w:cstheme="majorBidi"/>
      <w:b/>
      <w:bCs/>
      <w:sz w:val="28"/>
      <w:szCs w:val="26"/>
    </w:rPr>
  </w:style>
  <w:style w:type="character" w:customStyle="1" w:styleId="Heading3Char">
    <w:name w:val="Heading 3 Char"/>
    <w:basedOn w:val="DefaultParagraphFont"/>
    <w:link w:val="Heading3"/>
    <w:uiPriority w:val="9"/>
    <w:rsid w:val="00F901B9"/>
    <w:rPr>
      <w:rFonts w:eastAsiaTheme="majorEastAsia" w:cstheme="majorBidi"/>
      <w:b/>
      <w:bCs/>
    </w:rPr>
  </w:style>
  <w:style w:type="character" w:customStyle="1" w:styleId="Heading4Char">
    <w:name w:val="Heading 4 Char"/>
    <w:basedOn w:val="DefaultParagraphFont"/>
    <w:link w:val="Heading4"/>
    <w:uiPriority w:val="9"/>
    <w:rsid w:val="00F901B9"/>
    <w:rPr>
      <w:rFonts w:eastAsiaTheme="majorEastAsia" w:cstheme="majorBidi"/>
      <w:bCs/>
      <w:i/>
      <w:iCs/>
      <w:lang w:val="en-US"/>
    </w:rPr>
  </w:style>
  <w:style w:type="character" w:customStyle="1" w:styleId="Heading5Char">
    <w:name w:val="Heading 5 Char"/>
    <w:basedOn w:val="DefaultParagraphFont"/>
    <w:link w:val="Heading5"/>
    <w:uiPriority w:val="9"/>
    <w:rsid w:val="00F901B9"/>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F901B9"/>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F901B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901B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901B9"/>
    <w:rPr>
      <w:rFonts w:asciiTheme="majorHAnsi" w:eastAsiaTheme="majorEastAsia" w:hAnsiTheme="majorHAnsi" w:cstheme="majorBidi"/>
      <w:i/>
      <w:iCs/>
      <w:color w:val="404040" w:themeColor="text1" w:themeTint="BF"/>
      <w:sz w:val="20"/>
      <w:szCs w:val="20"/>
      <w:lang w:val="en-US"/>
    </w:rPr>
  </w:style>
  <w:style w:type="character" w:customStyle="1" w:styleId="FooterChar">
    <w:name w:val="Footer Char"/>
    <w:basedOn w:val="DefaultParagraphFont"/>
    <w:link w:val="Footer"/>
    <w:uiPriority w:val="99"/>
    <w:rsid w:val="00F901B9"/>
  </w:style>
  <w:style w:type="paragraph" w:styleId="Footer">
    <w:name w:val="footer"/>
    <w:basedOn w:val="Normal"/>
    <w:link w:val="FooterChar"/>
    <w:uiPriority w:val="99"/>
    <w:unhideWhenUsed/>
    <w:rsid w:val="00F901B9"/>
    <w:pPr>
      <w:tabs>
        <w:tab w:val="center" w:pos="4320"/>
        <w:tab w:val="right" w:pos="8640"/>
      </w:tabs>
    </w:pPr>
    <w:rPr>
      <w:rFonts w:eastAsiaTheme="minorHAnsi"/>
    </w:rPr>
  </w:style>
  <w:style w:type="character" w:customStyle="1" w:styleId="FooterChar1">
    <w:name w:val="Footer Char1"/>
    <w:basedOn w:val="DefaultParagraphFont"/>
    <w:uiPriority w:val="99"/>
    <w:semiHidden/>
    <w:rsid w:val="00F901B9"/>
    <w:rPr>
      <w:rFonts w:eastAsiaTheme="minorEastAsia"/>
    </w:rPr>
  </w:style>
  <w:style w:type="character" w:styleId="PageNumber">
    <w:name w:val="page number"/>
    <w:basedOn w:val="DefaultParagraphFont"/>
    <w:uiPriority w:val="99"/>
    <w:semiHidden/>
    <w:unhideWhenUsed/>
    <w:rsid w:val="00F901B9"/>
  </w:style>
  <w:style w:type="character" w:customStyle="1" w:styleId="InternetLink">
    <w:name w:val="Internet Link"/>
    <w:basedOn w:val="DefaultParagraphFont"/>
    <w:uiPriority w:val="99"/>
    <w:unhideWhenUsed/>
    <w:rsid w:val="00F901B9"/>
    <w:rPr>
      <w:color w:val="0563C1" w:themeColor="hyperlink"/>
      <w:u w:val="single"/>
      <w:lang w:val="uz-Cyrl-UZ" w:eastAsia="uz-Cyrl-UZ" w:bidi="uz-Cyrl-UZ"/>
    </w:rPr>
  </w:style>
  <w:style w:type="character" w:customStyle="1" w:styleId="FootnoteTextChar">
    <w:name w:val="Footnote Text Char"/>
    <w:basedOn w:val="DefaultParagraphFont"/>
    <w:link w:val="FootnoteText"/>
    <w:uiPriority w:val="99"/>
    <w:rsid w:val="00F901B9"/>
  </w:style>
  <w:style w:type="paragraph" w:styleId="FootnoteText">
    <w:name w:val="footnote text"/>
    <w:basedOn w:val="Normal"/>
    <w:link w:val="FootnoteTextChar"/>
    <w:uiPriority w:val="99"/>
    <w:unhideWhenUsed/>
    <w:rsid w:val="00F901B9"/>
    <w:pPr>
      <w:spacing w:line="360" w:lineRule="auto"/>
      <w:jc w:val="both"/>
    </w:pPr>
    <w:rPr>
      <w:rFonts w:eastAsiaTheme="minorHAnsi"/>
    </w:rPr>
  </w:style>
  <w:style w:type="character" w:customStyle="1" w:styleId="FootnoteTextChar1">
    <w:name w:val="Footnote Text Char1"/>
    <w:basedOn w:val="DefaultParagraphFont"/>
    <w:uiPriority w:val="99"/>
    <w:semiHidden/>
    <w:rsid w:val="00F901B9"/>
    <w:rPr>
      <w:rFonts w:eastAsiaTheme="minorEastAsia"/>
    </w:rPr>
  </w:style>
  <w:style w:type="character" w:styleId="FootnoteReference">
    <w:name w:val="footnote reference"/>
    <w:basedOn w:val="DefaultParagraphFont"/>
    <w:uiPriority w:val="99"/>
    <w:unhideWhenUsed/>
    <w:rsid w:val="00F901B9"/>
    <w:rPr>
      <w:vertAlign w:val="superscript"/>
    </w:rPr>
  </w:style>
  <w:style w:type="character" w:customStyle="1" w:styleId="ListLabel1">
    <w:name w:val="ListLabel 1"/>
    <w:rsid w:val="00F901B9"/>
    <w:rPr>
      <w:rFonts w:eastAsia="MS Mincho"/>
    </w:rPr>
  </w:style>
  <w:style w:type="character" w:customStyle="1" w:styleId="FootnoteCharacters">
    <w:name w:val="Footnote Characters"/>
    <w:rsid w:val="00F901B9"/>
  </w:style>
  <w:style w:type="character" w:customStyle="1" w:styleId="FootnoteAnchor">
    <w:name w:val="Footnote Anchor"/>
    <w:rsid w:val="00F901B9"/>
    <w:rPr>
      <w:vertAlign w:val="superscript"/>
    </w:rPr>
  </w:style>
  <w:style w:type="character" w:customStyle="1" w:styleId="EndnoteAnchor">
    <w:name w:val="Endnote Anchor"/>
    <w:rsid w:val="00F901B9"/>
    <w:rPr>
      <w:vertAlign w:val="superscript"/>
    </w:rPr>
  </w:style>
  <w:style w:type="character" w:customStyle="1" w:styleId="EndnoteCharacters">
    <w:name w:val="Endnote Characters"/>
    <w:rsid w:val="00F901B9"/>
  </w:style>
  <w:style w:type="paragraph" w:customStyle="1" w:styleId="Heading">
    <w:name w:val="Heading"/>
    <w:basedOn w:val="Normal"/>
    <w:next w:val="TextBody"/>
    <w:rsid w:val="00F901B9"/>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F901B9"/>
    <w:pPr>
      <w:spacing w:after="140" w:line="288" w:lineRule="auto"/>
    </w:pPr>
  </w:style>
  <w:style w:type="paragraph" w:styleId="List">
    <w:name w:val="List"/>
    <w:basedOn w:val="TextBody"/>
    <w:rsid w:val="00F901B9"/>
    <w:rPr>
      <w:rFonts w:cs="FreeSans"/>
    </w:rPr>
  </w:style>
  <w:style w:type="paragraph" w:styleId="Caption">
    <w:name w:val="caption"/>
    <w:basedOn w:val="Normal"/>
    <w:uiPriority w:val="35"/>
    <w:qFormat/>
    <w:rsid w:val="00F901B9"/>
    <w:pPr>
      <w:suppressLineNumbers/>
      <w:spacing w:before="120" w:after="120"/>
    </w:pPr>
    <w:rPr>
      <w:rFonts w:cs="FreeSans"/>
      <w:i/>
      <w:iCs/>
    </w:rPr>
  </w:style>
  <w:style w:type="paragraph" w:customStyle="1" w:styleId="Index">
    <w:name w:val="Index"/>
    <w:basedOn w:val="Normal"/>
    <w:rsid w:val="00F901B9"/>
    <w:pPr>
      <w:suppressLineNumbers/>
    </w:pPr>
    <w:rPr>
      <w:rFonts w:cs="FreeSans"/>
    </w:rPr>
  </w:style>
  <w:style w:type="paragraph" w:styleId="ListParagraph">
    <w:name w:val="List Paragraph"/>
    <w:basedOn w:val="Normal"/>
    <w:uiPriority w:val="34"/>
    <w:qFormat/>
    <w:rsid w:val="00F901B9"/>
    <w:pPr>
      <w:ind w:left="720"/>
      <w:contextualSpacing/>
    </w:pPr>
  </w:style>
  <w:style w:type="paragraph" w:customStyle="1" w:styleId="Footnote">
    <w:name w:val="Footnote"/>
    <w:basedOn w:val="Normal"/>
    <w:autoRedefine/>
    <w:rsid w:val="00F901B9"/>
  </w:style>
  <w:style w:type="paragraph" w:customStyle="1" w:styleId="FrameContents">
    <w:name w:val="Frame Contents"/>
    <w:basedOn w:val="Normal"/>
    <w:rsid w:val="00F901B9"/>
  </w:style>
  <w:style w:type="paragraph" w:styleId="CommentText">
    <w:name w:val="annotation text"/>
    <w:basedOn w:val="Normal"/>
    <w:link w:val="CommentTextChar"/>
    <w:uiPriority w:val="99"/>
    <w:semiHidden/>
    <w:unhideWhenUsed/>
    <w:rsid w:val="00F901B9"/>
  </w:style>
  <w:style w:type="character" w:customStyle="1" w:styleId="CommentTextChar">
    <w:name w:val="Comment Text Char"/>
    <w:basedOn w:val="DefaultParagraphFont"/>
    <w:link w:val="CommentText"/>
    <w:uiPriority w:val="99"/>
    <w:semiHidden/>
    <w:rsid w:val="00F901B9"/>
    <w:rPr>
      <w:rFonts w:eastAsiaTheme="minorEastAsia"/>
    </w:rPr>
  </w:style>
  <w:style w:type="character" w:styleId="CommentReference">
    <w:name w:val="annotation reference"/>
    <w:basedOn w:val="DefaultParagraphFont"/>
    <w:uiPriority w:val="99"/>
    <w:semiHidden/>
    <w:unhideWhenUsed/>
    <w:rsid w:val="00F901B9"/>
    <w:rPr>
      <w:sz w:val="18"/>
      <w:szCs w:val="18"/>
    </w:rPr>
  </w:style>
  <w:style w:type="paragraph" w:styleId="BalloonText">
    <w:name w:val="Balloon Text"/>
    <w:basedOn w:val="Normal"/>
    <w:link w:val="BalloonTextChar"/>
    <w:uiPriority w:val="99"/>
    <w:semiHidden/>
    <w:unhideWhenUsed/>
    <w:rsid w:val="00F901B9"/>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1B9"/>
    <w:rPr>
      <w:rFonts w:ascii="Lucida Grande" w:eastAsiaTheme="minorEastAsia" w:hAnsi="Lucida Grande"/>
      <w:sz w:val="18"/>
      <w:szCs w:val="18"/>
    </w:rPr>
  </w:style>
  <w:style w:type="paragraph" w:styleId="Header">
    <w:name w:val="header"/>
    <w:basedOn w:val="Normal"/>
    <w:link w:val="HeaderChar"/>
    <w:uiPriority w:val="99"/>
    <w:unhideWhenUsed/>
    <w:rsid w:val="00F901B9"/>
    <w:pPr>
      <w:tabs>
        <w:tab w:val="center" w:pos="4320"/>
        <w:tab w:val="right" w:pos="8640"/>
      </w:tabs>
    </w:pPr>
  </w:style>
  <w:style w:type="character" w:customStyle="1" w:styleId="HeaderChar">
    <w:name w:val="Header Char"/>
    <w:basedOn w:val="DefaultParagraphFont"/>
    <w:link w:val="Header"/>
    <w:uiPriority w:val="99"/>
    <w:rsid w:val="00F901B9"/>
    <w:rPr>
      <w:rFonts w:eastAsiaTheme="minorEastAsia"/>
    </w:rPr>
  </w:style>
  <w:style w:type="paragraph" w:styleId="TOCHeading">
    <w:name w:val="TOC Heading"/>
    <w:basedOn w:val="Heading1"/>
    <w:next w:val="Normal"/>
    <w:uiPriority w:val="39"/>
    <w:unhideWhenUsed/>
    <w:qFormat/>
    <w:rsid w:val="00F901B9"/>
    <w:pPr>
      <w:suppressAutoHyphens w:val="0"/>
      <w:spacing w:before="480" w:beforeAutospacing="0" w:after="0" w:afterAutospacing="0"/>
      <w:ind w:left="360"/>
      <w:outlineLvl w:val="9"/>
    </w:pPr>
    <w:rPr>
      <w:rFonts w:asciiTheme="majorHAnsi" w:hAnsiTheme="majorHAnsi"/>
      <w:color w:val="2E74B5" w:themeColor="accent1" w:themeShade="BF"/>
      <w:sz w:val="28"/>
      <w:szCs w:val="28"/>
      <w:lang w:val="en-US"/>
    </w:rPr>
  </w:style>
  <w:style w:type="paragraph" w:styleId="TOC1">
    <w:name w:val="toc 1"/>
    <w:basedOn w:val="Normal"/>
    <w:next w:val="Normal"/>
    <w:autoRedefine/>
    <w:uiPriority w:val="39"/>
    <w:unhideWhenUsed/>
    <w:rsid w:val="00F901B9"/>
    <w:pPr>
      <w:spacing w:before="120"/>
    </w:pPr>
    <w:rPr>
      <w:b/>
      <w:caps/>
      <w:sz w:val="22"/>
      <w:szCs w:val="22"/>
    </w:rPr>
  </w:style>
  <w:style w:type="paragraph" w:styleId="TOC2">
    <w:name w:val="toc 2"/>
    <w:basedOn w:val="Normal"/>
    <w:next w:val="Normal"/>
    <w:autoRedefine/>
    <w:uiPriority w:val="39"/>
    <w:unhideWhenUsed/>
    <w:rsid w:val="00F901B9"/>
    <w:pPr>
      <w:ind w:left="240"/>
    </w:pPr>
    <w:rPr>
      <w:smallCaps/>
      <w:sz w:val="22"/>
      <w:szCs w:val="22"/>
    </w:rPr>
  </w:style>
  <w:style w:type="character" w:styleId="Hyperlink">
    <w:name w:val="Hyperlink"/>
    <w:basedOn w:val="DefaultParagraphFont"/>
    <w:uiPriority w:val="99"/>
    <w:unhideWhenUsed/>
    <w:rsid w:val="00F901B9"/>
    <w:rPr>
      <w:color w:val="0563C1" w:themeColor="hyperlink"/>
      <w:u w:val="single"/>
    </w:rPr>
  </w:style>
  <w:style w:type="paragraph" w:styleId="TOC3">
    <w:name w:val="toc 3"/>
    <w:basedOn w:val="Normal"/>
    <w:next w:val="Normal"/>
    <w:autoRedefine/>
    <w:uiPriority w:val="39"/>
    <w:unhideWhenUsed/>
    <w:rsid w:val="00F901B9"/>
    <w:pPr>
      <w:ind w:left="480"/>
    </w:pPr>
    <w:rPr>
      <w:i/>
      <w:sz w:val="22"/>
      <w:szCs w:val="22"/>
    </w:rPr>
  </w:style>
  <w:style w:type="paragraph" w:customStyle="1" w:styleId="EndNoteBibliographyTitle">
    <w:name w:val="EndNote Bibliography Title"/>
    <w:basedOn w:val="Normal"/>
    <w:rsid w:val="00F901B9"/>
    <w:pPr>
      <w:jc w:val="center"/>
    </w:pPr>
    <w:rPr>
      <w:rFonts w:ascii="Calibri" w:hAnsi="Calibri"/>
    </w:rPr>
  </w:style>
  <w:style w:type="paragraph" w:customStyle="1" w:styleId="EndNoteBibliography">
    <w:name w:val="EndNote Bibliography"/>
    <w:basedOn w:val="Normal"/>
    <w:rsid w:val="00F901B9"/>
    <w:rPr>
      <w:rFonts w:ascii="Calibri" w:hAnsi="Calibri"/>
      <w:lang w:val="en-US"/>
    </w:rPr>
  </w:style>
  <w:style w:type="paragraph" w:styleId="DocumentMap">
    <w:name w:val="Document Map"/>
    <w:basedOn w:val="Normal"/>
    <w:link w:val="DocumentMapChar"/>
    <w:uiPriority w:val="99"/>
    <w:semiHidden/>
    <w:unhideWhenUsed/>
    <w:rsid w:val="00F901B9"/>
    <w:rPr>
      <w:rFonts w:ascii="Lucida Grande" w:hAnsi="Lucida Grande" w:cs="Lucida Grande"/>
    </w:rPr>
  </w:style>
  <w:style w:type="character" w:customStyle="1" w:styleId="DocumentMapChar">
    <w:name w:val="Document Map Char"/>
    <w:basedOn w:val="DefaultParagraphFont"/>
    <w:link w:val="DocumentMap"/>
    <w:uiPriority w:val="99"/>
    <w:semiHidden/>
    <w:rsid w:val="00F901B9"/>
    <w:rPr>
      <w:rFonts w:ascii="Lucida Grande" w:eastAsiaTheme="minorEastAsia" w:hAnsi="Lucida Grande" w:cs="Lucida Grande"/>
    </w:rPr>
  </w:style>
  <w:style w:type="paragraph" w:styleId="CommentSubject">
    <w:name w:val="annotation subject"/>
    <w:basedOn w:val="CommentText"/>
    <w:next w:val="CommentText"/>
    <w:link w:val="CommentSubjectChar"/>
    <w:uiPriority w:val="99"/>
    <w:semiHidden/>
    <w:unhideWhenUsed/>
    <w:rsid w:val="00F901B9"/>
    <w:rPr>
      <w:b/>
      <w:bCs/>
      <w:sz w:val="20"/>
      <w:szCs w:val="20"/>
    </w:rPr>
  </w:style>
  <w:style w:type="character" w:customStyle="1" w:styleId="CommentSubjectChar">
    <w:name w:val="Comment Subject Char"/>
    <w:basedOn w:val="CommentTextChar"/>
    <w:link w:val="CommentSubject"/>
    <w:uiPriority w:val="99"/>
    <w:semiHidden/>
    <w:rsid w:val="00F901B9"/>
    <w:rPr>
      <w:rFonts w:eastAsiaTheme="minorEastAsia"/>
      <w:b/>
      <w:bCs/>
      <w:sz w:val="20"/>
      <w:szCs w:val="20"/>
    </w:rPr>
  </w:style>
  <w:style w:type="paragraph" w:styleId="NormalWeb">
    <w:name w:val="Normal (Web)"/>
    <w:basedOn w:val="Normal"/>
    <w:uiPriority w:val="99"/>
    <w:semiHidden/>
    <w:unhideWhenUsed/>
    <w:rsid w:val="00F901B9"/>
    <w:rPr>
      <w:rFonts w:ascii="Times New Roman" w:hAnsi="Times New Roman" w:cs="Times New Roman"/>
    </w:rPr>
  </w:style>
  <w:style w:type="character" w:styleId="BookTitle">
    <w:name w:val="Book Title"/>
    <w:basedOn w:val="TitleChar"/>
    <w:uiPriority w:val="33"/>
    <w:qFormat/>
    <w:rsid w:val="00F901B9"/>
    <w:rPr>
      <w:rFonts w:eastAsiaTheme="majorEastAsia" w:cstheme="majorBidi"/>
      <w:b w:val="0"/>
      <w:smallCaps/>
      <w:sz w:val="48"/>
      <w:szCs w:val="32"/>
    </w:rPr>
  </w:style>
  <w:style w:type="paragraph" w:customStyle="1" w:styleId="EndNoteCategoryHeading">
    <w:name w:val="EndNote Category Heading"/>
    <w:basedOn w:val="Normal"/>
    <w:rsid w:val="00F901B9"/>
    <w:pPr>
      <w:spacing w:before="120" w:after="120"/>
    </w:pPr>
  </w:style>
  <w:style w:type="paragraph" w:customStyle="1" w:styleId="EndNoteCategoryTitle">
    <w:name w:val="EndNote Category Title"/>
    <w:basedOn w:val="Normal"/>
    <w:rsid w:val="00F901B9"/>
    <w:pPr>
      <w:spacing w:before="120" w:after="120"/>
      <w:jc w:val="center"/>
    </w:pPr>
  </w:style>
  <w:style w:type="paragraph" w:styleId="Title">
    <w:name w:val="Title"/>
    <w:basedOn w:val="Normal"/>
    <w:next w:val="Normal"/>
    <w:link w:val="TitleChar"/>
    <w:autoRedefine/>
    <w:uiPriority w:val="10"/>
    <w:qFormat/>
    <w:rsid w:val="00F901B9"/>
    <w:pPr>
      <w:spacing w:after="300" w:line="360" w:lineRule="auto"/>
      <w:contextualSpacing/>
      <w:jc w:val="both"/>
    </w:pPr>
    <w:rPr>
      <w:rFonts w:eastAsiaTheme="majorEastAsia" w:cstheme="majorBidi"/>
      <w:sz w:val="32"/>
      <w:szCs w:val="32"/>
    </w:rPr>
  </w:style>
  <w:style w:type="character" w:customStyle="1" w:styleId="TitleChar">
    <w:name w:val="Title Char"/>
    <w:basedOn w:val="DefaultParagraphFont"/>
    <w:link w:val="Title"/>
    <w:uiPriority w:val="10"/>
    <w:rsid w:val="00F901B9"/>
    <w:rPr>
      <w:rFonts w:eastAsiaTheme="majorEastAsia" w:cstheme="majorBidi"/>
      <w:sz w:val="32"/>
      <w:szCs w:val="32"/>
    </w:rPr>
  </w:style>
  <w:style w:type="character" w:customStyle="1" w:styleId="CommentTextChar1">
    <w:name w:val="Comment Text Char1"/>
    <w:basedOn w:val="DefaultParagraphFont"/>
    <w:uiPriority w:val="99"/>
    <w:semiHidden/>
    <w:rsid w:val="00F901B9"/>
  </w:style>
  <w:style w:type="table" w:styleId="MediumList2-Accent1">
    <w:name w:val="Medium List 2 Accent 1"/>
    <w:basedOn w:val="TableNormal"/>
    <w:uiPriority w:val="66"/>
    <w:rsid w:val="00F901B9"/>
    <w:rPr>
      <w:rFonts w:asciiTheme="majorHAnsi" w:eastAsiaTheme="majorEastAsia" w:hAnsiTheme="majorHAnsi" w:cstheme="majorBidi"/>
      <w:color w:val="000000" w:themeColor="text1"/>
      <w:sz w:val="22"/>
      <w:szCs w:val="22"/>
      <w:lang w:eastAsia="zh-C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F901B9"/>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9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F901B9"/>
    <w:rPr>
      <w:rFonts w:ascii="Courier" w:eastAsiaTheme="minorEastAsia" w:hAnsi="Courier" w:cs="Courier"/>
      <w:sz w:val="20"/>
      <w:szCs w:val="20"/>
      <w:lang w:val="en-US"/>
    </w:rPr>
  </w:style>
  <w:style w:type="paragraph" w:styleId="Revision">
    <w:name w:val="Revision"/>
    <w:hidden/>
    <w:uiPriority w:val="99"/>
    <w:semiHidden/>
    <w:rsid w:val="00F901B9"/>
    <w:rPr>
      <w:rFonts w:eastAsiaTheme="minorEastAsia"/>
      <w:lang w:val="en-US"/>
    </w:rPr>
  </w:style>
  <w:style w:type="paragraph" w:styleId="TOC4">
    <w:name w:val="toc 4"/>
    <w:basedOn w:val="Normal"/>
    <w:next w:val="Normal"/>
    <w:autoRedefine/>
    <w:uiPriority w:val="39"/>
    <w:unhideWhenUsed/>
    <w:rsid w:val="00F901B9"/>
    <w:pPr>
      <w:ind w:left="720"/>
    </w:pPr>
    <w:rPr>
      <w:sz w:val="18"/>
      <w:szCs w:val="18"/>
    </w:rPr>
  </w:style>
  <w:style w:type="paragraph" w:styleId="TOC5">
    <w:name w:val="toc 5"/>
    <w:basedOn w:val="Normal"/>
    <w:next w:val="Normal"/>
    <w:autoRedefine/>
    <w:uiPriority w:val="39"/>
    <w:unhideWhenUsed/>
    <w:rsid w:val="00F901B9"/>
    <w:pPr>
      <w:ind w:left="960"/>
    </w:pPr>
    <w:rPr>
      <w:sz w:val="18"/>
      <w:szCs w:val="18"/>
    </w:rPr>
  </w:style>
  <w:style w:type="paragraph" w:styleId="TOC6">
    <w:name w:val="toc 6"/>
    <w:basedOn w:val="Normal"/>
    <w:next w:val="Normal"/>
    <w:autoRedefine/>
    <w:uiPriority w:val="39"/>
    <w:unhideWhenUsed/>
    <w:rsid w:val="00F901B9"/>
    <w:pPr>
      <w:ind w:left="1200"/>
    </w:pPr>
    <w:rPr>
      <w:sz w:val="18"/>
      <w:szCs w:val="18"/>
    </w:rPr>
  </w:style>
  <w:style w:type="paragraph" w:styleId="TOC7">
    <w:name w:val="toc 7"/>
    <w:basedOn w:val="Normal"/>
    <w:next w:val="Normal"/>
    <w:autoRedefine/>
    <w:uiPriority w:val="39"/>
    <w:unhideWhenUsed/>
    <w:rsid w:val="00F901B9"/>
    <w:pPr>
      <w:ind w:left="1440"/>
    </w:pPr>
    <w:rPr>
      <w:sz w:val="18"/>
      <w:szCs w:val="18"/>
    </w:rPr>
  </w:style>
  <w:style w:type="paragraph" w:styleId="TOC8">
    <w:name w:val="toc 8"/>
    <w:basedOn w:val="Normal"/>
    <w:next w:val="Normal"/>
    <w:autoRedefine/>
    <w:uiPriority w:val="39"/>
    <w:unhideWhenUsed/>
    <w:rsid w:val="00F901B9"/>
    <w:pPr>
      <w:ind w:left="1680"/>
    </w:pPr>
    <w:rPr>
      <w:sz w:val="18"/>
      <w:szCs w:val="18"/>
    </w:rPr>
  </w:style>
  <w:style w:type="paragraph" w:styleId="TOC9">
    <w:name w:val="toc 9"/>
    <w:basedOn w:val="Normal"/>
    <w:next w:val="Normal"/>
    <w:autoRedefine/>
    <w:uiPriority w:val="39"/>
    <w:unhideWhenUsed/>
    <w:rsid w:val="00F901B9"/>
    <w:pPr>
      <w:ind w:left="1920"/>
    </w:pPr>
    <w:rPr>
      <w:sz w:val="18"/>
      <w:szCs w:val="18"/>
    </w:rPr>
  </w:style>
  <w:style w:type="table" w:styleId="LightList-Accent1">
    <w:name w:val="Light List Accent 1"/>
    <w:basedOn w:val="TableNormal"/>
    <w:uiPriority w:val="61"/>
    <w:rsid w:val="00F901B9"/>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
    <w:name w:val="Light Grid"/>
    <w:basedOn w:val="TableNormal"/>
    <w:uiPriority w:val="62"/>
    <w:rsid w:val="00F901B9"/>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01B9"/>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TableofFigures">
    <w:name w:val="table of figures"/>
    <w:basedOn w:val="Normal"/>
    <w:next w:val="Normal"/>
    <w:uiPriority w:val="99"/>
    <w:unhideWhenUsed/>
    <w:rsid w:val="00F901B9"/>
    <w:pPr>
      <w:ind w:left="480" w:hanging="480"/>
    </w:pPr>
    <w:rPr>
      <w:lang w:val="en-US"/>
    </w:rPr>
  </w:style>
  <w:style w:type="paragraph" w:styleId="NoSpacing">
    <w:name w:val="No Spacing"/>
    <w:uiPriority w:val="1"/>
    <w:qFormat/>
    <w:rsid w:val="00F901B9"/>
    <w:pPr>
      <w:suppressAutoHyphens/>
    </w:pPr>
    <w:rPr>
      <w:rFonts w:eastAsiaTheme="minorEastAsia"/>
    </w:rPr>
  </w:style>
  <w:style w:type="table" w:styleId="LightShading-Accent1">
    <w:name w:val="Light Shading Accent 1"/>
    <w:basedOn w:val="TableNormal"/>
    <w:uiPriority w:val="60"/>
    <w:rsid w:val="00F901B9"/>
    <w:rPr>
      <w:rFonts w:eastAsiaTheme="minorEastAsia"/>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ubtitle">
    <w:name w:val="Subtitle"/>
    <w:basedOn w:val="Normal"/>
    <w:next w:val="Normal"/>
    <w:link w:val="SubtitleChar"/>
    <w:uiPriority w:val="11"/>
    <w:qFormat/>
    <w:rsid w:val="00F901B9"/>
    <w:pPr>
      <w:numPr>
        <w:ilvl w:val="1"/>
      </w:numPr>
    </w:pPr>
    <w:rPr>
      <w:rFonts w:asciiTheme="majorHAnsi" w:eastAsiaTheme="majorEastAsia" w:hAnsiTheme="majorHAnsi" w:cstheme="majorBidi"/>
      <w:i/>
      <w:iCs/>
      <w:color w:val="5B9BD5" w:themeColor="accent1"/>
      <w:spacing w:val="15"/>
      <w:lang w:val="en-US"/>
    </w:rPr>
  </w:style>
  <w:style w:type="character" w:customStyle="1" w:styleId="SubtitleChar">
    <w:name w:val="Subtitle Char"/>
    <w:basedOn w:val="DefaultParagraphFont"/>
    <w:link w:val="Subtitle"/>
    <w:uiPriority w:val="11"/>
    <w:rsid w:val="00F901B9"/>
    <w:rPr>
      <w:rFonts w:asciiTheme="majorHAnsi" w:eastAsiaTheme="majorEastAsia" w:hAnsiTheme="majorHAnsi" w:cstheme="majorBidi"/>
      <w:i/>
      <w:iCs/>
      <w:color w:val="5B9BD5" w:themeColor="accent1"/>
      <w:spacing w:val="15"/>
      <w:lang w:val="en-US"/>
    </w:rPr>
  </w:style>
  <w:style w:type="table" w:styleId="PlainTable1">
    <w:name w:val="Plain Table 1"/>
    <w:basedOn w:val="TableNormal"/>
    <w:uiPriority w:val="99"/>
    <w:rsid w:val="00F901B9"/>
    <w:rPr>
      <w:rFonts w:eastAsiaTheme="minorEastAsia"/>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901B9"/>
    <w:rPr>
      <w:rFonts w:eastAsiaTheme="minorEastAsia"/>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99"/>
    <w:rsid w:val="00F901B9"/>
    <w:rPr>
      <w:rFonts w:eastAsiaTheme="minorEastAsia"/>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F901B9"/>
    <w:rPr>
      <w:rFonts w:eastAsiaTheme="minorEastAsia"/>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2"/>
    <w:rsid w:val="00F901B9"/>
    <w:rPr>
      <w:rFonts w:eastAsiaTheme="minorEastAsia"/>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3">
    <w:name w:val="Grid Table 1 Light Accent 3"/>
    <w:basedOn w:val="TableNormal"/>
    <w:uiPriority w:val="46"/>
    <w:rsid w:val="00F901B9"/>
    <w:rPr>
      <w:rFonts w:eastAsiaTheme="minorEastAsia"/>
      <w:lang w:val="en-US"/>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F901B9"/>
    <w:rPr>
      <w:rFonts w:eastAsiaTheme="minorEastAsia"/>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2">
    <w:name w:val="Grid Table 3 Accent 2"/>
    <w:basedOn w:val="TableNormal"/>
    <w:uiPriority w:val="48"/>
    <w:rsid w:val="00F901B9"/>
    <w:rPr>
      <w:rFonts w:eastAsiaTheme="minorEastAsia"/>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
    <w:name w:val="Grid Table 1 Light"/>
    <w:basedOn w:val="TableNormal"/>
    <w:uiPriority w:val="99"/>
    <w:rsid w:val="00F901B9"/>
    <w:rPr>
      <w:rFonts w:eastAsiaTheme="minorEastAsia"/>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99"/>
    <w:rsid w:val="00F901B9"/>
    <w:rPr>
      <w:rFonts w:eastAsiaTheme="minorEastAsia"/>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99"/>
    <w:rsid w:val="00F901B9"/>
    <w:rPr>
      <w:rFonts w:eastAsiaTheme="minorEastAsia"/>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F901B9"/>
  </w:style>
  <w:style w:type="table" w:customStyle="1" w:styleId="PlainTable31">
    <w:name w:val="Plain Table 31"/>
    <w:basedOn w:val="TableNormal"/>
    <w:next w:val="PlainTable3"/>
    <w:uiPriority w:val="43"/>
    <w:rsid w:val="00F901B9"/>
    <w:rPr>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F901B9"/>
    <w:rPr>
      <w:sz w:val="22"/>
      <w:szCs w:val="22"/>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F901B9"/>
    <w:rPr>
      <w:color w:val="7B7B7B" w:themeColor="accent3"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F901B9"/>
    <w:rPr>
      <w:color w:val="954F72" w:themeColor="followedHyperlink"/>
      <w:u w:val="single"/>
    </w:rPr>
  </w:style>
  <w:style w:type="paragraph" w:styleId="EndnoteText">
    <w:name w:val="endnote text"/>
    <w:basedOn w:val="Normal"/>
    <w:link w:val="EndnoteTextChar"/>
    <w:uiPriority w:val="99"/>
    <w:unhideWhenUsed/>
    <w:rsid w:val="00F901B9"/>
  </w:style>
  <w:style w:type="character" w:customStyle="1" w:styleId="EndnoteTextChar">
    <w:name w:val="Endnote Text Char"/>
    <w:basedOn w:val="DefaultParagraphFont"/>
    <w:link w:val="EndnoteText"/>
    <w:uiPriority w:val="99"/>
    <w:rsid w:val="00F901B9"/>
    <w:rPr>
      <w:rFonts w:eastAsiaTheme="minorEastAsia"/>
    </w:rPr>
  </w:style>
  <w:style w:type="character" w:styleId="EndnoteReference">
    <w:name w:val="endnote reference"/>
    <w:basedOn w:val="DefaultParagraphFont"/>
    <w:uiPriority w:val="99"/>
    <w:unhideWhenUsed/>
    <w:rsid w:val="00F901B9"/>
    <w:rPr>
      <w:vertAlign w:val="superscript"/>
    </w:rPr>
  </w:style>
  <w:style w:type="numbering" w:customStyle="1" w:styleId="Style1">
    <w:name w:val="Style1"/>
    <w:uiPriority w:val="99"/>
    <w:rsid w:val="00F901B9"/>
    <w:pPr>
      <w:numPr>
        <w:numId w:val="1"/>
      </w:numPr>
    </w:pPr>
  </w:style>
  <w:style w:type="table" w:customStyle="1" w:styleId="GridTable1Light1">
    <w:name w:val="Grid Table 1 Light1"/>
    <w:basedOn w:val="TableNormal"/>
    <w:next w:val="GridTable1Light"/>
    <w:uiPriority w:val="46"/>
    <w:rsid w:val="00F901B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Theme">
    <w:name w:val="Table Theme"/>
    <w:basedOn w:val="TableNormal"/>
    <w:uiPriority w:val="99"/>
    <w:rsid w:val="00F901B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901B9"/>
    <w:rPr>
      <w:i/>
      <w:iCs/>
    </w:rPr>
  </w:style>
  <w:style w:type="character" w:customStyle="1" w:styleId="apple-converted-space">
    <w:name w:val="apple-converted-space"/>
    <w:basedOn w:val="DefaultParagraphFont"/>
    <w:rsid w:val="00F9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4133</Words>
  <Characters>23564</Characters>
  <Application>Microsoft Macintosh Word</Application>
  <DocSecurity>0</DocSecurity>
  <Lines>196</Lines>
  <Paragraphs>55</Paragraphs>
  <ScaleCrop>false</ScaleCrop>
  <LinksUpToDate>false</LinksUpToDate>
  <CharactersWithSpaces>27642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Vantaggiato (PPL)</dc:creator>
  <cp:keywords/>
  <dc:description/>
  <cp:lastModifiedBy>Francesca Vantaggiato (PPL)</cp:lastModifiedBy>
  <cp:revision>3</cp:revision>
  <dcterms:created xsi:type="dcterms:W3CDTF">2018-04-03T15:07:00Z</dcterms:created>
  <dcterms:modified xsi:type="dcterms:W3CDTF">2018-04-20T14:49:00Z</dcterms:modified>
</cp:coreProperties>
</file>