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A54E" w14:textId="0A52599B" w:rsidR="00900086" w:rsidRPr="00900086" w:rsidRDefault="00B01707" w:rsidP="004F7C4E">
      <w:pPr>
        <w:widowControl w:val="0"/>
        <w:autoSpaceDE w:val="0"/>
        <w:autoSpaceDN w:val="0"/>
        <w:adjustRightInd w:val="0"/>
        <w:spacing w:line="480" w:lineRule="auto"/>
        <w:rPr>
          <w:rFonts w:ascii="Times New Roman" w:hAnsi="Times New Roman" w:cs="Times New Roman"/>
        </w:rPr>
      </w:pPr>
      <w:r w:rsidRPr="00900086">
        <w:rPr>
          <w:rFonts w:ascii="Times New Roman" w:hAnsi="Times New Roman" w:cs="Times New Roman"/>
        </w:rPr>
        <w:t>Date:</w:t>
      </w:r>
      <w:r w:rsidRPr="00900086">
        <w:rPr>
          <w:rFonts w:ascii="Times New Roman" w:hAnsi="Times New Roman" w:cs="Times New Roman"/>
        </w:rPr>
        <w:tab/>
      </w:r>
      <w:r w:rsidR="00D568E4">
        <w:rPr>
          <w:rFonts w:ascii="Times New Roman" w:hAnsi="Times New Roman" w:cs="Times New Roman"/>
        </w:rPr>
        <w:t>21</w:t>
      </w:r>
      <w:r w:rsidR="001546D8">
        <w:rPr>
          <w:rFonts w:ascii="Times New Roman" w:hAnsi="Times New Roman" w:cs="Times New Roman"/>
        </w:rPr>
        <w:t xml:space="preserve"> September 2016</w:t>
      </w:r>
      <w:r w:rsidRPr="00900086">
        <w:rPr>
          <w:rFonts w:ascii="Times New Roman" w:hAnsi="Times New Roman" w:cs="Times New Roman"/>
        </w:rPr>
        <w:tab/>
      </w:r>
      <w:r w:rsidRPr="00900086">
        <w:rPr>
          <w:rFonts w:ascii="Times New Roman" w:hAnsi="Times New Roman" w:cs="Times New Roman"/>
        </w:rPr>
        <w:tab/>
      </w:r>
      <w:r w:rsidRPr="00900086">
        <w:rPr>
          <w:rFonts w:ascii="Times New Roman" w:hAnsi="Times New Roman" w:cs="Times New Roman"/>
        </w:rPr>
        <w:tab/>
      </w:r>
    </w:p>
    <w:p w14:paraId="1A301271" w14:textId="77777777" w:rsidR="000F4781" w:rsidRPr="00900086" w:rsidRDefault="000F4781" w:rsidP="007E4687">
      <w:pPr>
        <w:spacing w:line="360" w:lineRule="auto"/>
        <w:rPr>
          <w:rFonts w:ascii="Times New Roman" w:eastAsiaTheme="minorHAnsi" w:hAnsi="Times New Roman" w:cs="Times New Roman"/>
        </w:rPr>
      </w:pPr>
    </w:p>
    <w:p w14:paraId="4CF986FE"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p>
    <w:p w14:paraId="1BBC9E2F"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r w:rsidRPr="00900086">
        <w:rPr>
          <w:rFonts w:ascii="Times New Roman" w:hAnsi="Times New Roman" w:cs="Times New Roman"/>
        </w:rPr>
        <w:t>Contingent Technocracy:</w:t>
      </w:r>
    </w:p>
    <w:p w14:paraId="2E0D37BC"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r w:rsidRPr="00900086">
        <w:rPr>
          <w:rFonts w:ascii="Times New Roman" w:hAnsi="Times New Roman" w:cs="Times New Roman"/>
        </w:rPr>
        <w:t>Bureaucratic Independence in Developing Countries</w:t>
      </w:r>
    </w:p>
    <w:p w14:paraId="4C1FE5C9"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p>
    <w:p w14:paraId="7EBF3C96"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p>
    <w:p w14:paraId="09844E44" w14:textId="77777777" w:rsidR="00CC0A25" w:rsidRPr="00900086" w:rsidRDefault="00CC0A25" w:rsidP="00CC0A25">
      <w:pPr>
        <w:widowControl w:val="0"/>
        <w:autoSpaceDE w:val="0"/>
        <w:autoSpaceDN w:val="0"/>
        <w:adjustRightInd w:val="0"/>
        <w:spacing w:line="480" w:lineRule="auto"/>
        <w:jc w:val="center"/>
        <w:rPr>
          <w:rFonts w:ascii="Times New Roman" w:hAnsi="Times New Roman" w:cs="Times New Roman"/>
        </w:rPr>
      </w:pPr>
      <w:r w:rsidRPr="00900086">
        <w:rPr>
          <w:rFonts w:ascii="Times New Roman" w:hAnsi="Times New Roman" w:cs="Times New Roman"/>
        </w:rPr>
        <w:t>Supplemental Appendices</w:t>
      </w:r>
    </w:p>
    <w:p w14:paraId="33BB3F46" w14:textId="77777777" w:rsidR="00CC0A25" w:rsidRDefault="00CC0A25" w:rsidP="00CC0A25">
      <w:pPr>
        <w:widowControl w:val="0"/>
        <w:autoSpaceDE w:val="0"/>
        <w:autoSpaceDN w:val="0"/>
        <w:adjustRightInd w:val="0"/>
        <w:spacing w:line="480" w:lineRule="auto"/>
        <w:jc w:val="center"/>
        <w:rPr>
          <w:rFonts w:ascii="Times New Roman" w:hAnsi="Times New Roman" w:cs="Times New Roman"/>
        </w:rPr>
      </w:pPr>
      <w:r w:rsidRPr="00900086">
        <w:rPr>
          <w:rFonts w:ascii="Times New Roman" w:hAnsi="Times New Roman" w:cs="Times New Roman"/>
        </w:rPr>
        <w:t>(Not for publication)</w:t>
      </w:r>
    </w:p>
    <w:p w14:paraId="0D64A209" w14:textId="77777777" w:rsidR="00A6085A" w:rsidRPr="00900086" w:rsidRDefault="00A6085A" w:rsidP="00CC0A25">
      <w:pPr>
        <w:widowControl w:val="0"/>
        <w:autoSpaceDE w:val="0"/>
        <w:autoSpaceDN w:val="0"/>
        <w:adjustRightInd w:val="0"/>
        <w:spacing w:line="480" w:lineRule="auto"/>
        <w:jc w:val="center"/>
        <w:rPr>
          <w:rFonts w:ascii="Times New Roman" w:hAnsi="Times New Roman" w:cs="Times New Roman"/>
        </w:rPr>
      </w:pPr>
    </w:p>
    <w:p w14:paraId="430FB942" w14:textId="77777777" w:rsidR="00A6085A" w:rsidRPr="00900086" w:rsidRDefault="00A6085A" w:rsidP="00A6085A">
      <w:pPr>
        <w:rPr>
          <w:rFonts w:ascii="Times New Roman" w:hAnsi="Times New Roman" w:cs="Times New Roman"/>
        </w:rPr>
      </w:pPr>
      <w:r w:rsidRPr="00900086">
        <w:rPr>
          <w:rFonts w:ascii="Times New Roman" w:hAnsi="Times New Roman" w:cs="Times New Roman"/>
        </w:rPr>
        <w:t>MANUEL P. TEODORO, Department of Political Science, Texas A&amp;M University, USA</w:t>
      </w:r>
    </w:p>
    <w:p w14:paraId="4D42E135" w14:textId="77777777" w:rsidR="00A6085A" w:rsidRPr="00900086" w:rsidRDefault="00A6085A" w:rsidP="00A6085A">
      <w:pPr>
        <w:rPr>
          <w:rFonts w:ascii="Times New Roman" w:hAnsi="Times New Roman" w:cs="Times New Roman"/>
        </w:rPr>
      </w:pPr>
      <w:r w:rsidRPr="00900086">
        <w:rPr>
          <w:rFonts w:ascii="Times New Roman" w:hAnsi="Times New Roman" w:cs="Times New Roman"/>
        </w:rPr>
        <w:t xml:space="preserve">Email: </w:t>
      </w:r>
      <w:r>
        <w:rPr>
          <w:rFonts w:ascii="Times New Roman" w:hAnsi="Times New Roman" w:cs="Times New Roman"/>
        </w:rPr>
        <w:t>mte</w:t>
      </w:r>
      <w:r w:rsidRPr="00900086">
        <w:rPr>
          <w:rFonts w:ascii="Times New Roman" w:hAnsi="Times New Roman" w:cs="Times New Roman"/>
        </w:rPr>
        <w:t>odoro@tamu.edu</w:t>
      </w:r>
    </w:p>
    <w:p w14:paraId="19C68BFE" w14:textId="77777777" w:rsidR="00A6085A" w:rsidRPr="00900086" w:rsidRDefault="00A6085A" w:rsidP="00A6085A">
      <w:pPr>
        <w:rPr>
          <w:rFonts w:ascii="Times New Roman" w:hAnsi="Times New Roman" w:cs="Times New Roman"/>
        </w:rPr>
      </w:pPr>
      <w:r w:rsidRPr="00900086">
        <w:rPr>
          <w:rFonts w:ascii="Times New Roman" w:hAnsi="Times New Roman" w:cs="Times New Roman"/>
        </w:rPr>
        <w:t>M. ANNE PITCHER, Departments of Political Science and Afroamerican and African Studi</w:t>
      </w:r>
      <w:r>
        <w:rPr>
          <w:rFonts w:ascii="Times New Roman" w:hAnsi="Times New Roman" w:cs="Times New Roman"/>
        </w:rPr>
        <w:t>es, University of Michigan, USA</w:t>
      </w:r>
      <w:r w:rsidRPr="00900086">
        <w:rPr>
          <w:rFonts w:ascii="Times New Roman" w:hAnsi="Times New Roman" w:cs="Times New Roman"/>
        </w:rPr>
        <w:t xml:space="preserve"> </w:t>
      </w:r>
    </w:p>
    <w:p w14:paraId="70F54BAA" w14:textId="77777777" w:rsidR="00A6085A" w:rsidRPr="00900086" w:rsidRDefault="00A6085A" w:rsidP="00A6085A">
      <w:pPr>
        <w:rPr>
          <w:rFonts w:ascii="Times New Roman" w:hAnsi="Times New Roman" w:cs="Times New Roman"/>
        </w:rPr>
      </w:pPr>
      <w:r w:rsidRPr="00900086">
        <w:rPr>
          <w:rFonts w:ascii="Times New Roman" w:hAnsi="Times New Roman" w:cs="Times New Roman"/>
        </w:rPr>
        <w:t>Email: pitchera@umich.edu</w:t>
      </w:r>
    </w:p>
    <w:p w14:paraId="31773F97" w14:textId="77777777" w:rsidR="00CC0A25" w:rsidRPr="00900086" w:rsidRDefault="00CC0A25" w:rsidP="00CC0A25">
      <w:pPr>
        <w:widowControl w:val="0"/>
        <w:autoSpaceDE w:val="0"/>
        <w:autoSpaceDN w:val="0"/>
        <w:adjustRightInd w:val="0"/>
        <w:spacing w:line="480" w:lineRule="auto"/>
        <w:rPr>
          <w:rFonts w:ascii="Times New Roman" w:hAnsi="Times New Roman" w:cs="Times New Roman"/>
        </w:rPr>
      </w:pPr>
    </w:p>
    <w:p w14:paraId="46CF518E" w14:textId="77777777" w:rsidR="00CC0A25" w:rsidRPr="00900086" w:rsidRDefault="00CC0A25" w:rsidP="00CC0A25">
      <w:pPr>
        <w:widowControl w:val="0"/>
        <w:autoSpaceDE w:val="0"/>
        <w:autoSpaceDN w:val="0"/>
        <w:adjustRightInd w:val="0"/>
        <w:spacing w:line="480" w:lineRule="auto"/>
        <w:rPr>
          <w:rFonts w:ascii="Times New Roman" w:hAnsi="Times New Roman" w:cs="Times New Roman"/>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840"/>
      </w:tblGrid>
      <w:tr w:rsidR="00CC0A25" w:rsidRPr="00900086" w14:paraId="34D85F3B" w14:textId="77777777" w:rsidTr="00711AF0">
        <w:tc>
          <w:tcPr>
            <w:tcW w:w="1530" w:type="dxa"/>
          </w:tcPr>
          <w:p w14:paraId="1A789C4A"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Appendix A</w:t>
            </w:r>
          </w:p>
        </w:tc>
        <w:tc>
          <w:tcPr>
            <w:tcW w:w="6840" w:type="dxa"/>
          </w:tcPr>
          <w:p w14:paraId="20108559"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Sources for initial counts of state-owned enterprises</w:t>
            </w:r>
          </w:p>
        </w:tc>
      </w:tr>
      <w:tr w:rsidR="00CC0A25" w:rsidRPr="00900086" w14:paraId="348C359B" w14:textId="77777777" w:rsidTr="00711AF0">
        <w:tc>
          <w:tcPr>
            <w:tcW w:w="1530" w:type="dxa"/>
          </w:tcPr>
          <w:p w14:paraId="6BCA213D"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Appendix B</w:t>
            </w:r>
          </w:p>
        </w:tc>
        <w:tc>
          <w:tcPr>
            <w:tcW w:w="6840" w:type="dxa"/>
          </w:tcPr>
          <w:p w14:paraId="446A13F3" w14:textId="77777777" w:rsidR="00CC0A25" w:rsidRPr="00900086" w:rsidRDefault="00CC0A25" w:rsidP="00711AF0">
            <w:pPr>
              <w:ind w:right="-108"/>
              <w:rPr>
                <w:rFonts w:ascii="Times New Roman" w:hAnsi="Times New Roman" w:cs="Times New Roman"/>
                <w:sz w:val="24"/>
                <w:szCs w:val="24"/>
              </w:rPr>
            </w:pPr>
            <w:r w:rsidRPr="00900086">
              <w:rPr>
                <w:rFonts w:ascii="Times New Roman" w:hAnsi="Times New Roman" w:cs="Times New Roman"/>
                <w:sz w:val="24"/>
                <w:szCs w:val="24"/>
              </w:rPr>
              <w:t xml:space="preserve">Sources and methods for legislative </w:t>
            </w:r>
            <w:r w:rsidRPr="00900086">
              <w:rPr>
                <w:rFonts w:ascii="Times New Roman" w:hAnsi="Times New Roman" w:cs="Times New Roman"/>
                <w:iCs/>
                <w:sz w:val="24"/>
                <w:szCs w:val="24"/>
              </w:rPr>
              <w:t>coding of agency independence</w:t>
            </w:r>
          </w:p>
        </w:tc>
      </w:tr>
      <w:tr w:rsidR="00CC0A25" w:rsidRPr="00900086" w14:paraId="1E0F5F94" w14:textId="77777777" w:rsidTr="00711AF0">
        <w:tc>
          <w:tcPr>
            <w:tcW w:w="1530" w:type="dxa"/>
          </w:tcPr>
          <w:p w14:paraId="01F15D78"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Appendix C</w:t>
            </w:r>
          </w:p>
        </w:tc>
        <w:tc>
          <w:tcPr>
            <w:tcW w:w="6840" w:type="dxa"/>
          </w:tcPr>
          <w:p w14:paraId="239B7620"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Descriptive statistics and propensity weight estimation</w:t>
            </w:r>
          </w:p>
        </w:tc>
      </w:tr>
      <w:tr w:rsidR="00CC0A25" w:rsidRPr="00900086" w14:paraId="0CEBB03C" w14:textId="77777777" w:rsidTr="00711AF0">
        <w:tc>
          <w:tcPr>
            <w:tcW w:w="1530" w:type="dxa"/>
          </w:tcPr>
          <w:p w14:paraId="4ED272DA"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Appendix D</w:t>
            </w:r>
          </w:p>
        </w:tc>
        <w:tc>
          <w:tcPr>
            <w:tcW w:w="6840" w:type="dxa"/>
          </w:tcPr>
          <w:p w14:paraId="7A8CF6F9" w14:textId="77777777" w:rsidR="00CC0A25" w:rsidRPr="00900086" w:rsidRDefault="00CC0A25" w:rsidP="00711AF0">
            <w:pPr>
              <w:widowControl w:val="0"/>
              <w:autoSpaceDE w:val="0"/>
              <w:autoSpaceDN w:val="0"/>
              <w:adjustRightInd w:val="0"/>
              <w:spacing w:line="480" w:lineRule="auto"/>
              <w:rPr>
                <w:rFonts w:ascii="Times New Roman" w:hAnsi="Times New Roman" w:cs="Times New Roman"/>
                <w:sz w:val="24"/>
                <w:szCs w:val="24"/>
              </w:rPr>
            </w:pPr>
            <w:r w:rsidRPr="00900086">
              <w:rPr>
                <w:rFonts w:ascii="Times New Roman" w:hAnsi="Times New Roman" w:cs="Times New Roman"/>
                <w:sz w:val="24"/>
                <w:szCs w:val="24"/>
              </w:rPr>
              <w:t>Robustness considerations</w:t>
            </w:r>
          </w:p>
        </w:tc>
      </w:tr>
    </w:tbl>
    <w:p w14:paraId="23B12445" w14:textId="77777777" w:rsidR="00CC0A25" w:rsidRPr="00900086" w:rsidRDefault="00CC0A25" w:rsidP="00CC0A25">
      <w:pPr>
        <w:widowControl w:val="0"/>
        <w:autoSpaceDE w:val="0"/>
        <w:autoSpaceDN w:val="0"/>
        <w:adjustRightInd w:val="0"/>
        <w:spacing w:line="480" w:lineRule="auto"/>
        <w:rPr>
          <w:rFonts w:ascii="Times New Roman" w:hAnsi="Times New Roman" w:cs="Times New Roman"/>
        </w:rPr>
      </w:pPr>
    </w:p>
    <w:p w14:paraId="0CD5906C" w14:textId="77777777" w:rsidR="00CC0A25" w:rsidRPr="00900086" w:rsidRDefault="00CC0A25" w:rsidP="00CC0A25">
      <w:pPr>
        <w:widowControl w:val="0"/>
        <w:autoSpaceDE w:val="0"/>
        <w:autoSpaceDN w:val="0"/>
        <w:adjustRightInd w:val="0"/>
        <w:spacing w:line="480" w:lineRule="auto"/>
        <w:rPr>
          <w:rFonts w:ascii="Times New Roman" w:hAnsi="Times New Roman" w:cs="Times New Roman"/>
        </w:rPr>
      </w:pPr>
    </w:p>
    <w:p w14:paraId="7812407E" w14:textId="77777777" w:rsidR="00CC0A25" w:rsidRPr="00900086" w:rsidRDefault="00CC0A25" w:rsidP="00CC0A25">
      <w:pPr>
        <w:rPr>
          <w:rFonts w:ascii="Times New Roman" w:hAnsi="Times New Roman" w:cs="Times New Roman"/>
        </w:rPr>
      </w:pPr>
      <w:r w:rsidRPr="00900086">
        <w:rPr>
          <w:rFonts w:ascii="Times New Roman" w:hAnsi="Times New Roman" w:cs="Times New Roman"/>
        </w:rPr>
        <w:br w:type="page"/>
      </w:r>
    </w:p>
    <w:p w14:paraId="6F4129FE" w14:textId="77777777" w:rsidR="00CC0A25" w:rsidRPr="005328A7" w:rsidRDefault="00CC0A25" w:rsidP="00CC0A25">
      <w:pPr>
        <w:rPr>
          <w:rFonts w:ascii="Times New Roman" w:hAnsi="Times New Roman" w:cs="Times New Roman"/>
          <w:b/>
        </w:rPr>
      </w:pPr>
      <w:r w:rsidRPr="005328A7">
        <w:rPr>
          <w:rFonts w:ascii="Times New Roman" w:hAnsi="Times New Roman" w:cs="Times New Roman"/>
          <w:b/>
        </w:rPr>
        <w:lastRenderedPageBreak/>
        <w:t xml:space="preserve">Appendix A: </w:t>
      </w:r>
      <w:bookmarkStart w:id="0" w:name="_GoBack"/>
      <w:bookmarkEnd w:id="0"/>
      <w:r w:rsidRPr="005328A7">
        <w:rPr>
          <w:rFonts w:ascii="Times New Roman" w:hAnsi="Times New Roman" w:cs="Times New Roman"/>
          <w:b/>
        </w:rPr>
        <w:t>Sources for initial counts of state-owned enterprises</w:t>
      </w:r>
    </w:p>
    <w:p w14:paraId="31F4D7CE" w14:textId="77777777" w:rsidR="00CC0A25" w:rsidRPr="005328A7" w:rsidRDefault="00CC0A25" w:rsidP="00CC0A25">
      <w:pPr>
        <w:rPr>
          <w:rFonts w:ascii="Times New Roman" w:hAnsi="Times New Roman" w:cs="Times New Roman"/>
          <w:b/>
          <w:u w:val="single"/>
        </w:rPr>
      </w:pPr>
    </w:p>
    <w:p w14:paraId="1907CE48" w14:textId="1246C186" w:rsidR="00CC0A25" w:rsidRPr="00900086" w:rsidRDefault="00CC0A25" w:rsidP="00CC0A25">
      <w:pPr>
        <w:rPr>
          <w:rFonts w:ascii="Times New Roman" w:hAnsi="Times New Roman" w:cs="Times New Roman"/>
        </w:rPr>
      </w:pPr>
      <w:r w:rsidRPr="00900086">
        <w:rPr>
          <w:rFonts w:ascii="Times New Roman" w:hAnsi="Times New Roman" w:cs="Times New Roman"/>
        </w:rPr>
        <w:t xml:space="preserve">The sources listed below were relied on to calculate the initial size of the state-owned sector </w:t>
      </w:r>
      <w:r w:rsidR="00C7574F">
        <w:rPr>
          <w:rFonts w:ascii="Times New Roman" w:hAnsi="Times New Roman" w:cs="Times New Roman"/>
        </w:rPr>
        <w:t xml:space="preserve">in 1990 </w:t>
      </w:r>
      <w:r w:rsidRPr="00900086">
        <w:rPr>
          <w:rFonts w:ascii="Times New Roman" w:hAnsi="Times New Roman" w:cs="Times New Roman"/>
        </w:rPr>
        <w:t xml:space="preserve">so that year on year sales could be </w:t>
      </w:r>
      <w:r w:rsidR="00C7574F">
        <w:rPr>
          <w:rFonts w:ascii="Times New Roman" w:hAnsi="Times New Roman" w:cs="Times New Roman"/>
        </w:rPr>
        <w:t>measured</w:t>
      </w:r>
      <w:r w:rsidRPr="00900086">
        <w:rPr>
          <w:rFonts w:ascii="Times New Roman" w:hAnsi="Times New Roman" w:cs="Times New Roman"/>
        </w:rPr>
        <w:t xml:space="preserve"> as a percentage of the overall size of the state sector. This approach facilitated comparison across cases where the number of state-owned enterprises (SOEs) in each country varied considerably. To determine the size of the state owned sector, we initially consulted primary government sources, often the legislation that enacted the government’s privatization policy. Where the legislation only listed the SOEs to be privatized rather than the size of the whole sector, we consulted other official government documents, data furnished by the World Bank or its representatives, data gathered by donors such as the US Agency for International Development. Where this material was lacking, we consulted secondary sources, usually country case studies, to determine the size. A study by John Nellis (1986) provided the number of </w:t>
      </w:r>
      <w:r w:rsidR="00C7574F">
        <w:rPr>
          <w:rFonts w:ascii="Times New Roman" w:hAnsi="Times New Roman" w:cs="Times New Roman"/>
        </w:rPr>
        <w:t>SOEs</w:t>
      </w:r>
      <w:r w:rsidRPr="00900086">
        <w:rPr>
          <w:rFonts w:ascii="Times New Roman" w:hAnsi="Times New Roman" w:cs="Times New Roman"/>
        </w:rPr>
        <w:t xml:space="preserve"> for most African countries in the 1970s and 1980s, </w:t>
      </w:r>
      <w:r w:rsidR="00C7574F">
        <w:rPr>
          <w:rFonts w:ascii="Times New Roman" w:hAnsi="Times New Roman" w:cs="Times New Roman"/>
        </w:rPr>
        <w:t>was out</w:t>
      </w:r>
      <w:r w:rsidRPr="00900086">
        <w:rPr>
          <w:rFonts w:ascii="Times New Roman" w:hAnsi="Times New Roman" w:cs="Times New Roman"/>
        </w:rPr>
        <w:t xml:space="preserve"> of date for many cases. We relied on Nellis when other sources could not be found.</w:t>
      </w:r>
    </w:p>
    <w:p w14:paraId="5B816ED4" w14:textId="77777777" w:rsidR="00CC0A25" w:rsidRPr="00900086" w:rsidRDefault="00CC0A25" w:rsidP="00CC0A25">
      <w:pPr>
        <w:rPr>
          <w:rFonts w:ascii="Times New Roman" w:hAnsi="Times New Roman" w:cs="Times New Roman"/>
        </w:rPr>
      </w:pPr>
    </w:p>
    <w:p w14:paraId="0F85B095"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Algeria</w:t>
      </w:r>
    </w:p>
    <w:p w14:paraId="16D3F762" w14:textId="6334557F" w:rsidR="00CC0A25" w:rsidRPr="00900086" w:rsidRDefault="00CC0A25" w:rsidP="00CC0A25">
      <w:pPr>
        <w:pStyle w:val="EndnoteText"/>
        <w:ind w:left="720" w:hanging="720"/>
        <w:rPr>
          <w:rFonts w:ascii="Times New Roman" w:hAnsi="Times New Roman" w:cs="Times New Roman"/>
          <w:sz w:val="24"/>
          <w:szCs w:val="24"/>
        </w:rPr>
      </w:pPr>
      <w:r w:rsidRPr="00900086">
        <w:rPr>
          <w:rFonts w:ascii="Times New Roman" w:hAnsi="Times New Roman" w:cs="Times New Roman"/>
          <w:sz w:val="24"/>
          <w:szCs w:val="24"/>
        </w:rPr>
        <w:t xml:space="preserve">Werenfels I. 2002. “Obstacles to Privatisation of State-Owned Enterprises in Algeria: the Political Economy of a Distributive Conflict.” </w:t>
      </w:r>
      <w:r w:rsidRPr="00900086">
        <w:rPr>
          <w:rFonts w:ascii="Times New Roman" w:hAnsi="Times New Roman" w:cs="Times New Roman"/>
          <w:i/>
          <w:sz w:val="24"/>
          <w:szCs w:val="24"/>
        </w:rPr>
        <w:t>The Journal of North African Studies</w:t>
      </w:r>
      <w:r w:rsidRPr="00900086">
        <w:rPr>
          <w:rFonts w:ascii="Times New Roman" w:hAnsi="Times New Roman" w:cs="Times New Roman"/>
          <w:sz w:val="24"/>
          <w:szCs w:val="24"/>
        </w:rPr>
        <w:t>, Vol. 7, No. 1 (Spring): 1-28.</w:t>
      </w:r>
    </w:p>
    <w:p w14:paraId="5CC6275E" w14:textId="77777777" w:rsidR="00CC0A25" w:rsidRPr="00900086" w:rsidRDefault="00CC0A25" w:rsidP="00CC0A25">
      <w:pPr>
        <w:pStyle w:val="EndnoteText"/>
        <w:ind w:left="720" w:hanging="720"/>
        <w:rPr>
          <w:rFonts w:ascii="Times New Roman" w:hAnsi="Times New Roman" w:cs="Times New Roman"/>
          <w:b/>
          <w:sz w:val="24"/>
          <w:szCs w:val="24"/>
        </w:rPr>
      </w:pPr>
    </w:p>
    <w:p w14:paraId="38E126E7"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Benin</w:t>
      </w:r>
    </w:p>
    <w:p w14:paraId="309E3905" w14:textId="288822FF"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40FE4B22" w14:textId="77777777" w:rsidR="00CC0A25" w:rsidRPr="00900086" w:rsidRDefault="00CC0A25" w:rsidP="00CC0A25">
      <w:pPr>
        <w:pStyle w:val="EndnoteText"/>
        <w:ind w:left="720" w:hanging="720"/>
        <w:rPr>
          <w:rFonts w:ascii="Times New Roman" w:hAnsi="Times New Roman" w:cs="Times New Roman"/>
          <w:sz w:val="24"/>
          <w:szCs w:val="24"/>
        </w:rPr>
      </w:pPr>
    </w:p>
    <w:p w14:paraId="76953AC7"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Botswana</w:t>
      </w:r>
    </w:p>
    <w:p w14:paraId="55FCE5EB"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Botswana. 2000. Privatization Policy for Botswana. Government Paper no. 1. </w:t>
      </w:r>
    </w:p>
    <w:p w14:paraId="620D4B80" w14:textId="77777777" w:rsidR="00CC0A25" w:rsidRPr="00900086" w:rsidRDefault="00CC0A25" w:rsidP="00CC0A25">
      <w:pPr>
        <w:ind w:left="720" w:hanging="720"/>
        <w:rPr>
          <w:rFonts w:ascii="Times New Roman" w:hAnsi="Times New Roman" w:cs="Times New Roman"/>
          <w:color w:val="000000"/>
        </w:rPr>
      </w:pPr>
    </w:p>
    <w:p w14:paraId="33165341"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Burkina Faso</w:t>
      </w:r>
    </w:p>
    <w:p w14:paraId="7A84B1B6" w14:textId="77777777"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World Bank. 2001.</w:t>
      </w:r>
      <w:r w:rsidRPr="00900086">
        <w:rPr>
          <w:rFonts w:ascii="Times New Roman" w:hAnsi="Times New Roman" w:cs="Times New Roman"/>
          <w:b/>
        </w:rPr>
        <w:t xml:space="preserve"> </w:t>
      </w:r>
      <w:r w:rsidRPr="00900086">
        <w:rPr>
          <w:rFonts w:ascii="Times New Roman" w:hAnsi="Times New Roman" w:cs="Times New Roman"/>
        </w:rPr>
        <w:t>“Privatization in Burkina Faso: Country Fact Sheet.” MIGA and the Africa Region.</w:t>
      </w:r>
    </w:p>
    <w:p w14:paraId="4FA28FCC" w14:textId="77777777" w:rsidR="00CC0A25" w:rsidRPr="00900086" w:rsidRDefault="00CC0A25" w:rsidP="00CC0A25">
      <w:pPr>
        <w:ind w:left="720" w:hanging="720"/>
        <w:rPr>
          <w:rFonts w:ascii="Times New Roman" w:hAnsi="Times New Roman" w:cs="Times New Roman"/>
        </w:rPr>
      </w:pPr>
    </w:p>
    <w:p w14:paraId="2A73688A"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Cameroon</w:t>
      </w:r>
    </w:p>
    <w:p w14:paraId="287E5166"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rPr>
        <w:t>World Bank. 1996. Technical Annex to the Memoranduamn (Sic) D (Sic) Recommendation (Report NO. P-6928-CM) on a Proposed Credit in the Amount Equivalent to SDR 8.8 Million to the Republic of Cameroon for a Privatization and Private Sector Technical Assistance Project. Report no. T-6928-CM. May 22.</w:t>
      </w:r>
    </w:p>
    <w:p w14:paraId="110572AD" w14:textId="77777777" w:rsidR="00CC0A25" w:rsidRPr="00900086" w:rsidRDefault="00CC0A25" w:rsidP="00CC0A25">
      <w:pPr>
        <w:ind w:left="720" w:hanging="720"/>
        <w:rPr>
          <w:rFonts w:ascii="Times New Roman" w:hAnsi="Times New Roman" w:cs="Times New Roman"/>
          <w:color w:val="000000"/>
        </w:rPr>
      </w:pPr>
    </w:p>
    <w:p w14:paraId="190D084E"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Cote d’Ivoire</w:t>
      </w:r>
    </w:p>
    <w:p w14:paraId="24044751" w14:textId="3EB02E0B"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5330C3FE" w14:textId="77777777" w:rsidR="00CC0A25" w:rsidRPr="00900086" w:rsidRDefault="00CC0A25" w:rsidP="00CC0A25">
      <w:pPr>
        <w:ind w:left="720" w:hanging="720"/>
        <w:rPr>
          <w:rFonts w:ascii="Times New Roman" w:hAnsi="Times New Roman" w:cs="Times New Roman"/>
        </w:rPr>
      </w:pPr>
    </w:p>
    <w:p w14:paraId="10DBD1C0"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Ethiopia</w:t>
      </w:r>
    </w:p>
    <w:p w14:paraId="5C0A6A7F" w14:textId="300E6183"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16A46960" w14:textId="77777777" w:rsidR="00CC0A25" w:rsidRPr="00900086" w:rsidRDefault="00CC0A25" w:rsidP="00CC0A25">
      <w:pPr>
        <w:pStyle w:val="EndnoteText"/>
        <w:ind w:left="720" w:hanging="720"/>
        <w:rPr>
          <w:rFonts w:ascii="Times New Roman" w:hAnsi="Times New Roman" w:cs="Times New Roman"/>
          <w:sz w:val="24"/>
          <w:szCs w:val="24"/>
        </w:rPr>
      </w:pPr>
    </w:p>
    <w:p w14:paraId="3C6B362E" w14:textId="77777777" w:rsidR="00CC0A25" w:rsidRPr="00900086" w:rsidRDefault="00CC0A25" w:rsidP="00CC0A25">
      <w:pPr>
        <w:pStyle w:val="EndnoteText"/>
        <w:keepN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lastRenderedPageBreak/>
        <w:t>Ghana</w:t>
      </w:r>
    </w:p>
    <w:p w14:paraId="780A664A" w14:textId="77777777"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color w:val="000000"/>
        </w:rPr>
        <w:t>Ghana. 2010. “Divestiture Implementation Committee.” Website. Accessed January 21.</w:t>
      </w:r>
      <w:r w:rsidRPr="00900086">
        <w:rPr>
          <w:rFonts w:ascii="Times New Roman" w:hAnsi="Times New Roman" w:cs="Times New Roman"/>
        </w:rPr>
        <w:t xml:space="preserve"> </w:t>
      </w:r>
      <w:hyperlink r:id="rId8" w:history="1">
        <w:r w:rsidRPr="00900086">
          <w:rPr>
            <w:rStyle w:val="Hyperlink"/>
            <w:rFonts w:ascii="Times New Roman" w:hAnsi="Times New Roman" w:cs="Times New Roman"/>
          </w:rPr>
          <w:t>http://www.dic.com.gh/info/faq.html</w:t>
        </w:r>
      </w:hyperlink>
    </w:p>
    <w:p w14:paraId="42030E15" w14:textId="77777777" w:rsidR="00CC0A25" w:rsidRPr="00900086" w:rsidRDefault="00CC0A25" w:rsidP="00CC0A25">
      <w:pPr>
        <w:ind w:left="720" w:hanging="720"/>
        <w:rPr>
          <w:rFonts w:ascii="Times New Roman" w:hAnsi="Times New Roman" w:cs="Times New Roman"/>
        </w:rPr>
      </w:pPr>
    </w:p>
    <w:p w14:paraId="0A40165F"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Kenya</w:t>
      </w:r>
    </w:p>
    <w:p w14:paraId="57A6ECB6" w14:textId="77777777" w:rsidR="00CC0A25" w:rsidRPr="00900086" w:rsidRDefault="00CC0A25" w:rsidP="00CC0A25">
      <w:pPr>
        <w:pStyle w:val="EndnoteText"/>
        <w:ind w:left="720" w:hanging="720"/>
        <w:rPr>
          <w:rFonts w:ascii="Times New Roman" w:hAnsi="Times New Roman" w:cs="Times New Roman"/>
          <w:b/>
          <w:sz w:val="24"/>
          <w:szCs w:val="24"/>
        </w:rPr>
      </w:pPr>
      <w:r w:rsidRPr="00900086">
        <w:rPr>
          <w:rFonts w:ascii="Times New Roman" w:hAnsi="Times New Roman" w:cs="Times New Roman"/>
          <w:color w:val="000000"/>
          <w:sz w:val="24"/>
          <w:szCs w:val="24"/>
        </w:rPr>
        <w:t>Kenya. 2005. “Sessional Paper No……of 2005 on Privatization of State Corporations and Investments.” Draft.</w:t>
      </w:r>
    </w:p>
    <w:p w14:paraId="39D3F6C8" w14:textId="77777777" w:rsidR="00CC0A25" w:rsidRPr="00900086" w:rsidRDefault="00CC0A25" w:rsidP="00CC0A25">
      <w:pPr>
        <w:pStyle w:val="EndnoteText"/>
        <w:ind w:left="720" w:hanging="720"/>
        <w:rPr>
          <w:rFonts w:ascii="Times New Roman" w:hAnsi="Times New Roman" w:cs="Times New Roman"/>
          <w:sz w:val="24"/>
          <w:szCs w:val="24"/>
        </w:rPr>
      </w:pPr>
    </w:p>
    <w:p w14:paraId="13AF2961"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Lesotho</w:t>
      </w:r>
    </w:p>
    <w:p w14:paraId="41D33618" w14:textId="77777777" w:rsidR="00CC0A25" w:rsidRPr="00900086" w:rsidRDefault="00CC0A25" w:rsidP="00CC0A25">
      <w:pPr>
        <w:tabs>
          <w:tab w:val="left" w:pos="4860"/>
        </w:tabs>
        <w:ind w:left="720" w:hanging="720"/>
        <w:rPr>
          <w:rFonts w:ascii="Times New Roman" w:hAnsi="Times New Roman" w:cs="Times New Roman"/>
          <w:b/>
        </w:rPr>
      </w:pPr>
      <w:r w:rsidRPr="00900086">
        <w:rPr>
          <w:rFonts w:ascii="Times New Roman" w:hAnsi="Times New Roman" w:cs="Times New Roman"/>
        </w:rPr>
        <w:t xml:space="preserve">Lesotho. 2000. “The Lesotho Privatisation Program.” Lesotho Privatisation Unit.  Privatization Link: Project Opportunities in Emerging Markets, Feb 3, 2000. Accessed 4/7/ 2009. </w:t>
      </w:r>
      <w:hyperlink r:id="rId9" w:history="1">
        <w:r w:rsidRPr="00900086">
          <w:rPr>
            <w:rStyle w:val="Hyperlink"/>
            <w:rFonts w:ascii="Times New Roman" w:hAnsi="Times New Roman" w:cs="Times New Roman"/>
          </w:rPr>
          <w:t>http://www.fdi.net/documents/WorldBank/databases/plink/lesotho/pprogram.htm</w:t>
        </w:r>
      </w:hyperlink>
    </w:p>
    <w:p w14:paraId="5ECF17F9" w14:textId="77777777" w:rsidR="00CC0A25" w:rsidRPr="00900086" w:rsidRDefault="00CC0A25" w:rsidP="00CC0A25">
      <w:pPr>
        <w:ind w:left="720" w:hanging="720"/>
        <w:rPr>
          <w:rFonts w:ascii="Times New Roman" w:hAnsi="Times New Roman" w:cs="Times New Roman"/>
        </w:rPr>
      </w:pPr>
    </w:p>
    <w:p w14:paraId="49D7A2D1"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Madagascar</w:t>
      </w:r>
    </w:p>
    <w:p w14:paraId="708E1353" w14:textId="77777777"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World Bank. 1999. “Madagascar: An Agenda for Growth and Poverty Reduction.” 19605. August.</w:t>
      </w:r>
    </w:p>
    <w:p w14:paraId="15884A78" w14:textId="77777777" w:rsidR="00CC0A25" w:rsidRPr="00900086" w:rsidRDefault="00CC0A25" w:rsidP="00CC0A25">
      <w:pPr>
        <w:ind w:left="720" w:hanging="720"/>
        <w:rPr>
          <w:rFonts w:ascii="Times New Roman" w:hAnsi="Times New Roman" w:cs="Times New Roman"/>
        </w:rPr>
      </w:pPr>
    </w:p>
    <w:p w14:paraId="289DA60D"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Malawi</w:t>
      </w:r>
    </w:p>
    <w:p w14:paraId="42F80D00" w14:textId="77777777"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color w:val="000000"/>
        </w:rPr>
        <w:t xml:space="preserve">Malawi. 2008. </w:t>
      </w:r>
      <w:r w:rsidRPr="00900086">
        <w:rPr>
          <w:rFonts w:ascii="Times New Roman" w:hAnsi="Times New Roman" w:cs="Times New Roman"/>
        </w:rPr>
        <w:t xml:space="preserve">The Privatisation Commission, Accessed May 26. </w:t>
      </w:r>
      <w:hyperlink r:id="rId10" w:history="1">
        <w:r w:rsidRPr="00900086">
          <w:rPr>
            <w:rStyle w:val="Hyperlink"/>
            <w:rFonts w:ascii="Times New Roman" w:hAnsi="Times New Roman" w:cs="Times New Roman"/>
          </w:rPr>
          <w:t>www.privatisationmalawi.org</w:t>
        </w:r>
      </w:hyperlink>
      <w:r w:rsidRPr="00900086">
        <w:rPr>
          <w:rFonts w:ascii="Times New Roman" w:hAnsi="Times New Roman" w:cs="Times New Roman"/>
        </w:rPr>
        <w:t>.</w:t>
      </w:r>
    </w:p>
    <w:p w14:paraId="41178F65" w14:textId="77777777" w:rsidR="00CC0A25" w:rsidRPr="00900086" w:rsidRDefault="00CC0A25" w:rsidP="00CC0A25">
      <w:pPr>
        <w:ind w:left="720" w:hanging="720"/>
        <w:rPr>
          <w:rFonts w:ascii="Times New Roman" w:hAnsi="Times New Roman" w:cs="Times New Roman"/>
          <w:color w:val="000000"/>
        </w:rPr>
      </w:pPr>
    </w:p>
    <w:p w14:paraId="3FE4D9BA"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Mali</w:t>
      </w:r>
    </w:p>
    <w:p w14:paraId="49818BB6" w14:textId="00FBFB29" w:rsidR="00CC0A25" w:rsidRPr="00900086" w:rsidRDefault="00CC0A25" w:rsidP="00CC0A25">
      <w:pPr>
        <w:widowControl w:val="0"/>
        <w:ind w:left="720" w:hanging="720"/>
        <w:rPr>
          <w:rFonts w:ascii="Times New Roman" w:hAnsi="Times New Roman" w:cs="Times New Roman"/>
        </w:rPr>
      </w:pPr>
      <w:r w:rsidRPr="00900086">
        <w:rPr>
          <w:rFonts w:ascii="Times New Roman" w:hAnsi="Times New Roman" w:cs="Times New Roman"/>
        </w:rPr>
        <w:t>Keita S. 2000. “Overview of the Privatization Process in Mali.” USAID/Mali Office. Economic Report Series. April.</w:t>
      </w:r>
    </w:p>
    <w:p w14:paraId="09D9A87A" w14:textId="77777777" w:rsidR="00CC0A25" w:rsidRPr="00900086" w:rsidRDefault="00CC0A25" w:rsidP="00CC0A25">
      <w:pPr>
        <w:ind w:left="720" w:hanging="720"/>
        <w:rPr>
          <w:rFonts w:ascii="Times New Roman" w:hAnsi="Times New Roman" w:cs="Times New Roman"/>
          <w:b/>
          <w:color w:val="000000"/>
        </w:rPr>
      </w:pPr>
    </w:p>
    <w:p w14:paraId="7E20FE3F"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Mauritius</w:t>
      </w:r>
    </w:p>
    <w:p w14:paraId="52C6C45A" w14:textId="583315B5"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Bundoo S. 2004. “Privatisation: The Case of Mauritius.” In Karl Wohlmuth, Achim Gutowski, Tobias Knedlik, Mareike Meyn, Samuel Ngogang, eds., </w:t>
      </w:r>
      <w:r w:rsidRPr="00900086">
        <w:rPr>
          <w:rFonts w:ascii="Times New Roman" w:hAnsi="Times New Roman" w:cs="Times New Roman"/>
          <w:i/>
          <w:color w:val="000000"/>
        </w:rPr>
        <w:t>Private and Public Sectors: Towards a Balance</w:t>
      </w:r>
      <w:r w:rsidRPr="00900086">
        <w:rPr>
          <w:rFonts w:ascii="Times New Roman" w:hAnsi="Times New Roman" w:cs="Times New Roman"/>
          <w:color w:val="000000"/>
        </w:rPr>
        <w:t>. African Development Perspectives Yearbook. Munster: LIT Verlag Munster, and Piscataway: Transaction Publishers, 2004.</w:t>
      </w:r>
    </w:p>
    <w:p w14:paraId="2E678823" w14:textId="77777777" w:rsidR="00CC0A25" w:rsidRPr="00900086" w:rsidRDefault="00CC0A25" w:rsidP="00CC0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54DE7F94"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Morocco</w:t>
      </w:r>
    </w:p>
    <w:p w14:paraId="76D13AF0" w14:textId="3AD49AD2"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 xml:space="preserve">Dinavo, J. 1995. </w:t>
      </w:r>
      <w:r w:rsidRPr="00900086">
        <w:rPr>
          <w:rFonts w:ascii="Times New Roman" w:hAnsi="Times New Roman" w:cs="Times New Roman"/>
          <w:i/>
        </w:rPr>
        <w:t>Privatization in Developing Countries: Its Impact on Economic Development and Democracy. Greenwood</w:t>
      </w:r>
      <w:r w:rsidRPr="00900086">
        <w:rPr>
          <w:rFonts w:ascii="Times New Roman" w:hAnsi="Times New Roman" w:cs="Times New Roman"/>
        </w:rPr>
        <w:t xml:space="preserve"> Publishing Group.</w:t>
      </w:r>
    </w:p>
    <w:p w14:paraId="53CEF1C9" w14:textId="77777777" w:rsidR="00CC0A25" w:rsidRPr="00900086" w:rsidRDefault="00CC0A25" w:rsidP="00CC0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451E9BBD"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Mozambique</w:t>
      </w:r>
    </w:p>
    <w:p w14:paraId="424974D5" w14:textId="77777777" w:rsidR="00CC0A25" w:rsidRPr="00900086" w:rsidRDefault="00CC0A25" w:rsidP="00CC0A25">
      <w:pPr>
        <w:tabs>
          <w:tab w:val="left" w:pos="-720"/>
        </w:tabs>
        <w:suppressAutoHyphens/>
        <w:ind w:left="720" w:hanging="720"/>
        <w:rPr>
          <w:rFonts w:ascii="Times New Roman" w:hAnsi="Times New Roman" w:cs="Times New Roman"/>
          <w:b/>
          <w:color w:val="000000"/>
        </w:rPr>
      </w:pPr>
      <w:r w:rsidRPr="00900086">
        <w:rPr>
          <w:rFonts w:ascii="Times New Roman" w:hAnsi="Times New Roman" w:cs="Times New Roman"/>
          <w:color w:val="000000"/>
        </w:rPr>
        <w:t xml:space="preserve">Mozambique. 1995-1998. </w:t>
      </w:r>
      <w:r w:rsidRPr="00900086">
        <w:rPr>
          <w:rFonts w:ascii="Times New Roman" w:hAnsi="Times New Roman" w:cs="Times New Roman"/>
        </w:rPr>
        <w:t xml:space="preserve">Ministry of Planning and Finance. Technical Unit for Enterprise Restructuring (UTRE). "Privatisation in Mozambique", nos. 1-5. March 1995-March 1998. </w:t>
      </w:r>
    </w:p>
    <w:p w14:paraId="1713DAAF" w14:textId="77777777" w:rsidR="00CC0A25" w:rsidRPr="00900086" w:rsidRDefault="00CC0A25" w:rsidP="00CC0A25">
      <w:pPr>
        <w:tabs>
          <w:tab w:val="left" w:pos="-720"/>
        </w:tabs>
        <w:suppressAutoHyphens/>
        <w:ind w:left="720" w:hanging="720"/>
        <w:rPr>
          <w:rFonts w:ascii="Times New Roman" w:hAnsi="Times New Roman" w:cs="Times New Roman"/>
        </w:rPr>
      </w:pPr>
    </w:p>
    <w:p w14:paraId="6FB9341A"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Namibia</w:t>
      </w:r>
      <w:bookmarkStart w:id="1" w:name="CBML_BIB_000_193"/>
    </w:p>
    <w:p w14:paraId="2F10C30E" w14:textId="43EE2EAD" w:rsidR="00CC0A25" w:rsidRPr="00900086" w:rsidRDefault="00CC0A25" w:rsidP="00CC0A25">
      <w:pPr>
        <w:tabs>
          <w:tab w:val="left" w:pos="-720"/>
        </w:tabs>
        <w:suppressAutoHyphens/>
        <w:ind w:left="720" w:hanging="720"/>
        <w:rPr>
          <w:rFonts w:ascii="Times New Roman" w:hAnsi="Times New Roman" w:cs="Times New Roman"/>
        </w:rPr>
      </w:pPr>
      <w:r w:rsidRPr="008768B3">
        <w:rPr>
          <w:rStyle w:val="authors"/>
          <w:rFonts w:ascii="Times New Roman" w:hAnsi="Times New Roman" w:cs="Times New Roman"/>
          <w:i w:val="0"/>
        </w:rPr>
        <w:t>Berthélemy, J</w:t>
      </w:r>
      <w:r w:rsidR="008768B3">
        <w:rPr>
          <w:rStyle w:val="authors"/>
          <w:rFonts w:ascii="Times New Roman" w:hAnsi="Times New Roman" w:cs="Times New Roman"/>
          <w:i w:val="0"/>
        </w:rPr>
        <w:t>.</w:t>
      </w:r>
      <w:r w:rsidRPr="008768B3">
        <w:rPr>
          <w:rStyle w:val="authors"/>
          <w:rFonts w:ascii="Times New Roman" w:hAnsi="Times New Roman" w:cs="Times New Roman"/>
          <w:i w:val="0"/>
        </w:rPr>
        <w:t>-C</w:t>
      </w:r>
      <w:r w:rsidR="008768B3">
        <w:rPr>
          <w:rStyle w:val="authors"/>
          <w:rFonts w:ascii="Times New Roman" w:hAnsi="Times New Roman" w:cs="Times New Roman"/>
          <w:i w:val="0"/>
        </w:rPr>
        <w:t>.</w:t>
      </w:r>
      <w:r w:rsidR="0004615C">
        <w:rPr>
          <w:rStyle w:val="authors"/>
          <w:rFonts w:ascii="Times New Roman" w:hAnsi="Times New Roman" w:cs="Times New Roman"/>
          <w:i w:val="0"/>
        </w:rPr>
        <w:t xml:space="preserve">, </w:t>
      </w:r>
      <w:r w:rsidRPr="008768B3">
        <w:rPr>
          <w:rStyle w:val="authors"/>
          <w:rFonts w:ascii="Times New Roman" w:hAnsi="Times New Roman" w:cs="Times New Roman"/>
          <w:i w:val="0"/>
        </w:rPr>
        <w:t>Céline Kauffmann</w:t>
      </w:r>
      <w:r w:rsidR="0004615C">
        <w:rPr>
          <w:rStyle w:val="authors"/>
          <w:rFonts w:ascii="Times New Roman" w:hAnsi="Times New Roman" w:cs="Times New Roman"/>
          <w:i w:val="0"/>
        </w:rPr>
        <w:t xml:space="preserve"> C.,</w:t>
      </w:r>
      <w:r w:rsidRPr="008768B3">
        <w:rPr>
          <w:rStyle w:val="authors"/>
          <w:rFonts w:ascii="Times New Roman" w:hAnsi="Times New Roman" w:cs="Times New Roman"/>
          <w:i w:val="0"/>
        </w:rPr>
        <w:t xml:space="preserve"> Valfort</w:t>
      </w:r>
      <w:r w:rsidR="0004615C">
        <w:rPr>
          <w:rStyle w:val="authors"/>
          <w:rFonts w:ascii="Times New Roman" w:hAnsi="Times New Roman" w:cs="Times New Roman"/>
          <w:i w:val="0"/>
        </w:rPr>
        <w:t xml:space="preserve"> M-A.</w:t>
      </w:r>
      <w:r w:rsidRPr="008768B3">
        <w:rPr>
          <w:rStyle w:val="authors"/>
          <w:rFonts w:ascii="Times New Roman" w:hAnsi="Times New Roman" w:cs="Times New Roman"/>
          <w:i w:val="0"/>
        </w:rPr>
        <w:t xml:space="preserve"> and Wegner</w:t>
      </w:r>
      <w:r w:rsidR="0004615C">
        <w:rPr>
          <w:rStyle w:val="authors"/>
          <w:rFonts w:ascii="Times New Roman" w:hAnsi="Times New Roman" w:cs="Times New Roman"/>
          <w:i w:val="0"/>
        </w:rPr>
        <w:t xml:space="preserve"> L</w:t>
      </w:r>
      <w:r w:rsidRPr="00900086">
        <w:rPr>
          <w:rFonts w:ascii="Times New Roman" w:hAnsi="Times New Roman" w:cs="Times New Roman"/>
        </w:rPr>
        <w:t xml:space="preserve">. 2003. </w:t>
      </w:r>
      <w:r w:rsidRPr="00900086">
        <w:rPr>
          <w:rFonts w:ascii="Times New Roman" w:hAnsi="Times New Roman" w:cs="Times New Roman"/>
          <w:i/>
        </w:rPr>
        <w:t>Privatisation in Sub-Saharan Africa: Where Do We Stand?</w:t>
      </w:r>
      <w:r w:rsidRPr="00900086">
        <w:rPr>
          <w:rFonts w:ascii="Times New Roman" w:hAnsi="Times New Roman" w:cs="Times New Roman"/>
        </w:rPr>
        <w:t xml:space="preserve"> Paris: OECD.</w:t>
      </w:r>
    </w:p>
    <w:bookmarkEnd w:id="1"/>
    <w:p w14:paraId="3117C26F" w14:textId="77777777" w:rsidR="00CC0A25" w:rsidRPr="00900086" w:rsidRDefault="00CC0A25" w:rsidP="00CC0A25">
      <w:pPr>
        <w:tabs>
          <w:tab w:val="left" w:pos="-720"/>
        </w:tabs>
        <w:suppressAutoHyphens/>
        <w:ind w:left="720" w:hanging="720"/>
        <w:rPr>
          <w:rFonts w:ascii="Times New Roman" w:hAnsi="Times New Roman" w:cs="Times New Roman"/>
        </w:rPr>
      </w:pPr>
    </w:p>
    <w:p w14:paraId="778AE7B3" w14:textId="77777777" w:rsidR="00CC0A25" w:rsidRPr="00900086" w:rsidRDefault="00CC0A25" w:rsidP="00CC0A25">
      <w:pPr>
        <w:pStyle w:val="EndnoteText"/>
        <w:keepNext/>
        <w:widowControl w:val="0"/>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Niger</w:t>
      </w:r>
    </w:p>
    <w:p w14:paraId="26E7B3E4" w14:textId="38518C5A"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21ED0108" w14:textId="77777777" w:rsidR="00CC0A25" w:rsidRPr="00900086" w:rsidRDefault="00CC0A25" w:rsidP="00CC0A25">
      <w:pPr>
        <w:pStyle w:val="EndnoteText"/>
        <w:ind w:left="720" w:hanging="720"/>
        <w:rPr>
          <w:rFonts w:ascii="Times New Roman" w:hAnsi="Times New Roman" w:cs="Times New Roman"/>
          <w:sz w:val="24"/>
          <w:szCs w:val="24"/>
        </w:rPr>
      </w:pPr>
    </w:p>
    <w:p w14:paraId="1C4D4329"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Nigeria</w:t>
      </w:r>
    </w:p>
    <w:p w14:paraId="5B1638A9" w14:textId="3E3273EC" w:rsidR="00CC0A25" w:rsidRPr="00900086" w:rsidRDefault="00CC0A25" w:rsidP="00CC0A25">
      <w:pPr>
        <w:widowControl w:val="0"/>
        <w:ind w:left="720" w:hanging="720"/>
        <w:rPr>
          <w:rFonts w:ascii="Times New Roman" w:hAnsi="Times New Roman" w:cs="Times New Roman"/>
        </w:rPr>
      </w:pPr>
      <w:r w:rsidRPr="00900086">
        <w:rPr>
          <w:rFonts w:ascii="Times New Roman" w:hAnsi="Times New Roman" w:cs="Times New Roman"/>
        </w:rPr>
        <w:t>Jerome A. 2008. “Privatization and Enterprise Performance in Nigeria: Case Study of Some Privatized Enterprises.” AERC Research Paper 175. African Economic Research Consortium. Nairobi, Kenya.</w:t>
      </w:r>
    </w:p>
    <w:p w14:paraId="7E889125" w14:textId="77777777" w:rsidR="00CC0A25" w:rsidRPr="00900086" w:rsidRDefault="00CC0A25" w:rsidP="00CC0A25">
      <w:pPr>
        <w:widowControl w:val="0"/>
        <w:ind w:left="720" w:hanging="720"/>
        <w:rPr>
          <w:rFonts w:ascii="Times New Roman" w:hAnsi="Times New Roman" w:cs="Times New Roman"/>
        </w:rPr>
      </w:pPr>
    </w:p>
    <w:p w14:paraId="58352BE8"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Rwanda</w:t>
      </w:r>
    </w:p>
    <w:p w14:paraId="0AE239AD" w14:textId="05E3D89D" w:rsidR="00CC0A25" w:rsidRPr="00900086" w:rsidRDefault="00CC0A25" w:rsidP="00CC0A25">
      <w:pPr>
        <w:spacing w:after="120"/>
        <w:ind w:left="720" w:hanging="720"/>
        <w:rPr>
          <w:rFonts w:ascii="Times New Roman" w:hAnsi="Times New Roman" w:cs="Times New Roman"/>
        </w:rPr>
      </w:pPr>
      <w:r w:rsidRPr="00900086">
        <w:rPr>
          <w:rFonts w:ascii="Times New Roman" w:hAnsi="Times New Roman" w:cs="Times New Roman"/>
        </w:rPr>
        <w:t xml:space="preserve">Bayigamba R. Nd. Executive Secretary, Privatization Secretariat, Ministry of Finance and Economic Planning, Rwanda, Interview, </w:t>
      </w:r>
      <w:r w:rsidRPr="00900086">
        <w:rPr>
          <w:rFonts w:ascii="Times New Roman" w:hAnsi="Times New Roman" w:cs="Times New Roman"/>
          <w:i/>
        </w:rPr>
        <w:t>World Investment News</w:t>
      </w:r>
      <w:r w:rsidRPr="00900086">
        <w:rPr>
          <w:rFonts w:ascii="Times New Roman" w:hAnsi="Times New Roman" w:cs="Times New Roman"/>
        </w:rPr>
        <w:t xml:space="preserve"> online, </w:t>
      </w:r>
      <w:hyperlink r:id="rId11" w:history="1">
        <w:r w:rsidRPr="00900086">
          <w:rPr>
            <w:rStyle w:val="Hyperlink"/>
            <w:rFonts w:ascii="Times New Roman" w:hAnsi="Times New Roman" w:cs="Times New Roman"/>
          </w:rPr>
          <w:t>http://www.winne.com/rwanda/images/brd-old/to20.html</w:t>
        </w:r>
      </w:hyperlink>
      <w:r w:rsidRPr="00900086">
        <w:rPr>
          <w:rFonts w:ascii="Times New Roman" w:hAnsi="Times New Roman" w:cs="Times New Roman"/>
        </w:rPr>
        <w:t>, accessed 16 June 2014.</w:t>
      </w:r>
    </w:p>
    <w:p w14:paraId="23CB65E2" w14:textId="540EB69C"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4D10663E" w14:textId="77777777" w:rsidR="00CC0A25" w:rsidRPr="00900086" w:rsidRDefault="00CC0A25" w:rsidP="00CC0A25">
      <w:pPr>
        <w:rPr>
          <w:rFonts w:ascii="Times New Roman" w:hAnsi="Times New Roman" w:cs="Times New Roman"/>
          <w:b/>
          <w:color w:val="000000"/>
        </w:rPr>
      </w:pPr>
    </w:p>
    <w:p w14:paraId="092F3BE2"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Senegal</w:t>
      </w:r>
    </w:p>
    <w:p w14:paraId="7418FB08"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rPr>
        <w:t>World Bank. 1994. “Senegal: Private Sector Assessment.” Report no. 11317-SE. Industry and Energy Division. Sahelian Department. Africa Region. June 22.</w:t>
      </w:r>
    </w:p>
    <w:p w14:paraId="7D634901"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p>
    <w:p w14:paraId="64F4A92A"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Sierra Leone.</w:t>
      </w:r>
    </w:p>
    <w:p w14:paraId="190AAF90" w14:textId="7E0FA86A"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Nellis J. 1986. “Public Enterprises in Sub-Saharan Africa.” World Bank Discussion Papers, no. 1. Washington, DC: World Bank.</w:t>
      </w:r>
    </w:p>
    <w:p w14:paraId="49FDF217" w14:textId="77777777" w:rsidR="00CC0A25" w:rsidRPr="00900086" w:rsidRDefault="00CC0A25" w:rsidP="00CC0A25">
      <w:pPr>
        <w:ind w:left="720" w:hanging="720"/>
        <w:rPr>
          <w:rFonts w:ascii="Times New Roman" w:hAnsi="Times New Roman" w:cs="Times New Roman"/>
          <w:b/>
          <w:color w:val="000000"/>
        </w:rPr>
      </w:pPr>
    </w:p>
    <w:p w14:paraId="2E3D40D6"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South Africa</w:t>
      </w:r>
    </w:p>
    <w:p w14:paraId="7EED1B78" w14:textId="39BCDC53" w:rsidR="00CC0A25" w:rsidRPr="00900086" w:rsidRDefault="00CC0A25" w:rsidP="00CC0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sidRPr="00900086">
        <w:rPr>
          <w:rFonts w:ascii="Times New Roman" w:hAnsi="Times New Roman" w:cs="Times New Roman"/>
        </w:rPr>
        <w:t>Jerome, A. 2004. “Privatisation and Regulation in South Africa. An Evaluation.” Prepared for 3</w:t>
      </w:r>
      <w:r w:rsidRPr="00900086">
        <w:rPr>
          <w:rFonts w:ascii="Times New Roman" w:hAnsi="Times New Roman" w:cs="Times New Roman"/>
          <w:vertAlign w:val="superscript"/>
        </w:rPr>
        <w:t>rd</w:t>
      </w:r>
      <w:r w:rsidRPr="00900086">
        <w:rPr>
          <w:rFonts w:ascii="Times New Roman" w:hAnsi="Times New Roman" w:cs="Times New Roman"/>
        </w:rPr>
        <w:t xml:space="preserve"> International Conference on Pro-Poor Regulation and Competition: Issues, Policies, and Practices. Cape Town, South Africa. 7-9 September.</w:t>
      </w:r>
    </w:p>
    <w:p w14:paraId="6943C09B" w14:textId="77777777" w:rsidR="00CC0A25" w:rsidRPr="00900086" w:rsidRDefault="00CC0A25" w:rsidP="00CC0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6740D771"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Tanzania</w:t>
      </w:r>
    </w:p>
    <w:p w14:paraId="3D9601C9" w14:textId="11535CC9" w:rsidR="00CC0A25" w:rsidRPr="00900086" w:rsidRDefault="00CC0A25" w:rsidP="00CC0A25">
      <w:pPr>
        <w:pStyle w:val="EndnoteText"/>
        <w:ind w:left="720" w:hanging="720"/>
        <w:rPr>
          <w:rFonts w:ascii="Times New Roman" w:hAnsi="Times New Roman" w:cs="Times New Roman"/>
          <w:sz w:val="24"/>
          <w:szCs w:val="24"/>
        </w:rPr>
      </w:pPr>
      <w:r w:rsidRPr="00900086">
        <w:rPr>
          <w:rFonts w:ascii="Times New Roman" w:hAnsi="Times New Roman" w:cs="Times New Roman"/>
          <w:sz w:val="24"/>
          <w:szCs w:val="24"/>
        </w:rPr>
        <w:t>Amani, H.K.R., Wangwe</w:t>
      </w:r>
      <w:r w:rsidR="0004615C">
        <w:rPr>
          <w:rFonts w:ascii="Times New Roman" w:hAnsi="Times New Roman" w:cs="Times New Roman"/>
          <w:sz w:val="24"/>
          <w:szCs w:val="24"/>
        </w:rPr>
        <w:t xml:space="preserve"> S.M., </w:t>
      </w:r>
      <w:r w:rsidRPr="00900086">
        <w:rPr>
          <w:rFonts w:ascii="Times New Roman" w:hAnsi="Times New Roman" w:cs="Times New Roman"/>
          <w:sz w:val="24"/>
          <w:szCs w:val="24"/>
        </w:rPr>
        <w:t>Rweyemamu</w:t>
      </w:r>
      <w:r w:rsidR="0004615C">
        <w:rPr>
          <w:rFonts w:ascii="Times New Roman" w:hAnsi="Times New Roman" w:cs="Times New Roman"/>
          <w:sz w:val="24"/>
          <w:szCs w:val="24"/>
        </w:rPr>
        <w:t xml:space="preserve"> D., </w:t>
      </w:r>
      <w:r w:rsidRPr="00900086">
        <w:rPr>
          <w:rFonts w:ascii="Times New Roman" w:hAnsi="Times New Roman" w:cs="Times New Roman"/>
          <w:sz w:val="24"/>
          <w:szCs w:val="24"/>
        </w:rPr>
        <w:t>Aiko</w:t>
      </w:r>
      <w:r w:rsidR="0004615C">
        <w:rPr>
          <w:rFonts w:ascii="Times New Roman" w:hAnsi="Times New Roman" w:cs="Times New Roman"/>
          <w:sz w:val="24"/>
          <w:szCs w:val="24"/>
        </w:rPr>
        <w:t xml:space="preserve"> R.</w:t>
      </w:r>
      <w:r w:rsidRPr="00900086">
        <w:rPr>
          <w:rFonts w:ascii="Times New Roman" w:hAnsi="Times New Roman" w:cs="Times New Roman"/>
          <w:sz w:val="24"/>
          <w:szCs w:val="24"/>
        </w:rPr>
        <w:t xml:space="preserve"> and Wanga</w:t>
      </w:r>
      <w:r w:rsidR="0004615C">
        <w:rPr>
          <w:rFonts w:ascii="Times New Roman" w:hAnsi="Times New Roman" w:cs="Times New Roman"/>
          <w:sz w:val="24"/>
          <w:szCs w:val="24"/>
        </w:rPr>
        <w:t xml:space="preserve"> G.G.</w:t>
      </w:r>
      <w:r w:rsidRPr="00900086">
        <w:rPr>
          <w:rFonts w:ascii="Times New Roman" w:hAnsi="Times New Roman" w:cs="Times New Roman"/>
          <w:sz w:val="24"/>
          <w:szCs w:val="24"/>
        </w:rPr>
        <w:t xml:space="preserve"> “Understanding Economic and Political Reforms in Tanzania.” In J</w:t>
      </w:r>
      <w:r w:rsidR="002C17C0">
        <w:rPr>
          <w:rFonts w:ascii="Times New Roman" w:hAnsi="Times New Roman" w:cs="Times New Roman"/>
          <w:sz w:val="24"/>
          <w:szCs w:val="24"/>
        </w:rPr>
        <w:t>.</w:t>
      </w:r>
      <w:r w:rsidRPr="00900086">
        <w:rPr>
          <w:rFonts w:ascii="Times New Roman" w:hAnsi="Times New Roman" w:cs="Times New Roman"/>
          <w:sz w:val="24"/>
          <w:szCs w:val="24"/>
        </w:rPr>
        <w:t xml:space="preserve"> Mensa, </w:t>
      </w:r>
      <w:r w:rsidR="002C17C0">
        <w:rPr>
          <w:rFonts w:ascii="Times New Roman" w:hAnsi="Times New Roman" w:cs="Times New Roman"/>
          <w:sz w:val="24"/>
          <w:szCs w:val="24"/>
        </w:rPr>
        <w:t>(</w:t>
      </w:r>
      <w:r w:rsidRPr="00900086">
        <w:rPr>
          <w:rFonts w:ascii="Times New Roman" w:hAnsi="Times New Roman" w:cs="Times New Roman"/>
          <w:sz w:val="24"/>
          <w:szCs w:val="24"/>
        </w:rPr>
        <w:t>ed.</w:t>
      </w:r>
      <w:r w:rsidR="002C17C0">
        <w:rPr>
          <w:rFonts w:ascii="Times New Roman" w:hAnsi="Times New Roman" w:cs="Times New Roman"/>
          <w:sz w:val="24"/>
          <w:szCs w:val="24"/>
        </w:rPr>
        <w:t>)</w:t>
      </w:r>
      <w:r w:rsidRPr="00900086">
        <w:rPr>
          <w:rFonts w:ascii="Times New Roman" w:hAnsi="Times New Roman" w:cs="Times New Roman"/>
          <w:sz w:val="24"/>
          <w:szCs w:val="24"/>
        </w:rPr>
        <w:t xml:space="preserve"> </w:t>
      </w:r>
      <w:r w:rsidRPr="00900086">
        <w:rPr>
          <w:rFonts w:ascii="Times New Roman" w:hAnsi="Times New Roman" w:cs="Times New Roman"/>
          <w:i/>
          <w:sz w:val="24"/>
          <w:szCs w:val="24"/>
        </w:rPr>
        <w:t>Understanding Economic Reform in Africa: A Tale of Seven Nations</w:t>
      </w:r>
      <w:r w:rsidRPr="00900086">
        <w:rPr>
          <w:rFonts w:ascii="Times New Roman" w:hAnsi="Times New Roman" w:cs="Times New Roman"/>
          <w:sz w:val="24"/>
          <w:szCs w:val="24"/>
        </w:rPr>
        <w:t>. NY: Palgrave Macmillan, 2007.</w:t>
      </w:r>
    </w:p>
    <w:p w14:paraId="3ECF5FE6" w14:textId="77777777" w:rsidR="00CC0A25" w:rsidRPr="00900086" w:rsidRDefault="00CC0A25" w:rsidP="00CC0A25">
      <w:pPr>
        <w:pStyle w:val="EndnoteText"/>
        <w:ind w:left="720" w:hanging="720"/>
        <w:rPr>
          <w:rFonts w:ascii="Times New Roman" w:hAnsi="Times New Roman" w:cs="Times New Roman"/>
          <w:sz w:val="24"/>
          <w:szCs w:val="24"/>
        </w:rPr>
      </w:pPr>
    </w:p>
    <w:p w14:paraId="349ED944"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Togo</w:t>
      </w:r>
    </w:p>
    <w:p w14:paraId="4D01CFF5" w14:textId="77777777"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World Bank. 2001.</w:t>
      </w:r>
      <w:r w:rsidRPr="00900086">
        <w:rPr>
          <w:rFonts w:ascii="Times New Roman" w:hAnsi="Times New Roman" w:cs="Times New Roman"/>
          <w:b/>
        </w:rPr>
        <w:t xml:space="preserve"> </w:t>
      </w:r>
      <w:r w:rsidRPr="00900086">
        <w:rPr>
          <w:rFonts w:ascii="Times New Roman" w:hAnsi="Times New Roman" w:cs="Times New Roman"/>
        </w:rPr>
        <w:t>“Privatization in Togo: Country Fact Sheet.” MIGA and the Africa Region. June.</w:t>
      </w:r>
    </w:p>
    <w:p w14:paraId="5993C411" w14:textId="77777777" w:rsidR="00CC0A25" w:rsidRPr="00900086" w:rsidRDefault="00CC0A25" w:rsidP="00CC0A25">
      <w:pPr>
        <w:ind w:left="720" w:hanging="720"/>
        <w:rPr>
          <w:rFonts w:ascii="Times New Roman" w:hAnsi="Times New Roman" w:cs="Times New Roman"/>
        </w:rPr>
      </w:pPr>
    </w:p>
    <w:p w14:paraId="14D5A6C1" w14:textId="77777777" w:rsidR="00CC0A25" w:rsidRPr="00900086" w:rsidRDefault="00CC0A25" w:rsidP="00CC0A25">
      <w:pPr>
        <w:pStyle w:val="EndnoteText"/>
        <w:keepNext/>
        <w:widowControl w:val="0"/>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Tunisia</w:t>
      </w:r>
    </w:p>
    <w:p w14:paraId="636B0723" w14:textId="1E1CA11B"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 xml:space="preserve">Dinavo J. 1995. </w:t>
      </w:r>
      <w:r w:rsidRPr="00900086">
        <w:rPr>
          <w:rFonts w:ascii="Times New Roman" w:hAnsi="Times New Roman" w:cs="Times New Roman"/>
          <w:i/>
        </w:rPr>
        <w:t>Privatization in Developing Countries: Its Impact on Economic Development and Democracy. Greenwood</w:t>
      </w:r>
      <w:r w:rsidRPr="00900086">
        <w:rPr>
          <w:rFonts w:ascii="Times New Roman" w:hAnsi="Times New Roman" w:cs="Times New Roman"/>
        </w:rPr>
        <w:t xml:space="preserve"> Publishing Group.</w:t>
      </w:r>
    </w:p>
    <w:p w14:paraId="1BFDBF6E" w14:textId="77777777" w:rsidR="00CC0A25" w:rsidRPr="00900086" w:rsidRDefault="00CC0A25" w:rsidP="00CC0A25">
      <w:pPr>
        <w:widowControl w:val="0"/>
        <w:ind w:left="720" w:hanging="720"/>
        <w:rPr>
          <w:rFonts w:ascii="Times New Roman" w:hAnsi="Times New Roman" w:cs="Times New Roman"/>
        </w:rPr>
      </w:pPr>
    </w:p>
    <w:p w14:paraId="70A5A025" w14:textId="77777777" w:rsidR="00CC0A25" w:rsidRPr="00900086" w:rsidRDefault="00CC0A25" w:rsidP="00CC0A25">
      <w:pPr>
        <w:pStyle w:val="EndnoteText"/>
        <w:keepN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Uganda</w:t>
      </w:r>
    </w:p>
    <w:p w14:paraId="1CFDACB2" w14:textId="77777777" w:rsidR="00CC0A25" w:rsidRPr="00900086" w:rsidRDefault="00CC0A25" w:rsidP="00CC0A25">
      <w:pPr>
        <w:widowControl w:val="0"/>
        <w:ind w:left="720" w:hanging="720"/>
        <w:rPr>
          <w:rFonts w:ascii="Times New Roman" w:hAnsi="Times New Roman" w:cs="Times New Roman"/>
          <w:color w:val="000000"/>
        </w:rPr>
      </w:pPr>
      <w:r w:rsidRPr="00900086">
        <w:rPr>
          <w:rFonts w:ascii="Times New Roman" w:hAnsi="Times New Roman" w:cs="Times New Roman"/>
          <w:color w:val="000000"/>
        </w:rPr>
        <w:t>Uganda. 2000. The Public Enterprise Reform and Divestiture (Amendment) Act 2000.</w:t>
      </w:r>
    </w:p>
    <w:p w14:paraId="4AD6E8E1" w14:textId="77777777" w:rsidR="00CC0A25" w:rsidRPr="00900086" w:rsidRDefault="00CC0A25" w:rsidP="00CC0A25">
      <w:pPr>
        <w:tabs>
          <w:tab w:val="left" w:pos="-720"/>
        </w:tabs>
        <w:suppressAutoHyphens/>
        <w:ind w:left="720" w:hanging="720"/>
        <w:rPr>
          <w:rFonts w:ascii="Times New Roman" w:hAnsi="Times New Roman" w:cs="Times New Roman"/>
        </w:rPr>
      </w:pPr>
    </w:p>
    <w:p w14:paraId="31B0CCC4"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t>Zambia</w:t>
      </w:r>
    </w:p>
    <w:p w14:paraId="66AC4A8D" w14:textId="77777777" w:rsidR="00CC0A25" w:rsidRPr="00900086" w:rsidRDefault="00CC0A25" w:rsidP="00CC0A25">
      <w:pPr>
        <w:widowControl w:val="0"/>
        <w:ind w:left="720" w:hanging="720"/>
        <w:rPr>
          <w:rFonts w:ascii="Times New Roman" w:hAnsi="Times New Roman" w:cs="Times New Roman"/>
        </w:rPr>
      </w:pPr>
      <w:r w:rsidRPr="00900086">
        <w:rPr>
          <w:rFonts w:ascii="Times New Roman" w:hAnsi="Times New Roman" w:cs="Times New Roman"/>
        </w:rPr>
        <w:t>Zambia. 2005. “Status Report as at 30</w:t>
      </w:r>
      <w:r w:rsidRPr="00900086">
        <w:rPr>
          <w:rFonts w:ascii="Times New Roman" w:hAnsi="Times New Roman" w:cs="Times New Roman"/>
          <w:vertAlign w:val="superscript"/>
        </w:rPr>
        <w:t>th</w:t>
      </w:r>
      <w:r w:rsidRPr="00900086">
        <w:rPr>
          <w:rFonts w:ascii="Times New Roman" w:hAnsi="Times New Roman" w:cs="Times New Roman"/>
        </w:rPr>
        <w:t xml:space="preserve"> April, 2005.” Zambia Privatisation Agency (ZPA). Mimeo.</w:t>
      </w:r>
    </w:p>
    <w:p w14:paraId="7AB4EAC5" w14:textId="77777777" w:rsidR="00CC0A25" w:rsidRPr="00900086" w:rsidRDefault="00CC0A25" w:rsidP="00CC0A25">
      <w:pPr>
        <w:widowControl w:val="0"/>
        <w:ind w:left="720" w:hanging="720"/>
        <w:rPr>
          <w:rFonts w:ascii="Times New Roman" w:hAnsi="Times New Roman" w:cs="Times New Roman"/>
        </w:rPr>
      </w:pPr>
    </w:p>
    <w:p w14:paraId="099F88D2" w14:textId="77777777" w:rsidR="00CC0A25" w:rsidRPr="00900086" w:rsidRDefault="00CC0A25" w:rsidP="00CC0A25">
      <w:pPr>
        <w:pStyle w:val="EndnoteText"/>
        <w:ind w:left="720" w:hanging="720"/>
        <w:rPr>
          <w:rFonts w:ascii="Times New Roman" w:hAnsi="Times New Roman" w:cs="Times New Roman"/>
          <w:sz w:val="24"/>
          <w:szCs w:val="24"/>
          <w:u w:val="single"/>
        </w:rPr>
      </w:pPr>
      <w:r w:rsidRPr="00900086">
        <w:rPr>
          <w:rFonts w:ascii="Times New Roman" w:hAnsi="Times New Roman" w:cs="Times New Roman"/>
          <w:sz w:val="24"/>
          <w:szCs w:val="24"/>
          <w:u w:val="single"/>
        </w:rPr>
        <w:lastRenderedPageBreak/>
        <w:t>Zimbabwe</w:t>
      </w:r>
    </w:p>
    <w:p w14:paraId="4850A081" w14:textId="07CF03B2"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Godana T</w:t>
      </w:r>
      <w:r w:rsidR="002C17C0">
        <w:rPr>
          <w:rFonts w:ascii="Times New Roman" w:hAnsi="Times New Roman" w:cs="Times New Roman"/>
        </w:rPr>
        <w:t>.</w:t>
      </w:r>
      <w:r w:rsidRPr="00900086">
        <w:rPr>
          <w:rFonts w:ascii="Times New Roman" w:hAnsi="Times New Roman" w:cs="Times New Roman"/>
        </w:rPr>
        <w:t xml:space="preserve"> and Hlatshwayo</w:t>
      </w:r>
      <w:r w:rsidR="002C17C0">
        <w:rPr>
          <w:rFonts w:ascii="Times New Roman" w:hAnsi="Times New Roman" w:cs="Times New Roman"/>
        </w:rPr>
        <w:t xml:space="preserve"> B</w:t>
      </w:r>
      <w:r w:rsidRPr="00900086">
        <w:rPr>
          <w:rFonts w:ascii="Times New Roman" w:hAnsi="Times New Roman" w:cs="Times New Roman"/>
        </w:rPr>
        <w:t xml:space="preserve">. 1998. “Public Enterprise Reform and Privatisation in Zimbabwe: Economic, Legal, and Institutional Aspects.” </w:t>
      </w:r>
      <w:r w:rsidRPr="00900086">
        <w:rPr>
          <w:rFonts w:ascii="Times New Roman" w:hAnsi="Times New Roman" w:cs="Times New Roman"/>
          <w:i/>
        </w:rPr>
        <w:t>Zambezia</w:t>
      </w:r>
      <w:r w:rsidRPr="00900086">
        <w:rPr>
          <w:rFonts w:ascii="Times New Roman" w:hAnsi="Times New Roman" w:cs="Times New Roman"/>
        </w:rPr>
        <w:t xml:space="preserve">. XXV. 1: 1-27. </w:t>
      </w:r>
    </w:p>
    <w:p w14:paraId="582A41E3" w14:textId="77777777" w:rsidR="00CC0A25" w:rsidRPr="00900086" w:rsidRDefault="00CC0A25" w:rsidP="00CC0A25">
      <w:pPr>
        <w:ind w:left="360" w:hanging="360"/>
        <w:rPr>
          <w:rFonts w:ascii="Times New Roman" w:hAnsi="Times New Roman" w:cs="Times New Roman"/>
          <w:color w:val="000000"/>
        </w:rPr>
      </w:pPr>
    </w:p>
    <w:p w14:paraId="682E972D" w14:textId="77777777" w:rsidR="00CC0A25" w:rsidRPr="00900086" w:rsidRDefault="00CC0A25" w:rsidP="00CC0A25">
      <w:pPr>
        <w:rPr>
          <w:rFonts w:ascii="Times New Roman" w:hAnsi="Times New Roman" w:cs="Times New Roman"/>
          <w:color w:val="000000"/>
        </w:rPr>
      </w:pPr>
    </w:p>
    <w:p w14:paraId="5E6A80E6" w14:textId="77777777" w:rsidR="00CC0A25" w:rsidRPr="00900086" w:rsidRDefault="00CC0A25" w:rsidP="00CC0A25">
      <w:pPr>
        <w:rPr>
          <w:rFonts w:ascii="Times New Roman" w:hAnsi="Times New Roman" w:cs="Times New Roman"/>
        </w:rPr>
      </w:pPr>
    </w:p>
    <w:p w14:paraId="36DFD272" w14:textId="77777777" w:rsidR="00CC0A25" w:rsidRPr="00900086" w:rsidRDefault="00CC0A25" w:rsidP="00CC0A25">
      <w:pPr>
        <w:rPr>
          <w:rFonts w:ascii="Times New Roman" w:hAnsi="Times New Roman" w:cs="Times New Roman"/>
        </w:rPr>
      </w:pPr>
      <w:r w:rsidRPr="00900086">
        <w:rPr>
          <w:rFonts w:ascii="Times New Roman" w:hAnsi="Times New Roman" w:cs="Times New Roman"/>
        </w:rPr>
        <w:br w:type="page"/>
      </w:r>
    </w:p>
    <w:p w14:paraId="43991F8E" w14:textId="77777777" w:rsidR="00CC0A25" w:rsidRPr="00314AE5" w:rsidRDefault="00CC0A25" w:rsidP="00CC0A25">
      <w:pPr>
        <w:rPr>
          <w:rFonts w:ascii="Times New Roman" w:hAnsi="Times New Roman" w:cs="Times New Roman"/>
          <w:b/>
        </w:rPr>
      </w:pPr>
      <w:r w:rsidRPr="00314AE5">
        <w:rPr>
          <w:rFonts w:ascii="Times New Roman" w:hAnsi="Times New Roman" w:cs="Times New Roman"/>
          <w:b/>
        </w:rPr>
        <w:lastRenderedPageBreak/>
        <w:t xml:space="preserve">Appendix B: Sources and methods for legislative </w:t>
      </w:r>
      <w:r w:rsidRPr="00314AE5">
        <w:rPr>
          <w:rFonts w:ascii="Times New Roman" w:hAnsi="Times New Roman" w:cs="Times New Roman"/>
          <w:b/>
          <w:iCs/>
        </w:rPr>
        <w:t>coding of agency independence</w:t>
      </w:r>
    </w:p>
    <w:p w14:paraId="645C50A4" w14:textId="77777777" w:rsidR="00CC0A25" w:rsidRPr="00314AE5" w:rsidRDefault="00CC0A25" w:rsidP="00CC0A25">
      <w:pPr>
        <w:rPr>
          <w:rFonts w:ascii="Times New Roman" w:hAnsi="Times New Roman" w:cs="Times New Roman"/>
          <w:b/>
          <w:highlight w:val="yellow"/>
        </w:rPr>
      </w:pPr>
    </w:p>
    <w:p w14:paraId="448E9D69" w14:textId="77777777" w:rsidR="00CC0A25" w:rsidRPr="00900086" w:rsidRDefault="00CC0A25" w:rsidP="00CC0A25">
      <w:pPr>
        <w:rPr>
          <w:rFonts w:ascii="Times New Roman" w:hAnsi="Times New Roman" w:cs="Times New Roman"/>
          <w:highlight w:val="yellow"/>
        </w:rPr>
      </w:pPr>
      <w:r w:rsidRPr="00900086">
        <w:rPr>
          <w:rFonts w:ascii="Times New Roman" w:hAnsi="Times New Roman" w:cs="Times New Roman"/>
        </w:rPr>
        <w:t xml:space="preserve">For each of the countries in our sample, we determined whether there was a government agency with a legislative mandate to manage the privatization of SOEs. We recorded the year in which each country created its privatization agency (if any). After reviewing the legislation that created the privatization agency, we coded the agency for each country with respect to four dimensions of formal agency independence: </w:t>
      </w:r>
    </w:p>
    <w:p w14:paraId="2E39AC52" w14:textId="77777777" w:rsidR="00CC0A25" w:rsidRPr="00900086" w:rsidRDefault="00CC0A25" w:rsidP="00CC0A25">
      <w:pPr>
        <w:rPr>
          <w:rFonts w:ascii="Times New Roman" w:hAnsi="Times New Roman" w:cs="Times New Roman"/>
          <w:highlight w:val="yellow"/>
        </w:rPr>
      </w:pPr>
    </w:p>
    <w:p w14:paraId="7594A432" w14:textId="77777777" w:rsidR="00CC0A25" w:rsidRPr="00900086" w:rsidRDefault="00CC0A25" w:rsidP="00CC0A25">
      <w:pPr>
        <w:pStyle w:val="ListParagraph"/>
        <w:numPr>
          <w:ilvl w:val="0"/>
          <w:numId w:val="5"/>
        </w:numPr>
        <w:rPr>
          <w:rFonts w:ascii="Times New Roman" w:hAnsi="Times New Roman" w:cs="Times New Roman"/>
          <w:sz w:val="24"/>
          <w:szCs w:val="24"/>
        </w:rPr>
      </w:pPr>
      <w:r w:rsidRPr="00900086">
        <w:rPr>
          <w:rFonts w:ascii="Times New Roman" w:hAnsi="Times New Roman" w:cs="Times New Roman"/>
          <w:sz w:val="24"/>
          <w:szCs w:val="24"/>
        </w:rPr>
        <w:t>Legal Status</w:t>
      </w:r>
    </w:p>
    <w:p w14:paraId="626C0D45" w14:textId="77777777" w:rsidR="00CC0A25" w:rsidRPr="00900086" w:rsidRDefault="00CC0A25" w:rsidP="00CC0A25">
      <w:pPr>
        <w:pStyle w:val="ListParagraph"/>
        <w:numPr>
          <w:ilvl w:val="0"/>
          <w:numId w:val="5"/>
        </w:numPr>
        <w:rPr>
          <w:rFonts w:ascii="Times New Roman" w:hAnsi="Times New Roman" w:cs="Times New Roman"/>
          <w:sz w:val="24"/>
          <w:szCs w:val="24"/>
        </w:rPr>
      </w:pPr>
      <w:r w:rsidRPr="00900086">
        <w:rPr>
          <w:rFonts w:ascii="Times New Roman" w:hAnsi="Times New Roman" w:cs="Times New Roman"/>
          <w:sz w:val="24"/>
          <w:szCs w:val="24"/>
        </w:rPr>
        <w:t>Oversight</w:t>
      </w:r>
    </w:p>
    <w:p w14:paraId="6645FAB0" w14:textId="77777777" w:rsidR="00CC0A25" w:rsidRPr="00900086" w:rsidRDefault="00CC0A25" w:rsidP="00CC0A25">
      <w:pPr>
        <w:pStyle w:val="ListParagraph"/>
        <w:numPr>
          <w:ilvl w:val="0"/>
          <w:numId w:val="5"/>
        </w:numPr>
        <w:rPr>
          <w:rFonts w:ascii="Times New Roman" w:hAnsi="Times New Roman" w:cs="Times New Roman"/>
          <w:sz w:val="24"/>
          <w:szCs w:val="24"/>
        </w:rPr>
      </w:pPr>
      <w:r w:rsidRPr="00900086">
        <w:rPr>
          <w:rFonts w:ascii="Times New Roman" w:hAnsi="Times New Roman" w:cs="Times New Roman"/>
          <w:sz w:val="24"/>
          <w:szCs w:val="24"/>
        </w:rPr>
        <w:t>Personnel</w:t>
      </w:r>
    </w:p>
    <w:p w14:paraId="25AF1DFC" w14:textId="77777777" w:rsidR="00CC0A25" w:rsidRPr="00900086" w:rsidRDefault="00CC0A25" w:rsidP="00CC0A25">
      <w:pPr>
        <w:pStyle w:val="ListParagraph"/>
        <w:numPr>
          <w:ilvl w:val="0"/>
          <w:numId w:val="5"/>
        </w:numPr>
        <w:rPr>
          <w:rFonts w:ascii="Times New Roman" w:hAnsi="Times New Roman" w:cs="Times New Roman"/>
          <w:sz w:val="24"/>
          <w:szCs w:val="24"/>
        </w:rPr>
      </w:pPr>
      <w:r w:rsidRPr="00900086">
        <w:rPr>
          <w:rFonts w:ascii="Times New Roman" w:hAnsi="Times New Roman" w:cs="Times New Roman"/>
          <w:sz w:val="24"/>
          <w:szCs w:val="24"/>
        </w:rPr>
        <w:t>Operations</w:t>
      </w:r>
    </w:p>
    <w:p w14:paraId="4A1E238A" w14:textId="77777777" w:rsidR="00CC0A25" w:rsidRPr="00900086" w:rsidRDefault="00CC0A25" w:rsidP="00CC0A25">
      <w:pPr>
        <w:rPr>
          <w:rFonts w:ascii="Times New Roman" w:hAnsi="Times New Roman" w:cs="Times New Roman"/>
        </w:rPr>
      </w:pPr>
    </w:p>
    <w:p w14:paraId="01463A8E" w14:textId="1D7D8257" w:rsidR="00CC0A25" w:rsidRPr="00900086" w:rsidRDefault="00CC0A25" w:rsidP="00CC0A25">
      <w:pPr>
        <w:rPr>
          <w:rFonts w:ascii="Times New Roman" w:hAnsi="Times New Roman" w:cs="Times New Roman"/>
          <w:highlight w:val="yellow"/>
        </w:rPr>
      </w:pPr>
      <w:r w:rsidRPr="00900086">
        <w:rPr>
          <w:rFonts w:ascii="Times New Roman" w:hAnsi="Times New Roman" w:cs="Times New Roman"/>
        </w:rPr>
        <w:t>Each of these dimensions were captured with the legislative indicators listed in Table 2, following the procedure described in the main text. The legislative sources that were consulted to code agency independence are listed below.</w:t>
      </w:r>
      <w:r w:rsidR="00C10B88">
        <w:rPr>
          <w:rFonts w:ascii="Times New Roman" w:hAnsi="Times New Roman" w:cs="Times New Roman"/>
        </w:rPr>
        <w:t xml:space="preserve"> Where official sources could not be found, we consulted secondary sources.</w:t>
      </w:r>
    </w:p>
    <w:p w14:paraId="7E410FC1" w14:textId="77777777" w:rsidR="00CC0A25" w:rsidRPr="00900086" w:rsidRDefault="00CC0A25" w:rsidP="00CC0A25">
      <w:pPr>
        <w:rPr>
          <w:rFonts w:ascii="Times New Roman" w:hAnsi="Times New Roman" w:cs="Times New Roman"/>
          <w:highlight w:val="yellow"/>
        </w:rPr>
      </w:pPr>
    </w:p>
    <w:p w14:paraId="21066BD5"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Algeria</w:t>
      </w:r>
    </w:p>
    <w:p w14:paraId="0E638E0B" w14:textId="77777777" w:rsidR="00CC0A25" w:rsidRPr="00900086" w:rsidRDefault="00CC0A25" w:rsidP="00CC0A25">
      <w:pPr>
        <w:widowControl w:val="0"/>
        <w:autoSpaceDE w:val="0"/>
        <w:autoSpaceDN w:val="0"/>
        <w:adjustRightInd w:val="0"/>
        <w:ind w:left="720" w:hanging="720"/>
        <w:rPr>
          <w:rFonts w:ascii="Times New Roman" w:hAnsi="Times New Roman" w:cs="Times New Roman"/>
          <w:b/>
          <w:color w:val="000000"/>
        </w:rPr>
      </w:pPr>
      <w:r w:rsidRPr="00900086">
        <w:rPr>
          <w:rFonts w:ascii="Times New Roman" w:hAnsi="Times New Roman" w:cs="Times New Roman"/>
          <w:color w:val="000000"/>
        </w:rPr>
        <w:t>Algeria. 1995. Ordonnance no. 95-22 du 20 Rabie EL Aouel 1416 correspondant au 26 aout 1995 relative a la privatisation des entreprises publiques. 26 August.</w:t>
      </w:r>
    </w:p>
    <w:p w14:paraId="1C4CF04C" w14:textId="77777777" w:rsidR="00CC0A25" w:rsidRPr="00900086" w:rsidRDefault="00CC0A25" w:rsidP="00CC0A25">
      <w:pPr>
        <w:widowControl w:val="0"/>
        <w:autoSpaceDE w:val="0"/>
        <w:autoSpaceDN w:val="0"/>
        <w:adjustRightInd w:val="0"/>
        <w:ind w:left="720" w:hanging="720"/>
        <w:rPr>
          <w:rFonts w:ascii="Times New Roman" w:hAnsi="Times New Roman" w:cs="Times New Roman"/>
          <w:b/>
          <w:color w:val="000000"/>
        </w:rPr>
      </w:pPr>
    </w:p>
    <w:p w14:paraId="4EAB6535"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Benin</w:t>
      </w:r>
    </w:p>
    <w:p w14:paraId="205674AD" w14:textId="77777777" w:rsidR="00CC0A25" w:rsidRPr="00900086" w:rsidRDefault="00CC0A25" w:rsidP="00CC0A25">
      <w:pPr>
        <w:widowControl w:val="0"/>
        <w:autoSpaceDE w:val="0"/>
        <w:autoSpaceDN w:val="0"/>
        <w:adjustRightInd w:val="0"/>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Benin. 1992. Loi No. 92-023 du 6 août 1992, portant determination des principes fondamentaux des dénationalisations et des transferts de propriété d’entreprise du secteur public au secteur privé. </w:t>
      </w:r>
      <w:r w:rsidRPr="00900086">
        <w:rPr>
          <w:rFonts w:ascii="Times New Roman" w:hAnsi="Times New Roman" w:cs="Times New Roman"/>
          <w:i/>
          <w:color w:val="000000"/>
        </w:rPr>
        <w:t xml:space="preserve">Journal Officiel de la Republique de Benin. </w:t>
      </w:r>
      <w:r w:rsidRPr="00900086">
        <w:rPr>
          <w:rFonts w:ascii="Times New Roman" w:hAnsi="Times New Roman" w:cs="Times New Roman"/>
          <w:color w:val="000000"/>
        </w:rPr>
        <w:t xml:space="preserve">1 novembre. </w:t>
      </w:r>
    </w:p>
    <w:p w14:paraId="2FC6E332" w14:textId="77777777" w:rsidR="00CC0A25" w:rsidRPr="00900086" w:rsidRDefault="00CC0A25" w:rsidP="00CC0A25">
      <w:pPr>
        <w:widowControl w:val="0"/>
        <w:autoSpaceDE w:val="0"/>
        <w:autoSpaceDN w:val="0"/>
        <w:adjustRightInd w:val="0"/>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Benin, Ministere d’Etat, 1999. “Presentation de la Cellule.” Charge de la Coordination de L’Action Gouvernementale, du Plan, du Developpment et de la Promotion de L’Emploi (MECCAG-PDPE), Cellule des Operations de Denationalisation (COD) </w:t>
      </w:r>
    </w:p>
    <w:p w14:paraId="7C06C08A"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rPr>
        <w:t xml:space="preserve">Benin. Presidance de la Republique. 2000. </w:t>
      </w:r>
      <w:r w:rsidRPr="00900086">
        <w:rPr>
          <w:rFonts w:ascii="Times New Roman" w:hAnsi="Times New Roman" w:cs="Times New Roman"/>
          <w:color w:val="000000"/>
        </w:rPr>
        <w:t>Decret No. 2000-431 Du 05 Septembre.</w:t>
      </w:r>
    </w:p>
    <w:p w14:paraId="2A1563FF" w14:textId="77777777" w:rsidR="00CC0A25" w:rsidRPr="00900086" w:rsidRDefault="00CC0A25" w:rsidP="00CC0A25">
      <w:pPr>
        <w:ind w:left="720" w:hanging="720"/>
        <w:rPr>
          <w:rFonts w:ascii="Times New Roman" w:hAnsi="Times New Roman" w:cs="Times New Roman"/>
        </w:rPr>
      </w:pPr>
    </w:p>
    <w:p w14:paraId="11A9FCD7"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 xml:space="preserve">Botswana </w:t>
      </w:r>
    </w:p>
    <w:p w14:paraId="4155775B"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Botswana. 2000. Privatization Policy for Botswana. Government Paper no. 1. </w:t>
      </w:r>
    </w:p>
    <w:p w14:paraId="06D0C131" w14:textId="77777777" w:rsidR="00CC0A25" w:rsidRPr="00900086" w:rsidRDefault="00CC0A25" w:rsidP="00CC0A25">
      <w:pPr>
        <w:spacing w:after="120"/>
        <w:ind w:left="720" w:hanging="720"/>
        <w:rPr>
          <w:rFonts w:ascii="Times New Roman" w:hAnsi="Times New Roman" w:cs="Times New Roman"/>
        </w:rPr>
      </w:pPr>
      <w:r w:rsidRPr="00900086">
        <w:rPr>
          <w:rFonts w:ascii="Times New Roman" w:hAnsi="Times New Roman" w:cs="Times New Roman"/>
        </w:rPr>
        <w:t>Botswana. 2004. Privatization Master Plan 2005. Ministry of Finance and Development Planning.</w:t>
      </w:r>
    </w:p>
    <w:p w14:paraId="11903431"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Botswana. 2005. </w:t>
      </w:r>
      <w:r w:rsidRPr="00900086">
        <w:rPr>
          <w:rFonts w:ascii="Times New Roman" w:hAnsi="Times New Roman" w:cs="Times New Roman"/>
          <w:i/>
          <w:color w:val="000000"/>
        </w:rPr>
        <w:t>Privatisation in Botswana</w:t>
      </w:r>
      <w:r w:rsidRPr="00900086">
        <w:rPr>
          <w:rFonts w:ascii="Times New Roman" w:hAnsi="Times New Roman" w:cs="Times New Roman"/>
          <w:color w:val="000000"/>
        </w:rPr>
        <w:t>. Public Enterprise Evaluation and Privatisation Agency. Issue 21. February-May.</w:t>
      </w:r>
    </w:p>
    <w:p w14:paraId="642F08E6" w14:textId="77777777" w:rsidR="00CC0A25" w:rsidRPr="00900086" w:rsidRDefault="00CC0A25" w:rsidP="00CC0A25">
      <w:pPr>
        <w:ind w:left="720" w:hanging="720"/>
        <w:rPr>
          <w:rFonts w:ascii="Times New Roman" w:hAnsi="Times New Roman" w:cs="Times New Roman"/>
          <w:color w:val="000000"/>
        </w:rPr>
      </w:pPr>
    </w:p>
    <w:p w14:paraId="7B755C3B"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Burkina Faso</w:t>
      </w:r>
    </w:p>
    <w:p w14:paraId="60604D3A"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Burkina Faso. 1994. “Le programme de privatisations au Burkina Faso.” Mimeo.</w:t>
      </w:r>
    </w:p>
    <w:p w14:paraId="697F8568" w14:textId="77777777" w:rsidR="00CC0A25" w:rsidRPr="00900086" w:rsidRDefault="00CC0A25" w:rsidP="00CC0A25">
      <w:pPr>
        <w:ind w:left="720" w:hanging="720"/>
        <w:rPr>
          <w:rFonts w:ascii="Times New Roman" w:hAnsi="Times New Roman" w:cs="Times New Roman"/>
          <w:color w:val="000000"/>
        </w:rPr>
      </w:pPr>
    </w:p>
    <w:p w14:paraId="5C2DD0BA"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Cameroon</w:t>
      </w:r>
    </w:p>
    <w:p w14:paraId="64AD69A0" w14:textId="7A3D6BD3"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color w:val="000000"/>
        </w:rPr>
        <w:t>Fouda J</w:t>
      </w:r>
      <w:r w:rsidR="003405BF">
        <w:rPr>
          <w:rFonts w:ascii="Times New Roman" w:hAnsi="Times New Roman" w:cs="Times New Roman"/>
          <w:color w:val="000000"/>
        </w:rPr>
        <w:t>.</w:t>
      </w:r>
      <w:r w:rsidRPr="00900086">
        <w:rPr>
          <w:rFonts w:ascii="Times New Roman" w:hAnsi="Times New Roman" w:cs="Times New Roman"/>
          <w:color w:val="000000"/>
        </w:rPr>
        <w:t xml:space="preserve"> B. 2004. “</w:t>
      </w:r>
      <w:r w:rsidRPr="00900086">
        <w:rPr>
          <w:rFonts w:ascii="Times New Roman" w:hAnsi="Times New Roman" w:cs="Times New Roman"/>
        </w:rPr>
        <w:t>Efficacite des Privatisations c</w:t>
      </w:r>
      <w:r w:rsidR="001F39C5">
        <w:rPr>
          <w:rFonts w:ascii="Times New Roman" w:hAnsi="Times New Roman" w:cs="Times New Roman"/>
        </w:rPr>
        <w:t>amerounaises</w:t>
      </w:r>
      <w:r w:rsidRPr="00900086">
        <w:rPr>
          <w:rFonts w:ascii="Times New Roman" w:hAnsi="Times New Roman" w:cs="Times New Roman"/>
        </w:rPr>
        <w:t xml:space="preserve">: une analyse à travers la théorie de la Gouvernance partenariale.” </w:t>
      </w:r>
      <w:r w:rsidRPr="00900086">
        <w:rPr>
          <w:rFonts w:ascii="Times New Roman" w:hAnsi="Times New Roman" w:cs="Times New Roman"/>
          <w:i/>
        </w:rPr>
        <w:t>Memoire Online</w:t>
      </w:r>
      <w:r w:rsidRPr="00900086">
        <w:rPr>
          <w:rFonts w:ascii="Times New Roman" w:hAnsi="Times New Roman" w:cs="Times New Roman"/>
        </w:rPr>
        <w:t xml:space="preserve">. </w:t>
      </w:r>
      <w:hyperlink r:id="rId12" w:history="1">
        <w:r w:rsidRPr="00900086">
          <w:rPr>
            <w:rStyle w:val="Hyperlink"/>
            <w:rFonts w:ascii="Times New Roman" w:hAnsi="Times New Roman" w:cs="Times New Roman"/>
          </w:rPr>
          <w:t>http://www.memoireonline.com/01/07/322/m_efficacite-privatisations-camerounaises-analyse-theorie-gouvernance-partenariale8.html</w:t>
        </w:r>
      </w:hyperlink>
      <w:r w:rsidRPr="00900086">
        <w:rPr>
          <w:rFonts w:ascii="Times New Roman" w:hAnsi="Times New Roman" w:cs="Times New Roman"/>
        </w:rPr>
        <w:t xml:space="preserve"> Accessed June 16, 2014.</w:t>
      </w:r>
    </w:p>
    <w:p w14:paraId="6BBA1B34"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p>
    <w:p w14:paraId="5DB2924D"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Cote d’Ivoire</w:t>
      </w:r>
    </w:p>
    <w:p w14:paraId="26A369EB"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rPr>
        <w:t xml:space="preserve">1991. Decret no. 90-1610. 28 December 1990. </w:t>
      </w:r>
      <w:r w:rsidRPr="00900086">
        <w:rPr>
          <w:rFonts w:ascii="Times New Roman" w:hAnsi="Times New Roman" w:cs="Times New Roman"/>
          <w:i/>
        </w:rPr>
        <w:t>Journal Officiel de la Republique de Cote d’Ivoire</w:t>
      </w:r>
      <w:r w:rsidRPr="00900086">
        <w:rPr>
          <w:rFonts w:ascii="Times New Roman" w:hAnsi="Times New Roman" w:cs="Times New Roman"/>
        </w:rPr>
        <w:t>. 24 January.</w:t>
      </w:r>
    </w:p>
    <w:p w14:paraId="66231CF5"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p>
    <w:p w14:paraId="6C1AD2DF"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Ethiopia</w:t>
      </w:r>
    </w:p>
    <w:p w14:paraId="5C18961E"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1998. Proclamation No. 146/1998. “Privatization of Public Enterprises Proclamation.” </w:t>
      </w:r>
      <w:r w:rsidRPr="00900086">
        <w:rPr>
          <w:rFonts w:ascii="Times New Roman" w:hAnsi="Times New Roman" w:cs="Times New Roman"/>
          <w:i/>
          <w:color w:val="000000"/>
        </w:rPr>
        <w:t>Federal Negarit Gazeta of the Federal Democratic Republic of Ethiopia</w:t>
      </w:r>
      <w:r w:rsidRPr="00900086">
        <w:rPr>
          <w:rFonts w:ascii="Times New Roman" w:hAnsi="Times New Roman" w:cs="Times New Roman"/>
          <w:color w:val="000000"/>
        </w:rPr>
        <w:t>. 29 December.</w:t>
      </w:r>
    </w:p>
    <w:p w14:paraId="3643E653" w14:textId="77777777" w:rsidR="00CC0A25" w:rsidRPr="00900086" w:rsidRDefault="00CC0A25" w:rsidP="00CC0A25">
      <w:pPr>
        <w:ind w:left="720" w:hanging="720"/>
        <w:rPr>
          <w:rFonts w:ascii="Times New Roman" w:hAnsi="Times New Roman" w:cs="Times New Roman"/>
          <w:color w:val="000000"/>
        </w:rPr>
      </w:pPr>
    </w:p>
    <w:p w14:paraId="65E7C76E"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Ghana</w:t>
      </w:r>
    </w:p>
    <w:p w14:paraId="07DAB988"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Ghana. 1993. “Divestiture of State Interests (Implementation) Act.” </w:t>
      </w:r>
    </w:p>
    <w:p w14:paraId="6D0C3F77" w14:textId="77777777" w:rsidR="00CC0A25" w:rsidRPr="00900086" w:rsidRDefault="00CC0A25" w:rsidP="00CC0A25">
      <w:pPr>
        <w:spacing w:after="120"/>
        <w:ind w:left="720" w:hanging="720"/>
        <w:rPr>
          <w:rFonts w:ascii="Times New Roman" w:hAnsi="Times New Roman" w:cs="Times New Roman"/>
        </w:rPr>
      </w:pPr>
      <w:r w:rsidRPr="00900086">
        <w:rPr>
          <w:rFonts w:ascii="Times New Roman" w:hAnsi="Times New Roman" w:cs="Times New Roman"/>
          <w:color w:val="000000"/>
        </w:rPr>
        <w:t>Ghana. 2010. “Divestiture Implementation Committee.” Website. Accessed January 21.</w:t>
      </w:r>
      <w:r w:rsidRPr="00900086">
        <w:rPr>
          <w:rFonts w:ascii="Times New Roman" w:hAnsi="Times New Roman" w:cs="Times New Roman"/>
        </w:rPr>
        <w:t xml:space="preserve"> </w:t>
      </w:r>
      <w:hyperlink r:id="rId13" w:history="1">
        <w:r w:rsidRPr="00900086">
          <w:rPr>
            <w:rStyle w:val="Hyperlink"/>
            <w:rFonts w:ascii="Times New Roman" w:hAnsi="Times New Roman" w:cs="Times New Roman"/>
          </w:rPr>
          <w:t>http://www.dic.com.gh/info/faq.html</w:t>
        </w:r>
      </w:hyperlink>
    </w:p>
    <w:p w14:paraId="09EBA6C1" w14:textId="77777777" w:rsidR="00CC0A25" w:rsidRPr="00900086" w:rsidRDefault="00CC0A25" w:rsidP="00CC0A25">
      <w:pPr>
        <w:ind w:left="720" w:hanging="720"/>
        <w:rPr>
          <w:rFonts w:ascii="Times New Roman" w:hAnsi="Times New Roman" w:cs="Times New Roman"/>
          <w:color w:val="000000"/>
        </w:rPr>
      </w:pPr>
    </w:p>
    <w:p w14:paraId="3068EA98"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Kenya</w:t>
      </w:r>
    </w:p>
    <w:p w14:paraId="43FC90B3"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Kenya. 2005. “Sessional Paper No……of 2005 on Privatization of State Corporations and Investments.” Draft.</w:t>
      </w:r>
    </w:p>
    <w:p w14:paraId="4B4807CE"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 xml:space="preserve">Kenya. 2009. The Privatization Act, 2005. National Council for Law Reporting. </w:t>
      </w:r>
    </w:p>
    <w:p w14:paraId="25604F71" w14:textId="77777777" w:rsidR="00CC0A25" w:rsidRPr="00900086" w:rsidRDefault="00CC0A25" w:rsidP="00CC0A25">
      <w:pPr>
        <w:ind w:left="720" w:hanging="720"/>
        <w:rPr>
          <w:rFonts w:ascii="Times New Roman" w:hAnsi="Times New Roman" w:cs="Times New Roman"/>
          <w:color w:val="000000"/>
        </w:rPr>
      </w:pPr>
    </w:p>
    <w:p w14:paraId="7AD46136"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Lesotho</w:t>
      </w:r>
    </w:p>
    <w:p w14:paraId="40A2598A"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Lesotho. 1995. Privatisation Act 1995. Lesotho Legal Index. </w:t>
      </w:r>
    </w:p>
    <w:p w14:paraId="2F51E5F7" w14:textId="77777777" w:rsidR="00CC0A25" w:rsidRPr="00900086" w:rsidRDefault="00CC0A25" w:rsidP="00CC0A25">
      <w:pPr>
        <w:ind w:left="720" w:hanging="720"/>
        <w:rPr>
          <w:rFonts w:ascii="Times New Roman" w:hAnsi="Times New Roman" w:cs="Times New Roman"/>
          <w:color w:val="000000"/>
        </w:rPr>
      </w:pPr>
    </w:p>
    <w:p w14:paraId="73EFFE9B"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Madagascar</w:t>
      </w:r>
    </w:p>
    <w:p w14:paraId="59078442"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color w:val="000000"/>
        </w:rPr>
        <w:t>Madagascar. 1996. Decret No. 96-782. “</w:t>
      </w:r>
      <w:r w:rsidRPr="00900086">
        <w:rPr>
          <w:rFonts w:ascii="Times New Roman" w:hAnsi="Times New Roman" w:cs="Times New Roman"/>
        </w:rPr>
        <w:t xml:space="preserve">Fixant les modalités de désignation et de fonctionnement des organes chargés du désengagement de l’Etat des entreprises du secteur public.” 4 September. </w:t>
      </w:r>
    </w:p>
    <w:p w14:paraId="1069ACE0" w14:textId="77777777" w:rsidR="00CC0A25" w:rsidRPr="00900086" w:rsidRDefault="00CC0A25" w:rsidP="00CC0A25">
      <w:pPr>
        <w:tabs>
          <w:tab w:val="left" w:pos="7760"/>
        </w:tabs>
        <w:ind w:left="720" w:hanging="720"/>
        <w:rPr>
          <w:rFonts w:ascii="Times New Roman" w:hAnsi="Times New Roman" w:cs="Times New Roman"/>
          <w:color w:val="000000"/>
        </w:rPr>
      </w:pPr>
      <w:r w:rsidRPr="00900086">
        <w:rPr>
          <w:rFonts w:ascii="Times New Roman" w:hAnsi="Times New Roman" w:cs="Times New Roman"/>
          <w:color w:val="000000"/>
        </w:rPr>
        <w:tab/>
      </w:r>
    </w:p>
    <w:p w14:paraId="4119B922"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Malawi</w:t>
      </w:r>
    </w:p>
    <w:p w14:paraId="12E02A31"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Malawi. 1996. Public Enterprises (Privatization) Act, no. 7 of 1996. 17 April. </w:t>
      </w:r>
    </w:p>
    <w:p w14:paraId="3CBF4F4D" w14:textId="77777777" w:rsidR="00CC0A25" w:rsidRPr="00900086" w:rsidRDefault="00CC0A25" w:rsidP="00CC0A25">
      <w:pPr>
        <w:ind w:left="720" w:hanging="720"/>
        <w:rPr>
          <w:rFonts w:ascii="Times New Roman" w:hAnsi="Times New Roman" w:cs="Times New Roman"/>
          <w:color w:val="000000"/>
        </w:rPr>
      </w:pPr>
    </w:p>
    <w:p w14:paraId="12520AFA"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Mali</w:t>
      </w:r>
    </w:p>
    <w:p w14:paraId="707BCFAA" w14:textId="05A643F0" w:rsidR="00CC0A25" w:rsidRPr="00900086" w:rsidRDefault="00CC0A25" w:rsidP="00CC0A25">
      <w:pPr>
        <w:widowControl w:val="0"/>
        <w:spacing w:after="120"/>
        <w:ind w:left="720" w:hanging="720"/>
        <w:rPr>
          <w:rFonts w:ascii="Times New Roman" w:hAnsi="Times New Roman" w:cs="Times New Roman"/>
        </w:rPr>
      </w:pPr>
      <w:r w:rsidRPr="00900086">
        <w:rPr>
          <w:rFonts w:ascii="Times New Roman" w:hAnsi="Times New Roman" w:cs="Times New Roman"/>
        </w:rPr>
        <w:t>Keita S. 2000. “Overview of the Privatization Process in Mali.” USAID/Mali Office. Economic Report Series. April.</w:t>
      </w:r>
    </w:p>
    <w:p w14:paraId="58DAAB76" w14:textId="77777777" w:rsidR="00CC0A25" w:rsidRPr="00900086" w:rsidRDefault="00CC0A25" w:rsidP="00CC0A25">
      <w:pPr>
        <w:widowControl w:val="0"/>
        <w:spacing w:after="120"/>
        <w:ind w:left="720" w:hanging="720"/>
        <w:rPr>
          <w:rFonts w:ascii="Times New Roman" w:hAnsi="Times New Roman" w:cs="Times New Roman"/>
        </w:rPr>
      </w:pPr>
      <w:r w:rsidRPr="00900086">
        <w:rPr>
          <w:rFonts w:ascii="Times New Roman" w:hAnsi="Times New Roman" w:cs="Times New Roman"/>
        </w:rPr>
        <w:t>Mali. 1994. Loi 94-041. “</w:t>
      </w:r>
      <w:r w:rsidRPr="00900086">
        <w:rPr>
          <w:rFonts w:ascii="Times New Roman" w:hAnsi="Times New Roman" w:cs="Times New Roman"/>
          <w:spacing w:val="-3"/>
          <w:kern w:val="1"/>
        </w:rPr>
        <w:t xml:space="preserve">Fixant les principes fondamentaux de la privatisation des entreprises du secteur public.” </w:t>
      </w:r>
      <w:r w:rsidRPr="00900086">
        <w:rPr>
          <w:rFonts w:ascii="Times New Roman" w:hAnsi="Times New Roman" w:cs="Times New Roman"/>
          <w:i/>
          <w:spacing w:val="-3"/>
          <w:kern w:val="1"/>
        </w:rPr>
        <w:t>Journal Officiel</w:t>
      </w:r>
      <w:r w:rsidRPr="00900086">
        <w:rPr>
          <w:rFonts w:ascii="Times New Roman" w:hAnsi="Times New Roman" w:cs="Times New Roman"/>
          <w:spacing w:val="-3"/>
          <w:kern w:val="1"/>
        </w:rPr>
        <w:t>. 22 August.</w:t>
      </w:r>
    </w:p>
    <w:p w14:paraId="57F0ADB3" w14:textId="77777777" w:rsidR="00CC0A25" w:rsidRPr="00900086" w:rsidRDefault="00CC0A25" w:rsidP="00CC0A25">
      <w:pPr>
        <w:widowControl w:val="0"/>
        <w:ind w:left="720" w:hanging="720"/>
        <w:rPr>
          <w:rFonts w:ascii="Times New Roman" w:hAnsi="Times New Roman" w:cs="Times New Roman"/>
        </w:rPr>
      </w:pPr>
    </w:p>
    <w:p w14:paraId="47449214"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Mauritius</w:t>
      </w:r>
    </w:p>
    <w:p w14:paraId="2CA4F23E"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No agency established</w:t>
      </w:r>
    </w:p>
    <w:p w14:paraId="4EEDFA5B" w14:textId="77777777" w:rsidR="00CC0A25" w:rsidRPr="00900086" w:rsidRDefault="00CC0A25" w:rsidP="00CC0A25">
      <w:pPr>
        <w:ind w:left="720" w:hanging="720"/>
        <w:rPr>
          <w:rFonts w:ascii="Times New Roman" w:hAnsi="Times New Roman" w:cs="Times New Roman"/>
          <w:color w:val="000000"/>
        </w:rPr>
      </w:pPr>
    </w:p>
    <w:p w14:paraId="1AAA59FD"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Morocco</w:t>
      </w:r>
    </w:p>
    <w:p w14:paraId="144B0C17" w14:textId="77777777" w:rsidR="00CC0A25" w:rsidRPr="00900086" w:rsidRDefault="00CC0A25" w:rsidP="00CC0A25">
      <w:pPr>
        <w:widowControl w:val="0"/>
        <w:autoSpaceDE w:val="0"/>
        <w:autoSpaceDN w:val="0"/>
        <w:adjustRightInd w:val="0"/>
        <w:spacing w:after="120"/>
        <w:ind w:left="720" w:hanging="720"/>
        <w:rPr>
          <w:rFonts w:ascii="Times New Roman" w:hAnsi="Times New Roman" w:cs="Times New Roman"/>
        </w:rPr>
      </w:pPr>
      <w:r w:rsidRPr="00900086">
        <w:rPr>
          <w:rFonts w:ascii="Times New Roman" w:hAnsi="Times New Roman" w:cs="Times New Roman"/>
        </w:rPr>
        <w:t xml:space="preserve">Morocco. 1990. Loi No. 39-89. “Telle Qu’elle a ete Modifiee et Completee Par La Loi No. 34-98, Autorisant Le Transfer D’entreprises Publiques au Secteur Prive.” </w:t>
      </w:r>
      <w:r w:rsidRPr="00900086">
        <w:rPr>
          <w:rFonts w:ascii="Times New Roman" w:hAnsi="Times New Roman" w:cs="Times New Roman"/>
          <w:i/>
        </w:rPr>
        <w:t>Bulletin official</w:t>
      </w:r>
      <w:r w:rsidRPr="00900086">
        <w:rPr>
          <w:rFonts w:ascii="Times New Roman" w:hAnsi="Times New Roman" w:cs="Times New Roman"/>
        </w:rPr>
        <w:t xml:space="preserve"> no. </w:t>
      </w:r>
      <w:r w:rsidRPr="00900086">
        <w:rPr>
          <w:rFonts w:ascii="Times New Roman" w:hAnsi="Times New Roman" w:cs="Times New Roman"/>
        </w:rPr>
        <w:lastRenderedPageBreak/>
        <w:t>4042. 18 April.</w:t>
      </w:r>
    </w:p>
    <w:p w14:paraId="1E1B8548" w14:textId="77777777" w:rsidR="00CC0A25" w:rsidRPr="00900086" w:rsidRDefault="00CC0A25" w:rsidP="00CC0A25">
      <w:pPr>
        <w:widowControl w:val="0"/>
        <w:autoSpaceDE w:val="0"/>
        <w:autoSpaceDN w:val="0"/>
        <w:adjustRightInd w:val="0"/>
        <w:spacing w:after="120"/>
        <w:ind w:left="720" w:hanging="720"/>
        <w:rPr>
          <w:rFonts w:ascii="Times New Roman" w:hAnsi="Times New Roman" w:cs="Times New Roman"/>
        </w:rPr>
      </w:pPr>
      <w:r w:rsidRPr="00900086">
        <w:rPr>
          <w:rFonts w:ascii="Times New Roman" w:hAnsi="Times New Roman" w:cs="Times New Roman"/>
        </w:rPr>
        <w:t>Morocco. 1990 and 1999. Décret n° 2-90-402 du 25 rebia I 1411 (16 octobre 1990) pris sur le fondement de l'habilitation prévue par l'article 5 de la loi n° 39-89 autorisant le transfert d'entreprises publiques au secteur privé, telqu'il a été modifié et complété par la loi n° 35-98 du 26 moharrem 1420 (13 mai 1999).</w:t>
      </w:r>
    </w:p>
    <w:p w14:paraId="20D4D41B" w14:textId="77777777" w:rsidR="00CC0A25" w:rsidRPr="00900086" w:rsidRDefault="00CC0A25" w:rsidP="00CC0A25">
      <w:pPr>
        <w:ind w:left="720" w:hanging="720"/>
        <w:rPr>
          <w:rFonts w:ascii="Times New Roman" w:hAnsi="Times New Roman" w:cs="Times New Roman"/>
          <w:color w:val="000000"/>
        </w:rPr>
      </w:pPr>
    </w:p>
    <w:p w14:paraId="1FD9C516"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Mozambique</w:t>
      </w:r>
    </w:p>
    <w:p w14:paraId="006A9617" w14:textId="77777777" w:rsidR="00CC0A25" w:rsidRPr="00900086" w:rsidRDefault="00CC0A25" w:rsidP="00CC0A25">
      <w:pPr>
        <w:tabs>
          <w:tab w:val="left" w:pos="-720"/>
        </w:tabs>
        <w:suppressAutoHyphens/>
        <w:spacing w:after="120"/>
        <w:ind w:left="720" w:hanging="720"/>
        <w:rPr>
          <w:rFonts w:ascii="Times New Roman" w:hAnsi="Times New Roman" w:cs="Times New Roman"/>
          <w:lang w:val="pt-PT"/>
        </w:rPr>
      </w:pPr>
      <w:r w:rsidRPr="00900086">
        <w:rPr>
          <w:rFonts w:ascii="Times New Roman" w:hAnsi="Times New Roman" w:cs="Times New Roman"/>
          <w:color w:val="000000"/>
        </w:rPr>
        <w:t xml:space="preserve">Mozambique. 1993. </w:t>
      </w:r>
      <w:r w:rsidRPr="00900086">
        <w:rPr>
          <w:rFonts w:ascii="Times New Roman" w:hAnsi="Times New Roman" w:cs="Times New Roman"/>
        </w:rPr>
        <w:t xml:space="preserve">Assembly of the Republic. </w:t>
      </w:r>
      <w:r w:rsidRPr="00900086">
        <w:rPr>
          <w:rFonts w:ascii="Times New Roman" w:hAnsi="Times New Roman" w:cs="Times New Roman"/>
          <w:lang w:val="pt-PT"/>
        </w:rPr>
        <w:t>Law 3/93. 8 June 1993.</w:t>
      </w:r>
    </w:p>
    <w:p w14:paraId="140CB392" w14:textId="77777777" w:rsidR="00CC0A25" w:rsidRPr="00900086" w:rsidRDefault="00CC0A25" w:rsidP="00CC0A25">
      <w:pPr>
        <w:tabs>
          <w:tab w:val="left" w:pos="-720"/>
        </w:tabs>
        <w:suppressAutoHyphens/>
        <w:spacing w:after="120"/>
        <w:ind w:left="720" w:hanging="720"/>
        <w:rPr>
          <w:rFonts w:ascii="Times New Roman" w:hAnsi="Times New Roman" w:cs="Times New Roman"/>
          <w:lang w:val="pt-PT"/>
        </w:rPr>
      </w:pPr>
      <w:r w:rsidRPr="00900086">
        <w:rPr>
          <w:rFonts w:ascii="Times New Roman" w:hAnsi="Times New Roman" w:cs="Times New Roman"/>
          <w:lang w:val="pt-PT"/>
        </w:rPr>
        <w:t xml:space="preserve">Mozambique. 1993. Conselho de Ministros. </w:t>
      </w:r>
      <w:r w:rsidRPr="00900086">
        <w:rPr>
          <w:rFonts w:ascii="Times New Roman" w:hAnsi="Times New Roman" w:cs="Times New Roman"/>
        </w:rPr>
        <w:t xml:space="preserve">Decree no. 14/93. </w:t>
      </w:r>
      <w:r w:rsidRPr="00900086">
        <w:rPr>
          <w:rFonts w:ascii="Times New Roman" w:hAnsi="Times New Roman" w:cs="Times New Roman"/>
          <w:lang w:val="pt-PT"/>
        </w:rPr>
        <w:t>21 July 1993.</w:t>
      </w:r>
    </w:p>
    <w:p w14:paraId="465198E5" w14:textId="77777777" w:rsidR="00CC0A25" w:rsidRPr="00900086" w:rsidRDefault="00CC0A25" w:rsidP="00CC0A25">
      <w:pPr>
        <w:tabs>
          <w:tab w:val="left" w:pos="-720"/>
        </w:tabs>
        <w:suppressAutoHyphens/>
        <w:spacing w:after="120"/>
        <w:ind w:left="720" w:hanging="720"/>
        <w:rPr>
          <w:rFonts w:ascii="Times New Roman" w:hAnsi="Times New Roman" w:cs="Times New Roman"/>
        </w:rPr>
      </w:pPr>
      <w:r w:rsidRPr="00900086">
        <w:rPr>
          <w:rFonts w:ascii="Times New Roman" w:hAnsi="Times New Roman" w:cs="Times New Roman"/>
          <w:color w:val="000000"/>
        </w:rPr>
        <w:t xml:space="preserve">Mozambique. 1995-1998. </w:t>
      </w:r>
      <w:r w:rsidRPr="00900086">
        <w:rPr>
          <w:rFonts w:ascii="Times New Roman" w:hAnsi="Times New Roman" w:cs="Times New Roman"/>
        </w:rPr>
        <w:t xml:space="preserve">Ministry of Planning and Finance. Technical Unit for Enterprise Restructuring (UTRE). "Privatisation in Mozambique", nos. 1-5. March 1995-March 1998. </w:t>
      </w:r>
    </w:p>
    <w:p w14:paraId="436358A7" w14:textId="77777777" w:rsidR="00CC0A25" w:rsidRPr="00900086" w:rsidRDefault="00CC0A25" w:rsidP="00CC0A25">
      <w:pPr>
        <w:tabs>
          <w:tab w:val="left" w:pos="-720"/>
        </w:tabs>
        <w:suppressAutoHyphens/>
        <w:ind w:left="720" w:hanging="720"/>
        <w:rPr>
          <w:rFonts w:ascii="Times New Roman" w:hAnsi="Times New Roman" w:cs="Times New Roman"/>
        </w:rPr>
      </w:pPr>
    </w:p>
    <w:p w14:paraId="554CDD87"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Namibia</w:t>
      </w:r>
    </w:p>
    <w:p w14:paraId="00DB5C3D" w14:textId="77777777" w:rsidR="00CC0A25" w:rsidRPr="00900086" w:rsidRDefault="00CC0A25" w:rsidP="00CC0A25">
      <w:pPr>
        <w:tabs>
          <w:tab w:val="left" w:pos="-720"/>
        </w:tabs>
        <w:suppressAutoHyphens/>
        <w:ind w:left="720" w:hanging="720"/>
        <w:rPr>
          <w:rFonts w:ascii="Times New Roman" w:hAnsi="Times New Roman" w:cs="Times New Roman"/>
        </w:rPr>
      </w:pPr>
      <w:r w:rsidRPr="00900086">
        <w:rPr>
          <w:rFonts w:ascii="Times New Roman" w:hAnsi="Times New Roman" w:cs="Times New Roman"/>
        </w:rPr>
        <w:t xml:space="preserve">Namibia. 2006. Promulgation of State-owned Enterprises Governance Act, 2006 (Act No. 2 of 2006), of the Parliament. </w:t>
      </w:r>
      <w:r w:rsidRPr="00900086">
        <w:rPr>
          <w:rFonts w:ascii="Times New Roman" w:hAnsi="Times New Roman" w:cs="Times New Roman"/>
          <w:i/>
        </w:rPr>
        <w:t>Government Gazette of the Republic of Namibia</w:t>
      </w:r>
      <w:r w:rsidRPr="00900086">
        <w:rPr>
          <w:rFonts w:ascii="Times New Roman" w:hAnsi="Times New Roman" w:cs="Times New Roman"/>
        </w:rPr>
        <w:t>. No 3698. 14 September.</w:t>
      </w:r>
    </w:p>
    <w:p w14:paraId="7A6E3B9E" w14:textId="77777777" w:rsidR="00CC0A25" w:rsidRPr="00900086" w:rsidRDefault="00CC0A25" w:rsidP="00CC0A25">
      <w:pPr>
        <w:tabs>
          <w:tab w:val="left" w:pos="-720"/>
        </w:tabs>
        <w:suppressAutoHyphens/>
        <w:ind w:left="720" w:hanging="720"/>
        <w:rPr>
          <w:rFonts w:ascii="Times New Roman" w:hAnsi="Times New Roman" w:cs="Times New Roman"/>
        </w:rPr>
      </w:pPr>
    </w:p>
    <w:p w14:paraId="71F203B9"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Niger</w:t>
      </w:r>
    </w:p>
    <w:p w14:paraId="635CEC1E" w14:textId="77777777" w:rsidR="00CC0A25" w:rsidRPr="00900086" w:rsidRDefault="00CC0A25" w:rsidP="00CC0A25">
      <w:pPr>
        <w:tabs>
          <w:tab w:val="left" w:pos="-720"/>
        </w:tabs>
        <w:suppressAutoHyphens/>
        <w:spacing w:after="120"/>
        <w:ind w:left="720" w:hanging="720"/>
        <w:rPr>
          <w:rFonts w:ascii="Times New Roman" w:hAnsi="Times New Roman" w:cs="Times New Roman"/>
        </w:rPr>
      </w:pPr>
      <w:r w:rsidRPr="00900086">
        <w:rPr>
          <w:rFonts w:ascii="Times New Roman" w:hAnsi="Times New Roman" w:cs="Times New Roman"/>
        </w:rPr>
        <w:t xml:space="preserve">Niger. 1996. Décret no 96-464/PRN/MEF/P du 11 décembre 1996, portant modalités d’application de l’ordonnance no. 96-75 de 11 décembre 1996 portant condtions générales de privatization. </w:t>
      </w:r>
      <w:r w:rsidRPr="00900086">
        <w:rPr>
          <w:rFonts w:ascii="Times New Roman" w:hAnsi="Times New Roman" w:cs="Times New Roman"/>
          <w:i/>
        </w:rPr>
        <w:t>Journal Officiel de la Republique du Niger.</w:t>
      </w:r>
      <w:r w:rsidRPr="00900086">
        <w:rPr>
          <w:rFonts w:ascii="Times New Roman" w:hAnsi="Times New Roman" w:cs="Times New Roman"/>
        </w:rPr>
        <w:t xml:space="preserve"> 15 Janvier 1997.</w:t>
      </w:r>
    </w:p>
    <w:p w14:paraId="7EDB1449" w14:textId="77777777" w:rsidR="00CC0A25" w:rsidRDefault="00CC0A25" w:rsidP="00CC0A25">
      <w:pPr>
        <w:tabs>
          <w:tab w:val="left" w:pos="-720"/>
        </w:tabs>
        <w:suppressAutoHyphens/>
        <w:spacing w:after="120"/>
        <w:ind w:left="720" w:hanging="720"/>
        <w:rPr>
          <w:rFonts w:ascii="Times New Roman" w:hAnsi="Times New Roman" w:cs="Times New Roman"/>
        </w:rPr>
      </w:pPr>
      <w:r w:rsidRPr="00900086">
        <w:rPr>
          <w:rFonts w:ascii="Times New Roman" w:hAnsi="Times New Roman" w:cs="Times New Roman"/>
        </w:rPr>
        <w:t xml:space="preserve">Niger. 1996. Ordonnance no 96-062 du 22 octobre 1996, fixant la liste des entreprises publiques å privatiser. </w:t>
      </w:r>
      <w:r w:rsidRPr="00900086">
        <w:rPr>
          <w:rFonts w:ascii="Times New Roman" w:hAnsi="Times New Roman" w:cs="Times New Roman"/>
          <w:i/>
        </w:rPr>
        <w:t>Journal Officiel de la Republique du Niger</w:t>
      </w:r>
      <w:r w:rsidRPr="00900086">
        <w:rPr>
          <w:rFonts w:ascii="Times New Roman" w:hAnsi="Times New Roman" w:cs="Times New Roman"/>
        </w:rPr>
        <w:t>. 30 Octobre.</w:t>
      </w:r>
    </w:p>
    <w:p w14:paraId="6E2BBE58" w14:textId="1494ABB3" w:rsidR="00371EAC" w:rsidRPr="00900086" w:rsidRDefault="00371EAC" w:rsidP="00371EAC">
      <w:pPr>
        <w:tabs>
          <w:tab w:val="left" w:pos="-720"/>
        </w:tabs>
        <w:suppressAutoHyphens/>
        <w:spacing w:after="120"/>
        <w:ind w:left="720" w:hanging="720"/>
        <w:rPr>
          <w:rFonts w:ascii="Times New Roman" w:hAnsi="Times New Roman" w:cs="Times New Roman"/>
        </w:rPr>
      </w:pPr>
      <w:r>
        <w:rPr>
          <w:rFonts w:ascii="Times New Roman" w:hAnsi="Times New Roman" w:cs="Times New Roman"/>
        </w:rPr>
        <w:t xml:space="preserve">Niger. 1996. </w:t>
      </w:r>
      <w:r w:rsidRPr="00900086">
        <w:rPr>
          <w:rFonts w:ascii="Times New Roman" w:hAnsi="Times New Roman" w:cs="Times New Roman"/>
        </w:rPr>
        <w:t xml:space="preserve">Ordonnances no. 96-76 du 11 décembre 1996, portant condtions générales de privatisation. </w:t>
      </w:r>
      <w:r w:rsidRPr="00900086">
        <w:rPr>
          <w:rFonts w:ascii="Times New Roman" w:hAnsi="Times New Roman" w:cs="Times New Roman"/>
          <w:i/>
        </w:rPr>
        <w:t>Journal Officiel de la Republique du Niger.</w:t>
      </w:r>
      <w:r w:rsidRPr="00900086">
        <w:rPr>
          <w:rFonts w:ascii="Times New Roman" w:hAnsi="Times New Roman" w:cs="Times New Roman"/>
        </w:rPr>
        <w:t xml:space="preserve"> 15 Janvier 1997.</w:t>
      </w:r>
    </w:p>
    <w:p w14:paraId="35A6291C" w14:textId="77777777" w:rsidR="00CC0A25" w:rsidRPr="00900086" w:rsidRDefault="00CC0A25" w:rsidP="00CC0A25">
      <w:pPr>
        <w:tabs>
          <w:tab w:val="left" w:pos="-720"/>
        </w:tabs>
        <w:suppressAutoHyphens/>
        <w:spacing w:after="120"/>
        <w:ind w:left="720" w:hanging="720"/>
        <w:rPr>
          <w:rFonts w:ascii="Times New Roman" w:hAnsi="Times New Roman" w:cs="Times New Roman"/>
        </w:rPr>
      </w:pPr>
      <w:r w:rsidRPr="00900086">
        <w:rPr>
          <w:rFonts w:ascii="Times New Roman" w:hAnsi="Times New Roman" w:cs="Times New Roman"/>
        </w:rPr>
        <w:t>Niger. 1999. Décret no. 99-336/PCRN/M/Priv du 13 ao</w:t>
      </w:r>
      <w:r w:rsidRPr="00900086">
        <w:rPr>
          <w:rFonts w:ascii="Times New Roman" w:hAnsi="Times New Roman" w:cs="Times New Roman"/>
          <w:color w:val="000000"/>
        </w:rPr>
        <w:t>ût 1999, determinant les attributions du minister délégué auprès du Premier Ministre, chargé de la privatization.</w:t>
      </w:r>
    </w:p>
    <w:p w14:paraId="4283E2ED" w14:textId="77777777" w:rsidR="00CC0A25" w:rsidRPr="00900086" w:rsidRDefault="00CC0A25" w:rsidP="00CC0A25">
      <w:pPr>
        <w:tabs>
          <w:tab w:val="left" w:pos="-720"/>
        </w:tabs>
        <w:suppressAutoHyphens/>
        <w:ind w:left="720" w:hanging="720"/>
        <w:rPr>
          <w:rFonts w:ascii="Times New Roman" w:hAnsi="Times New Roman" w:cs="Times New Roman"/>
        </w:rPr>
      </w:pPr>
    </w:p>
    <w:p w14:paraId="58A56A13"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Nigeria</w:t>
      </w:r>
    </w:p>
    <w:p w14:paraId="163A3176" w14:textId="5DE801A0" w:rsidR="009D536F" w:rsidRDefault="009D536F" w:rsidP="00CC0A25">
      <w:pPr>
        <w:tabs>
          <w:tab w:val="left" w:pos="-720"/>
        </w:tabs>
        <w:suppressAutoHyphens/>
        <w:spacing w:after="120"/>
        <w:ind w:left="720" w:hanging="720"/>
        <w:rPr>
          <w:rFonts w:ascii="Times New Roman" w:hAnsi="Times New Roman" w:cs="Times New Roman"/>
          <w:color w:val="000000"/>
        </w:rPr>
      </w:pPr>
      <w:r>
        <w:rPr>
          <w:rFonts w:ascii="Times New Roman" w:hAnsi="Times New Roman" w:cs="Times New Roman"/>
          <w:color w:val="000000"/>
        </w:rPr>
        <w:t>Adeyemo D. O. and A.</w:t>
      </w:r>
      <w:r w:rsidRPr="00515EFE">
        <w:rPr>
          <w:rFonts w:ascii="Times New Roman" w:hAnsi="Times New Roman" w:cs="Times New Roman"/>
          <w:color w:val="000000"/>
        </w:rPr>
        <w:t xml:space="preserve"> Salami. 2008. “A Review of Private Enterprises Reform in Nigeria.”  </w:t>
      </w:r>
      <w:r w:rsidRPr="00515EFE">
        <w:rPr>
          <w:rFonts w:ascii="Times New Roman" w:hAnsi="Times New Roman" w:cs="Times New Roman"/>
          <w:i/>
          <w:color w:val="000000"/>
        </w:rPr>
        <w:t xml:space="preserve">Contemporary Management </w:t>
      </w:r>
      <w:r w:rsidRPr="00515EFE">
        <w:rPr>
          <w:rFonts w:ascii="Times New Roman" w:hAnsi="Times New Roman" w:cs="Times New Roman"/>
          <w:color w:val="000000"/>
        </w:rPr>
        <w:t>Research.  Vol. 4, no. 4 (December):  401-418.</w:t>
      </w:r>
    </w:p>
    <w:p w14:paraId="51884093" w14:textId="289345F2" w:rsidR="009D536F" w:rsidRDefault="009D536F" w:rsidP="009A60B9">
      <w:pPr>
        <w:widowControl w:val="0"/>
        <w:ind w:left="720" w:hanging="720"/>
        <w:rPr>
          <w:rFonts w:ascii="Times New Roman" w:hAnsi="Times New Roman" w:cs="Times New Roman"/>
        </w:rPr>
      </w:pPr>
      <w:r w:rsidRPr="00900086">
        <w:rPr>
          <w:rFonts w:ascii="Times New Roman" w:hAnsi="Times New Roman" w:cs="Times New Roman"/>
        </w:rPr>
        <w:t>Jerome A. 2008. “Privatization and Enterprise Performance in Nigeria: Case Study of Some Privatized Enterprises.” AERC Research Paper 175. African Economic Research Consortium. Nairobi, Kenya.</w:t>
      </w:r>
    </w:p>
    <w:p w14:paraId="34EF2131" w14:textId="77777777" w:rsidR="009D536F" w:rsidRDefault="009D536F" w:rsidP="009A60B9">
      <w:pPr>
        <w:widowControl w:val="0"/>
        <w:ind w:left="720" w:hanging="720"/>
        <w:rPr>
          <w:rFonts w:ascii="Times New Roman" w:hAnsi="Times New Roman" w:cs="Times New Roman"/>
          <w:color w:val="000000"/>
        </w:rPr>
      </w:pPr>
    </w:p>
    <w:p w14:paraId="5CE33BC8" w14:textId="77777777" w:rsidR="00CC0A25" w:rsidRPr="00900086" w:rsidRDefault="00CC0A25" w:rsidP="00CC0A25">
      <w:pPr>
        <w:tabs>
          <w:tab w:val="left" w:pos="-720"/>
        </w:tabs>
        <w:suppressAutoHyphens/>
        <w:spacing w:after="120"/>
        <w:ind w:left="720" w:hanging="720"/>
        <w:rPr>
          <w:rFonts w:ascii="Times New Roman" w:hAnsi="Times New Roman" w:cs="Times New Roman"/>
        </w:rPr>
      </w:pPr>
      <w:r w:rsidRPr="00900086">
        <w:rPr>
          <w:rFonts w:ascii="Times New Roman" w:hAnsi="Times New Roman" w:cs="Times New Roman"/>
          <w:color w:val="000000"/>
        </w:rPr>
        <w:t xml:space="preserve">Nigeria. 1999. </w:t>
      </w:r>
      <w:r w:rsidRPr="00900086">
        <w:rPr>
          <w:rFonts w:ascii="Times New Roman" w:hAnsi="Times New Roman" w:cs="Times New Roman"/>
        </w:rPr>
        <w:t xml:space="preserve">Public Enterprises (Privatisation and Commercialisation) Act of 1999. No. 28. </w:t>
      </w:r>
    </w:p>
    <w:p w14:paraId="1479628B"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Nigeria. 2004. Chapter P38: Public Enterprises (Privatisation and Commercialisation) Act.</w:t>
      </w:r>
    </w:p>
    <w:p w14:paraId="0FC61DC7" w14:textId="77777777" w:rsidR="00CC0A25" w:rsidRPr="00900086" w:rsidRDefault="00CC0A25" w:rsidP="00CC0A25">
      <w:pPr>
        <w:ind w:left="720" w:hanging="720"/>
        <w:rPr>
          <w:rFonts w:ascii="Times New Roman" w:hAnsi="Times New Roman" w:cs="Times New Roman"/>
          <w:color w:val="000000"/>
        </w:rPr>
      </w:pPr>
    </w:p>
    <w:p w14:paraId="3E71265F"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lastRenderedPageBreak/>
        <w:t>Rwanda</w:t>
      </w:r>
    </w:p>
    <w:p w14:paraId="15D9E481" w14:textId="14A49D73" w:rsidR="00CC0A25" w:rsidRDefault="00CC0A25" w:rsidP="00CC0A25">
      <w:pPr>
        <w:ind w:left="720" w:hanging="720"/>
        <w:rPr>
          <w:rFonts w:ascii="Times New Roman" w:hAnsi="Times New Roman" w:cs="Times New Roman"/>
        </w:rPr>
      </w:pPr>
      <w:r w:rsidRPr="00900086">
        <w:rPr>
          <w:rFonts w:ascii="Times New Roman" w:hAnsi="Times New Roman" w:cs="Times New Roman"/>
        </w:rPr>
        <w:t xml:space="preserve">Bayigamba, R. Nd. Executive Secretary, Privatization Secretariat, Ministry of Finance and Economic Planning, Rwanda, Interview, </w:t>
      </w:r>
      <w:r w:rsidRPr="00900086">
        <w:rPr>
          <w:rFonts w:ascii="Times New Roman" w:hAnsi="Times New Roman" w:cs="Times New Roman"/>
          <w:i/>
        </w:rPr>
        <w:t>World Investment News</w:t>
      </w:r>
      <w:r w:rsidRPr="00900086">
        <w:rPr>
          <w:rFonts w:ascii="Times New Roman" w:hAnsi="Times New Roman" w:cs="Times New Roman"/>
        </w:rPr>
        <w:t xml:space="preserve"> online, </w:t>
      </w:r>
      <w:hyperlink r:id="rId14" w:history="1">
        <w:r w:rsidRPr="00900086">
          <w:rPr>
            <w:rStyle w:val="Hyperlink"/>
            <w:rFonts w:ascii="Times New Roman" w:hAnsi="Times New Roman" w:cs="Times New Roman"/>
          </w:rPr>
          <w:t>http://www.winne.com/rwanda/images/brd-old/to20.html</w:t>
        </w:r>
      </w:hyperlink>
      <w:r w:rsidRPr="00900086">
        <w:rPr>
          <w:rFonts w:ascii="Times New Roman" w:hAnsi="Times New Roman" w:cs="Times New Roman"/>
        </w:rPr>
        <w:t>, accessed 16 June 2014.</w:t>
      </w:r>
      <w:r w:rsidR="00386C54">
        <w:rPr>
          <w:rFonts w:ascii="Times New Roman" w:hAnsi="Times New Roman" w:cs="Times New Roman"/>
        </w:rPr>
        <w:t>.</w:t>
      </w:r>
    </w:p>
    <w:p w14:paraId="0F6AF0CD" w14:textId="77777777" w:rsidR="00386C54" w:rsidRDefault="00386C54" w:rsidP="00CC0A25">
      <w:pPr>
        <w:ind w:left="720" w:hanging="720"/>
        <w:rPr>
          <w:rFonts w:ascii="Times New Roman" w:hAnsi="Times New Roman" w:cs="Times New Roman"/>
        </w:rPr>
      </w:pPr>
    </w:p>
    <w:p w14:paraId="74ED2ACD" w14:textId="59DB1AC9" w:rsidR="007D3450" w:rsidRPr="00386C54" w:rsidRDefault="007D3450" w:rsidP="00386C54">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Rwanda.  1996. "Loi</w:t>
      </w:r>
      <w:r w:rsidRPr="007D3450">
        <w:rPr>
          <w:rFonts w:ascii="Times New Roman" w:hAnsi="Times New Roman" w:cs="Times New Roman"/>
          <w:color w:val="3B3B3B"/>
        </w:rPr>
        <w:t xml:space="preserve"> No 2 du 11 Mars 1996 Portant</w:t>
      </w:r>
      <w:r w:rsidRPr="00386C54">
        <w:rPr>
          <w:rFonts w:ascii="Times New Roman" w:hAnsi="Times New Roman" w:cs="Times New Roman"/>
          <w:color w:val="3B3B3B"/>
        </w:rPr>
        <w:t xml:space="preserve"> P</w:t>
      </w:r>
      <w:r>
        <w:rPr>
          <w:rFonts w:ascii="Times New Roman" w:hAnsi="Times New Roman" w:cs="Times New Roman"/>
          <w:color w:val="3B3B3B"/>
        </w:rPr>
        <w:t>rivatisation et</w:t>
      </w:r>
      <w:r w:rsidRPr="00386C54">
        <w:rPr>
          <w:rFonts w:ascii="Times New Roman" w:hAnsi="Times New Roman" w:cs="Times New Roman"/>
          <w:color w:val="3B3B3B"/>
        </w:rPr>
        <w:t xml:space="preserve"> I</w:t>
      </w:r>
      <w:r>
        <w:rPr>
          <w:rFonts w:ascii="Times New Roman" w:hAnsi="Times New Roman" w:cs="Times New Roman"/>
          <w:color w:val="3B3B3B"/>
        </w:rPr>
        <w:t xml:space="preserve">nvestissement Public </w:t>
      </w:r>
      <w:r w:rsidRPr="00386C54">
        <w:rPr>
          <w:rFonts w:ascii="Times New Roman" w:hAnsi="Times New Roman" w:cs="Times New Roman"/>
          <w:color w:val="3B3B3B"/>
        </w:rPr>
        <w:t>(J.0 n ° 6 du 15/3/1996)</w:t>
      </w:r>
      <w:r>
        <w:rPr>
          <w:rFonts w:ascii="Times New Roman" w:hAnsi="Times New Roman" w:cs="Times New Roman"/>
          <w:color w:val="3B3B3B"/>
        </w:rPr>
        <w:t>."  11 Mars 1996.</w:t>
      </w:r>
    </w:p>
    <w:p w14:paraId="59321D51"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Senegal</w:t>
      </w:r>
    </w:p>
    <w:p w14:paraId="729BA1C3"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Senegal. 1987. Loi no. 87-23 du 18 août 1987. Portant privatization d’entreprises. </w:t>
      </w:r>
      <w:r w:rsidRPr="00900086">
        <w:rPr>
          <w:rFonts w:ascii="Times New Roman" w:hAnsi="Times New Roman" w:cs="Times New Roman"/>
          <w:i/>
          <w:color w:val="000000"/>
        </w:rPr>
        <w:t>Journal Officiel de la R</w:t>
      </w:r>
      <w:r w:rsidRPr="00900086">
        <w:rPr>
          <w:rFonts w:ascii="Times New Roman" w:hAnsi="Times New Roman" w:cs="Times New Roman"/>
          <w:color w:val="000000"/>
        </w:rPr>
        <w:t>é</w:t>
      </w:r>
      <w:r w:rsidRPr="00900086">
        <w:rPr>
          <w:rFonts w:ascii="Times New Roman" w:hAnsi="Times New Roman" w:cs="Times New Roman"/>
          <w:i/>
          <w:color w:val="000000"/>
        </w:rPr>
        <w:t>publique du S</w:t>
      </w:r>
      <w:r w:rsidRPr="00900086">
        <w:rPr>
          <w:rFonts w:ascii="Times New Roman" w:hAnsi="Times New Roman" w:cs="Times New Roman"/>
          <w:color w:val="000000"/>
        </w:rPr>
        <w:t>énégal. 132 Année. No. 5192. 12 Septembre</w:t>
      </w:r>
    </w:p>
    <w:p w14:paraId="5799A0E9" w14:textId="77777777" w:rsidR="00CC0A25" w:rsidRPr="00900086" w:rsidRDefault="00CC0A25" w:rsidP="00CC0A25">
      <w:pPr>
        <w:ind w:left="720" w:hanging="720"/>
        <w:rPr>
          <w:rFonts w:ascii="Times New Roman" w:hAnsi="Times New Roman" w:cs="Times New Roman"/>
          <w:color w:val="000000"/>
        </w:rPr>
      </w:pPr>
    </w:p>
    <w:p w14:paraId="3BBEFA37"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Sierra Leone</w:t>
      </w:r>
    </w:p>
    <w:p w14:paraId="2891D537" w14:textId="77777777" w:rsidR="00CC0A25" w:rsidRPr="00900086" w:rsidRDefault="00CC0A25" w:rsidP="00CC0A25">
      <w:pPr>
        <w:tabs>
          <w:tab w:val="left" w:pos="-720"/>
        </w:tabs>
        <w:suppressAutoHyphens/>
        <w:ind w:left="720" w:hanging="720"/>
        <w:rPr>
          <w:rFonts w:ascii="Times New Roman" w:hAnsi="Times New Roman" w:cs="Times New Roman"/>
        </w:rPr>
      </w:pPr>
      <w:r w:rsidRPr="00900086">
        <w:rPr>
          <w:rFonts w:ascii="Times New Roman" w:hAnsi="Times New Roman" w:cs="Times New Roman"/>
        </w:rPr>
        <w:t>Sierra Leone. 2002. The National Commission for Privatisation Act. Supplement to Sierra Leone Gazette. Vol CXXXIII, no. 67, 7</w:t>
      </w:r>
      <w:r w:rsidRPr="00900086">
        <w:rPr>
          <w:rFonts w:ascii="Times New Roman" w:hAnsi="Times New Roman" w:cs="Times New Roman"/>
          <w:vertAlign w:val="superscript"/>
        </w:rPr>
        <w:t>th</w:t>
      </w:r>
      <w:r w:rsidRPr="00900086">
        <w:rPr>
          <w:rFonts w:ascii="Times New Roman" w:hAnsi="Times New Roman" w:cs="Times New Roman"/>
        </w:rPr>
        <w:t xml:space="preserve"> November. </w:t>
      </w:r>
    </w:p>
    <w:p w14:paraId="7DAD7286" w14:textId="77777777" w:rsidR="00CC0A25" w:rsidRPr="00900086" w:rsidRDefault="00CC0A25" w:rsidP="00CC0A25">
      <w:pPr>
        <w:tabs>
          <w:tab w:val="left" w:pos="-720"/>
        </w:tabs>
        <w:suppressAutoHyphens/>
        <w:ind w:left="720" w:hanging="720"/>
        <w:rPr>
          <w:rFonts w:ascii="Times New Roman" w:hAnsi="Times New Roman" w:cs="Times New Roman"/>
        </w:rPr>
      </w:pPr>
    </w:p>
    <w:p w14:paraId="020F6CD4"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South Africa</w:t>
      </w:r>
    </w:p>
    <w:p w14:paraId="24CEB518" w14:textId="7D03E5D4" w:rsidR="00CC0A25" w:rsidRPr="00900086" w:rsidRDefault="00CC0A25" w:rsidP="00CC0A25">
      <w:pPr>
        <w:widowControl w:val="0"/>
        <w:spacing w:after="120"/>
        <w:ind w:left="720" w:hanging="720"/>
        <w:rPr>
          <w:rFonts w:ascii="Times New Roman" w:hAnsi="Times New Roman" w:cs="Times New Roman"/>
        </w:rPr>
      </w:pPr>
      <w:r w:rsidRPr="00900086">
        <w:rPr>
          <w:rFonts w:ascii="Times New Roman" w:hAnsi="Times New Roman" w:cs="Times New Roman"/>
        </w:rPr>
        <w:t xml:space="preserve">South Africa. </w:t>
      </w:r>
      <w:r w:rsidR="002B604B" w:rsidRPr="00900086">
        <w:rPr>
          <w:rFonts w:ascii="Times New Roman" w:hAnsi="Times New Roman" w:cs="Times New Roman"/>
        </w:rPr>
        <w:t>1996. “Growth, Employment and Redistribution: A Macroeconomic Strategy.” Department of Finance</w:t>
      </w:r>
      <w:r w:rsidR="002B604B" w:rsidRPr="00900086" w:rsidDel="002B604B">
        <w:rPr>
          <w:rFonts w:ascii="Times New Roman" w:hAnsi="Times New Roman" w:cs="Times New Roman"/>
        </w:rPr>
        <w:t xml:space="preserve"> </w:t>
      </w:r>
    </w:p>
    <w:p w14:paraId="2906166A" w14:textId="77777777" w:rsidR="00CC0A25" w:rsidRPr="00900086" w:rsidRDefault="00CC0A25" w:rsidP="00CC0A25">
      <w:pPr>
        <w:widowControl w:val="0"/>
        <w:spacing w:after="120"/>
        <w:ind w:left="720" w:hanging="720"/>
        <w:rPr>
          <w:rFonts w:ascii="Times New Roman" w:hAnsi="Times New Roman" w:cs="Times New Roman"/>
        </w:rPr>
      </w:pPr>
      <w:r w:rsidRPr="00900086">
        <w:rPr>
          <w:rFonts w:ascii="Times New Roman" w:hAnsi="Times New Roman" w:cs="Times New Roman"/>
        </w:rPr>
        <w:t>__________. 2000. “A Summary of the Policy Framework for an Accelerated Agenda for the Restructuring of State-owned Enterprises.” Department of Public Enterprises.</w:t>
      </w:r>
    </w:p>
    <w:p w14:paraId="54E82BFB" w14:textId="77777777" w:rsidR="00CC0A25" w:rsidRDefault="00CC0A25" w:rsidP="00CC0A25">
      <w:pPr>
        <w:widowControl w:val="0"/>
        <w:spacing w:after="120"/>
        <w:ind w:left="720" w:hanging="720"/>
        <w:rPr>
          <w:rFonts w:ascii="Times New Roman" w:hAnsi="Times New Roman" w:cs="Times New Roman"/>
        </w:rPr>
      </w:pPr>
      <w:r w:rsidRPr="00900086">
        <w:rPr>
          <w:rFonts w:ascii="Times New Roman" w:hAnsi="Times New Roman" w:cs="Times New Roman"/>
        </w:rPr>
        <w:t>__________. 2008. “Analysis of the Performance of State Owned Enterprises During the Period 2003/4-2007/8.” Department of Public Enterprises.</w:t>
      </w:r>
    </w:p>
    <w:p w14:paraId="49CF9F26" w14:textId="50C34097" w:rsidR="002B604B" w:rsidRPr="00900086" w:rsidRDefault="002B604B" w:rsidP="00CC0A25">
      <w:pPr>
        <w:widowControl w:val="0"/>
        <w:spacing w:after="120"/>
        <w:ind w:left="720" w:hanging="720"/>
        <w:rPr>
          <w:rFonts w:ascii="Times New Roman" w:hAnsi="Times New Roman" w:cs="Times New Roman"/>
        </w:rPr>
      </w:pPr>
      <w:r>
        <w:rPr>
          <w:rFonts w:ascii="Times New Roman" w:hAnsi="Times New Roman" w:cs="Times New Roman"/>
        </w:rPr>
        <w:t xml:space="preserve">__________. </w:t>
      </w:r>
      <w:r w:rsidRPr="00900086">
        <w:rPr>
          <w:rFonts w:ascii="Times New Roman" w:hAnsi="Times New Roman" w:cs="Times New Roman"/>
        </w:rPr>
        <w:t>2011. “Our History.” Department of Public Enterprises Accessed 11/15/2011. (</w:t>
      </w:r>
      <w:hyperlink r:id="rId15" w:history="1">
        <w:r w:rsidRPr="00900086">
          <w:rPr>
            <w:rStyle w:val="Hyperlink"/>
            <w:rFonts w:ascii="Times New Roman" w:hAnsi="Times New Roman" w:cs="Times New Roman"/>
          </w:rPr>
          <w:t>http://www.dpe.gov.za</w:t>
        </w:r>
      </w:hyperlink>
      <w:r w:rsidRPr="00900086">
        <w:rPr>
          <w:rFonts w:ascii="Times New Roman" w:hAnsi="Times New Roman" w:cs="Times New Roman"/>
        </w:rPr>
        <w:t>).</w:t>
      </w:r>
    </w:p>
    <w:p w14:paraId="69EC12F3" w14:textId="77777777" w:rsidR="00CC0A25" w:rsidRPr="00900086" w:rsidRDefault="00CC0A25" w:rsidP="00CC0A25">
      <w:pPr>
        <w:widowControl w:val="0"/>
        <w:ind w:left="720" w:hanging="720"/>
        <w:rPr>
          <w:rFonts w:ascii="Times New Roman" w:hAnsi="Times New Roman" w:cs="Times New Roman"/>
        </w:rPr>
      </w:pPr>
    </w:p>
    <w:p w14:paraId="209FDB28"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 xml:space="preserve">Tanzania </w:t>
      </w:r>
    </w:p>
    <w:p w14:paraId="2FA75012" w14:textId="77777777" w:rsidR="00CC0A25" w:rsidRPr="00900086" w:rsidRDefault="00CC0A25" w:rsidP="00CC0A25">
      <w:pPr>
        <w:widowControl w:val="0"/>
        <w:ind w:left="720" w:hanging="720"/>
        <w:rPr>
          <w:rFonts w:ascii="Times New Roman" w:hAnsi="Times New Roman" w:cs="Times New Roman"/>
        </w:rPr>
      </w:pPr>
      <w:r w:rsidRPr="00900086">
        <w:rPr>
          <w:rFonts w:ascii="Times New Roman" w:hAnsi="Times New Roman" w:cs="Times New Roman"/>
        </w:rPr>
        <w:t>Tanzania. 1993. “An Act to amend, the Public Corporations Act, 1992. No. 16. December 21.</w:t>
      </w:r>
    </w:p>
    <w:p w14:paraId="40B78167" w14:textId="77777777" w:rsidR="00CC0A25" w:rsidRPr="00900086" w:rsidRDefault="00CC0A25" w:rsidP="00CC0A25">
      <w:pPr>
        <w:ind w:left="720" w:hanging="720"/>
        <w:rPr>
          <w:rFonts w:ascii="Times New Roman" w:hAnsi="Times New Roman" w:cs="Times New Roman"/>
          <w:color w:val="000000"/>
        </w:rPr>
      </w:pPr>
    </w:p>
    <w:p w14:paraId="5AEC3577"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 xml:space="preserve">Togo. </w:t>
      </w:r>
    </w:p>
    <w:p w14:paraId="32CC0965" w14:textId="77777777" w:rsidR="00CC0A25" w:rsidRPr="00900086" w:rsidRDefault="00CC0A25" w:rsidP="00CC0A25">
      <w:pPr>
        <w:ind w:left="720" w:hanging="720"/>
        <w:rPr>
          <w:rFonts w:ascii="Times New Roman" w:hAnsi="Times New Roman" w:cs="Times New Roman"/>
          <w:color w:val="000000"/>
        </w:rPr>
      </w:pPr>
      <w:r w:rsidRPr="00900086">
        <w:rPr>
          <w:rFonts w:ascii="Times New Roman" w:hAnsi="Times New Roman" w:cs="Times New Roman"/>
          <w:color w:val="000000"/>
        </w:rPr>
        <w:t xml:space="preserve">Togo. 1994. “Pris en Application De L’Ordonnance no 94-002/PR Portant Desengagement de L’Etat et D’Autres Personnes Morales de Droit Public des Enterprises.” Decree No. 94-038. 10 June. </w:t>
      </w:r>
      <w:r w:rsidRPr="00900086">
        <w:rPr>
          <w:rFonts w:ascii="Times New Roman" w:hAnsi="Times New Roman" w:cs="Times New Roman"/>
          <w:i/>
          <w:color w:val="000000"/>
        </w:rPr>
        <w:t>Journal Oficiel de la Republique Togolaise</w:t>
      </w:r>
      <w:r w:rsidRPr="00900086">
        <w:rPr>
          <w:rFonts w:ascii="Times New Roman" w:hAnsi="Times New Roman" w:cs="Times New Roman"/>
          <w:color w:val="000000"/>
        </w:rPr>
        <w:t xml:space="preserve">. </w:t>
      </w:r>
    </w:p>
    <w:p w14:paraId="5891487F" w14:textId="77777777" w:rsidR="00CC0A25" w:rsidRPr="00900086" w:rsidRDefault="00CC0A25" w:rsidP="00CC0A25">
      <w:pPr>
        <w:ind w:left="720" w:hanging="720"/>
        <w:rPr>
          <w:rFonts w:ascii="Times New Roman" w:hAnsi="Times New Roman" w:cs="Times New Roman"/>
          <w:color w:val="000000"/>
        </w:rPr>
      </w:pPr>
    </w:p>
    <w:p w14:paraId="5897240D"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Tunisia</w:t>
      </w:r>
    </w:p>
    <w:p w14:paraId="028FD721" w14:textId="467D866D" w:rsidR="00BB3194" w:rsidRDefault="00CC0A25" w:rsidP="00CC0A25">
      <w:pPr>
        <w:ind w:left="720" w:hanging="720"/>
        <w:rPr>
          <w:rFonts w:ascii="Times New Roman" w:hAnsi="Times New Roman" w:cs="Times New Roman"/>
        </w:rPr>
      </w:pPr>
      <w:r w:rsidRPr="00900086">
        <w:rPr>
          <w:rFonts w:ascii="Times New Roman" w:hAnsi="Times New Roman" w:cs="Times New Roman"/>
          <w:color w:val="000000"/>
        </w:rPr>
        <w:t>1989. “</w:t>
      </w:r>
      <w:r w:rsidRPr="00900086">
        <w:rPr>
          <w:rFonts w:ascii="Times New Roman" w:hAnsi="Times New Roman" w:cs="Times New Roman"/>
        </w:rPr>
        <w:t>Loi n°89-9 du 1er février 1989 relative aux participations, entreprises et établissements publics.”</w:t>
      </w:r>
    </w:p>
    <w:p w14:paraId="589ACADA" w14:textId="77777777" w:rsidR="00AF6EB8" w:rsidRDefault="00AF6EB8" w:rsidP="00CC0A25">
      <w:pPr>
        <w:ind w:left="720" w:hanging="720"/>
        <w:rPr>
          <w:rFonts w:ascii="Times New Roman" w:hAnsi="Times New Roman" w:cs="Times New Roman"/>
        </w:rPr>
      </w:pPr>
    </w:p>
    <w:p w14:paraId="00CF37BA" w14:textId="77777777" w:rsidR="00BB3194" w:rsidRDefault="00BB3194" w:rsidP="00386C54">
      <w:pPr>
        <w:widowControl w:val="0"/>
        <w:autoSpaceDE w:val="0"/>
        <w:autoSpaceDN w:val="0"/>
        <w:adjustRightInd w:val="0"/>
        <w:ind w:left="720" w:hanging="720"/>
        <w:rPr>
          <w:rFonts w:ascii="Times" w:hAnsi="Times" w:cs="Times"/>
        </w:rPr>
      </w:pPr>
      <w:r>
        <w:rPr>
          <w:rFonts w:ascii="Times New Roman" w:hAnsi="Times New Roman" w:cs="Times New Roman"/>
        </w:rPr>
        <w:t>1996.  "</w:t>
      </w:r>
      <w:r w:rsidRPr="00386C54">
        <w:rPr>
          <w:rFonts w:ascii="Times New Roman" w:hAnsi="Times New Roman" w:cs="Times New Roman"/>
          <w:bCs/>
        </w:rPr>
        <w:t>Décret n</w:t>
      </w:r>
      <w:r w:rsidRPr="00386C54">
        <w:rPr>
          <w:rFonts w:ascii="Times New Roman" w:hAnsi="Times New Roman" w:cs="Times New Roman"/>
        </w:rPr>
        <w:t></w:t>
      </w:r>
      <w:r w:rsidRPr="00386C54">
        <w:rPr>
          <w:rFonts w:ascii="Times New Roman" w:hAnsi="Times New Roman" w:cs="Times New Roman"/>
        </w:rPr>
        <w:t></w:t>
      </w:r>
      <w:r w:rsidRPr="00386C54">
        <w:rPr>
          <w:rFonts w:ascii="Times New Roman" w:hAnsi="Times New Roman" w:cs="Times New Roman"/>
          <w:bCs/>
        </w:rPr>
        <w:t>96-271 du 14 février 1996, portant organisation du ministère du développement économique.</w:t>
      </w:r>
      <w:r>
        <w:rPr>
          <w:rFonts w:ascii="Times New Roman" w:hAnsi="Times New Roman" w:cs="Times New Roman"/>
          <w:bCs/>
        </w:rPr>
        <w:t xml:space="preserve">"  </w:t>
      </w:r>
      <w:r w:rsidRPr="00386C54">
        <w:rPr>
          <w:rFonts w:ascii="Times New Roman" w:hAnsi="Times New Roman" w:cs="Times New Roman"/>
          <w:i/>
        </w:rPr>
        <w:t>Journal Officiel de la République Tunisienne</w:t>
      </w:r>
      <w:r>
        <w:rPr>
          <w:rFonts w:ascii="Times New Roman" w:hAnsi="Times New Roman" w:cs="Times New Roman"/>
        </w:rPr>
        <w:t>, 19, 5 March 1996.</w:t>
      </w:r>
    </w:p>
    <w:p w14:paraId="46513539" w14:textId="6D91BFF0" w:rsidR="00644F40" w:rsidRPr="009A60B9" w:rsidRDefault="00BB3194" w:rsidP="00386C54">
      <w:pPr>
        <w:widowControl w:val="0"/>
        <w:autoSpaceDE w:val="0"/>
        <w:autoSpaceDN w:val="0"/>
        <w:adjustRightInd w:val="0"/>
        <w:ind w:left="720" w:hanging="720"/>
        <w:rPr>
          <w:rFonts w:ascii="Times" w:hAnsi="Times" w:cs="Times"/>
        </w:rPr>
      </w:pPr>
      <w:r>
        <w:rPr>
          <w:rFonts w:ascii="Times New Roman" w:hAnsi="Times New Roman" w:cs="Times New Roman"/>
        </w:rPr>
        <w:t>1997.  "</w:t>
      </w:r>
      <w:r w:rsidRPr="00386C54">
        <w:rPr>
          <w:rFonts w:ascii="Times New Roman" w:hAnsi="Times New Roman" w:cs="Times New Roman"/>
          <w:bCs/>
        </w:rPr>
        <w:t>Décret n</w:t>
      </w:r>
      <w:r w:rsidRPr="00386C54">
        <w:rPr>
          <w:rFonts w:ascii="Times New Roman" w:hAnsi="Times New Roman" w:cs="Times New Roman"/>
        </w:rPr>
        <w:t></w:t>
      </w:r>
      <w:r w:rsidRPr="00386C54">
        <w:rPr>
          <w:rFonts w:ascii="Times New Roman" w:hAnsi="Times New Roman" w:cs="Times New Roman"/>
        </w:rPr>
        <w:t></w:t>
      </w:r>
      <w:r w:rsidRPr="00386C54">
        <w:rPr>
          <w:rFonts w:ascii="Times New Roman" w:hAnsi="Times New Roman" w:cs="Times New Roman"/>
          <w:bCs/>
        </w:rPr>
        <w:t>97-410 du 21 février 1997, fixant la composition et le fonctionnement de la commission d'assainissement et de restructuration des entreprises à participations publiques ainsi que la composition et les attributions du comité technique de privatisation.</w:t>
      </w:r>
      <w:r>
        <w:rPr>
          <w:rFonts w:ascii="Times New Roman" w:hAnsi="Times New Roman" w:cs="Times New Roman"/>
          <w:bCs/>
        </w:rPr>
        <w:t xml:space="preserve">"  </w:t>
      </w:r>
      <w:r w:rsidRPr="00C03E09">
        <w:rPr>
          <w:rFonts w:ascii="Times New Roman" w:hAnsi="Times New Roman" w:cs="Times New Roman"/>
          <w:i/>
        </w:rPr>
        <w:t>Journal Officiel de la République Tunisienne</w:t>
      </w:r>
      <w:r>
        <w:rPr>
          <w:rFonts w:ascii="Times New Roman" w:hAnsi="Times New Roman" w:cs="Times New Roman"/>
        </w:rPr>
        <w:t xml:space="preserve">, 17, </w:t>
      </w:r>
      <w:r w:rsidRPr="00386C54">
        <w:rPr>
          <w:rFonts w:ascii="Times New Roman" w:hAnsi="Times New Roman" w:cs="Times New Roman"/>
          <w:bCs/>
        </w:rPr>
        <w:t>28 février 1997</w:t>
      </w:r>
      <w:r>
        <w:rPr>
          <w:rFonts w:ascii="Times New Roman" w:hAnsi="Times New Roman" w:cs="Times New Roman"/>
          <w:bCs/>
        </w:rPr>
        <w:t>.</w:t>
      </w:r>
    </w:p>
    <w:p w14:paraId="2206E61E" w14:textId="77777777" w:rsidR="00CC0A25" w:rsidRPr="00900086" w:rsidRDefault="00CC0A25" w:rsidP="00386C54">
      <w:pPr>
        <w:widowControl w:val="0"/>
        <w:autoSpaceDE w:val="0"/>
        <w:autoSpaceDN w:val="0"/>
        <w:adjustRightInd w:val="0"/>
        <w:ind w:left="720" w:hanging="720"/>
        <w:rPr>
          <w:rFonts w:ascii="Times New Roman" w:hAnsi="Times New Roman" w:cs="Times New Roman"/>
          <w:color w:val="000000"/>
        </w:rPr>
      </w:pPr>
    </w:p>
    <w:p w14:paraId="7DB6C40B"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Uganda</w:t>
      </w:r>
    </w:p>
    <w:p w14:paraId="4D8FBD49" w14:textId="049205E8" w:rsidR="00961054" w:rsidRDefault="00961054" w:rsidP="00CC0A25">
      <w:pPr>
        <w:widowControl w:val="0"/>
        <w:spacing w:after="120"/>
        <w:ind w:left="720" w:hanging="720"/>
        <w:rPr>
          <w:rFonts w:ascii="Times New Roman" w:hAnsi="Times New Roman" w:cs="Times New Roman"/>
          <w:color w:val="000000"/>
        </w:rPr>
      </w:pPr>
      <w:r>
        <w:rPr>
          <w:rFonts w:ascii="Times New Roman" w:hAnsi="Times New Roman" w:cs="Times New Roman"/>
          <w:color w:val="000000"/>
        </w:rPr>
        <w:t xml:space="preserve">Uganda. </w:t>
      </w:r>
      <w:r w:rsidRPr="00900086">
        <w:rPr>
          <w:rFonts w:ascii="Times New Roman" w:hAnsi="Times New Roman" w:cs="Times New Roman"/>
          <w:color w:val="000000"/>
        </w:rPr>
        <w:t>1993. The Public Enterprise Reform and Divestiture Statute.</w:t>
      </w:r>
    </w:p>
    <w:p w14:paraId="6B7F4FF2" w14:textId="77777777" w:rsidR="00961054" w:rsidRPr="00900086" w:rsidRDefault="00961054" w:rsidP="00961054">
      <w:pPr>
        <w:widowControl w:val="0"/>
        <w:spacing w:after="120"/>
        <w:ind w:left="720" w:hanging="720"/>
        <w:rPr>
          <w:rFonts w:ascii="Times New Roman" w:hAnsi="Times New Roman" w:cs="Times New Roman"/>
          <w:color w:val="000000"/>
        </w:rPr>
      </w:pPr>
      <w:r>
        <w:rPr>
          <w:rFonts w:ascii="Times New Roman" w:hAnsi="Times New Roman" w:cs="Times New Roman"/>
          <w:color w:val="000000"/>
        </w:rPr>
        <w:t xml:space="preserve">Uganda. </w:t>
      </w:r>
      <w:r w:rsidRPr="00900086">
        <w:rPr>
          <w:rFonts w:ascii="Times New Roman" w:hAnsi="Times New Roman" w:cs="Times New Roman"/>
          <w:color w:val="000000"/>
        </w:rPr>
        <w:t>1997. The Public Enterprises Reform and Divestiture (Amendment of Second Schedules Instrument. S. I. No. 12.</w:t>
      </w:r>
    </w:p>
    <w:p w14:paraId="7BB281AE" w14:textId="0A25E999" w:rsidR="00961054" w:rsidRDefault="00961054" w:rsidP="00CC0A25">
      <w:pPr>
        <w:widowControl w:val="0"/>
        <w:spacing w:after="120"/>
        <w:ind w:left="720" w:hanging="720"/>
        <w:rPr>
          <w:rFonts w:ascii="Times New Roman" w:hAnsi="Times New Roman" w:cs="Times New Roman"/>
          <w:color w:val="000000"/>
        </w:rPr>
      </w:pPr>
    </w:p>
    <w:p w14:paraId="678BCE35" w14:textId="77777777" w:rsidR="00CC0A25" w:rsidRPr="00900086" w:rsidRDefault="00CC0A25" w:rsidP="00CC0A25">
      <w:pPr>
        <w:widowControl w:val="0"/>
        <w:spacing w:after="120"/>
        <w:ind w:left="720" w:hanging="720"/>
        <w:rPr>
          <w:rFonts w:ascii="Times New Roman" w:hAnsi="Times New Roman" w:cs="Times New Roman"/>
          <w:color w:val="000000"/>
        </w:rPr>
      </w:pPr>
      <w:r w:rsidRPr="00900086">
        <w:rPr>
          <w:rFonts w:ascii="Times New Roman" w:hAnsi="Times New Roman" w:cs="Times New Roman"/>
          <w:color w:val="000000"/>
        </w:rPr>
        <w:t>Uganda. 2000. The Public Enterprise Reform and Divestiture (Amendment) Act 2000.</w:t>
      </w:r>
    </w:p>
    <w:p w14:paraId="38FDA032" w14:textId="77777777" w:rsidR="00CC0A25" w:rsidRPr="00900086" w:rsidRDefault="00CC0A25" w:rsidP="00CC0A25">
      <w:pPr>
        <w:widowControl w:val="0"/>
        <w:ind w:left="720" w:hanging="720"/>
        <w:rPr>
          <w:rFonts w:ascii="Times New Roman" w:hAnsi="Times New Roman" w:cs="Times New Roman"/>
          <w:color w:val="000000"/>
        </w:rPr>
      </w:pPr>
    </w:p>
    <w:p w14:paraId="74F76C3D"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Zambia</w:t>
      </w:r>
    </w:p>
    <w:p w14:paraId="53004457" w14:textId="77777777" w:rsidR="00CC0A25" w:rsidRPr="00900086" w:rsidRDefault="00CC0A25" w:rsidP="00CC0A25">
      <w:pPr>
        <w:widowControl w:val="0"/>
        <w:autoSpaceDE w:val="0"/>
        <w:autoSpaceDN w:val="0"/>
        <w:adjustRightInd w:val="0"/>
        <w:ind w:left="720" w:hanging="720"/>
        <w:rPr>
          <w:rFonts w:ascii="Times New Roman" w:hAnsi="Times New Roman" w:cs="Times New Roman"/>
        </w:rPr>
      </w:pPr>
      <w:r w:rsidRPr="00900086">
        <w:rPr>
          <w:rFonts w:ascii="Times New Roman" w:hAnsi="Times New Roman" w:cs="Times New Roman"/>
        </w:rPr>
        <w:t>Zambia. 1992. The Privatisation Act. Chapter 386 of the Laws of Zambia. No. 21. July 4.</w:t>
      </w:r>
    </w:p>
    <w:p w14:paraId="4C4A91E6" w14:textId="77777777" w:rsidR="00CC0A25" w:rsidRPr="00900086" w:rsidRDefault="00CC0A25" w:rsidP="00CC0A25">
      <w:pPr>
        <w:ind w:left="720" w:hanging="720"/>
        <w:rPr>
          <w:rFonts w:ascii="Times New Roman" w:hAnsi="Times New Roman" w:cs="Times New Roman"/>
          <w:color w:val="000000"/>
        </w:rPr>
      </w:pPr>
    </w:p>
    <w:p w14:paraId="63CC0BA7" w14:textId="77777777" w:rsidR="00CC0A25" w:rsidRPr="00900086" w:rsidRDefault="00CC0A25" w:rsidP="00CC0A25">
      <w:pPr>
        <w:keepNext/>
        <w:ind w:left="720" w:hanging="720"/>
        <w:rPr>
          <w:rFonts w:ascii="Times New Roman" w:hAnsi="Times New Roman" w:cs="Times New Roman"/>
          <w:u w:val="single"/>
        </w:rPr>
      </w:pPr>
      <w:r w:rsidRPr="00900086">
        <w:rPr>
          <w:rFonts w:ascii="Times New Roman" w:hAnsi="Times New Roman" w:cs="Times New Roman"/>
          <w:u w:val="single"/>
        </w:rPr>
        <w:t>Zimbabwe</w:t>
      </w:r>
    </w:p>
    <w:p w14:paraId="25E80379" w14:textId="77777777" w:rsidR="00CC0A25" w:rsidRPr="00900086" w:rsidRDefault="00CC0A25" w:rsidP="00CC0A25">
      <w:pPr>
        <w:spacing w:after="120"/>
        <w:ind w:left="720" w:hanging="720"/>
        <w:rPr>
          <w:rFonts w:ascii="Times New Roman" w:hAnsi="Times New Roman" w:cs="Times New Roman"/>
          <w:color w:val="000000"/>
        </w:rPr>
      </w:pPr>
      <w:r w:rsidRPr="00900086">
        <w:rPr>
          <w:rFonts w:ascii="Times New Roman" w:hAnsi="Times New Roman" w:cs="Times New Roman"/>
          <w:color w:val="000000"/>
        </w:rPr>
        <w:t>International Monetary Fund. 2003. “Zimbabwe: Selected Issues and Statistical Appendices,” Staff Country Reports. African Department. 27 May.</w:t>
      </w:r>
    </w:p>
    <w:p w14:paraId="50DA11D2" w14:textId="44BB4D5A" w:rsidR="00CC0A25" w:rsidRPr="00900086" w:rsidRDefault="00CC0A25" w:rsidP="00CC0A25">
      <w:pPr>
        <w:widowControl w:val="0"/>
        <w:spacing w:after="120"/>
        <w:ind w:left="720" w:hanging="720"/>
        <w:rPr>
          <w:rFonts w:ascii="Times New Roman" w:hAnsi="Times New Roman" w:cs="Times New Roman"/>
          <w:color w:val="000000"/>
        </w:rPr>
      </w:pPr>
      <w:r w:rsidRPr="00900086">
        <w:rPr>
          <w:rFonts w:ascii="Times New Roman" w:hAnsi="Times New Roman" w:cs="Times New Roman"/>
          <w:color w:val="000000"/>
        </w:rPr>
        <w:t>Reserve Bank of Zimbabwe. 2007</w:t>
      </w:r>
      <w:r w:rsidR="00961054">
        <w:rPr>
          <w:rFonts w:ascii="Times New Roman" w:hAnsi="Times New Roman" w:cs="Times New Roman"/>
          <w:color w:val="000000"/>
        </w:rPr>
        <w:t>.</w:t>
      </w:r>
      <w:r w:rsidRPr="00900086">
        <w:rPr>
          <w:rFonts w:ascii="Times New Roman" w:hAnsi="Times New Roman" w:cs="Times New Roman"/>
          <w:color w:val="000000"/>
        </w:rPr>
        <w:t xml:space="preserve"> “Unlocking Value through Privatisation of Targeted Enterprises.” Supplement to the January 2007 Monetary Policy Review Statement. 31 January.</w:t>
      </w:r>
    </w:p>
    <w:p w14:paraId="58EA8F76" w14:textId="77777777" w:rsidR="00CC0A25" w:rsidRPr="00900086" w:rsidRDefault="00CC0A25" w:rsidP="00CC0A25">
      <w:pPr>
        <w:rPr>
          <w:rFonts w:ascii="Times New Roman" w:hAnsi="Times New Roman" w:cs="Times New Roman"/>
        </w:rPr>
      </w:pPr>
      <w:r w:rsidRPr="00900086">
        <w:rPr>
          <w:rFonts w:ascii="Times New Roman" w:hAnsi="Times New Roman" w:cs="Times New Roman"/>
        </w:rPr>
        <w:br w:type="page"/>
      </w:r>
    </w:p>
    <w:p w14:paraId="398E8A78" w14:textId="77777777" w:rsidR="00CC0A25" w:rsidRPr="00314AE5" w:rsidRDefault="00CC0A25" w:rsidP="00CC0A25">
      <w:pPr>
        <w:spacing w:line="480" w:lineRule="auto"/>
        <w:rPr>
          <w:rFonts w:ascii="Times New Roman" w:hAnsi="Times New Roman" w:cs="Times New Roman"/>
          <w:b/>
        </w:rPr>
      </w:pPr>
      <w:r w:rsidRPr="00314AE5">
        <w:rPr>
          <w:rFonts w:ascii="Times New Roman" w:hAnsi="Times New Roman" w:cs="Times New Roman"/>
          <w:b/>
        </w:rPr>
        <w:lastRenderedPageBreak/>
        <w:t>Appendix C: Descriptive statistics and propensity weight estimation</w:t>
      </w:r>
    </w:p>
    <w:p w14:paraId="2C62E6F3" w14:textId="77777777" w:rsidR="00CC0A25" w:rsidRPr="00900086" w:rsidRDefault="00CC0A25" w:rsidP="00CC0A25">
      <w:pPr>
        <w:tabs>
          <w:tab w:val="left" w:pos="8178"/>
        </w:tabs>
        <w:rPr>
          <w:rFonts w:ascii="Times New Roman" w:hAnsi="Times New Roman" w:cs="Times New Roman"/>
          <w:iCs/>
        </w:rPr>
      </w:pPr>
      <w:r w:rsidRPr="00314AE5">
        <w:rPr>
          <w:rFonts w:ascii="Times New Roman" w:hAnsi="Times New Roman" w:cs="Times New Roman"/>
          <w:i/>
          <w:iCs/>
        </w:rPr>
        <w:t>Descriptive statistics.</w:t>
      </w:r>
      <w:r w:rsidRPr="00900086">
        <w:rPr>
          <w:rFonts w:ascii="Times New Roman" w:hAnsi="Times New Roman" w:cs="Times New Roman"/>
          <w:b/>
          <w:iCs/>
        </w:rPr>
        <w:t xml:space="preserve"> </w:t>
      </w:r>
      <w:r w:rsidRPr="00900086">
        <w:rPr>
          <w:rFonts w:ascii="Times New Roman" w:hAnsi="Times New Roman" w:cs="Times New Roman"/>
          <w:iCs/>
        </w:rPr>
        <w:t>Table C1 offers a descriptive summary of the data used in the estimation models presented in this paper and appendices.</w:t>
      </w:r>
    </w:p>
    <w:p w14:paraId="6942CB72" w14:textId="77777777" w:rsidR="00CC0A25" w:rsidRPr="00900086" w:rsidRDefault="00CC0A25" w:rsidP="00CC0A25">
      <w:pPr>
        <w:tabs>
          <w:tab w:val="left" w:pos="8178"/>
        </w:tabs>
        <w:rPr>
          <w:rFonts w:ascii="Times New Roman" w:hAnsi="Times New Roman" w:cs="Times New Roman"/>
          <w:iCs/>
          <w:u w:val="single"/>
        </w:rPr>
      </w:pPr>
    </w:p>
    <w:p w14:paraId="4283C615" w14:textId="77777777" w:rsidR="00CC0A25" w:rsidRPr="00900086" w:rsidRDefault="00CC0A25" w:rsidP="00CC0A25">
      <w:pPr>
        <w:tabs>
          <w:tab w:val="left" w:pos="8178"/>
        </w:tabs>
        <w:rPr>
          <w:rFonts w:ascii="Times New Roman" w:hAnsi="Times New Roman" w:cs="Times New Roman"/>
          <w:iCs/>
          <w:u w:val="single"/>
        </w:rPr>
      </w:pPr>
      <w:r w:rsidRPr="00C7574F">
        <w:rPr>
          <w:rFonts w:ascii="Times New Roman" w:hAnsi="Times New Roman" w:cs="Times New Roman"/>
          <w:iCs/>
          <w:u w:val="single"/>
        </w:rPr>
        <w:t>Table C1: Descriptive statistics</w:t>
      </w:r>
    </w:p>
    <w:p w14:paraId="5452DC29" w14:textId="77777777" w:rsidR="00CC0A25" w:rsidRPr="00900086" w:rsidRDefault="00CC0A25" w:rsidP="00CC0A25">
      <w:pPr>
        <w:spacing w:after="120"/>
        <w:rPr>
          <w:rFonts w:ascii="Times New Roman" w:eastAsia="Calibri" w:hAnsi="Times New Roman" w:cs="Times New Roman"/>
          <w:i/>
        </w:rPr>
      </w:pPr>
      <w:r w:rsidRPr="00900086">
        <w:rPr>
          <w:rFonts w:ascii="Times New Roman" w:eastAsia="Calibri" w:hAnsi="Times New Roman" w:cs="Times New Roman"/>
        </w:rPr>
        <w:tab/>
      </w:r>
      <w:r w:rsidRPr="00900086">
        <w:rPr>
          <w:rFonts w:ascii="Times New Roman" w:eastAsia="Calibri" w:hAnsi="Times New Roman" w:cs="Times New Roman"/>
          <w:i/>
        </w:rPr>
        <w:t>29 African countries, 1990-2007 (1990 base year).</w:t>
      </w:r>
    </w:p>
    <w:p w14:paraId="09D4E425" w14:textId="5BEC291A" w:rsidR="00CC0A25" w:rsidRPr="00900086" w:rsidRDefault="00C7574F" w:rsidP="00CC0A25">
      <w:pPr>
        <w:rPr>
          <w:rFonts w:ascii="Times New Roman" w:hAnsi="Times New Roman" w:cs="Times New Roman"/>
          <w:iCs/>
        </w:rPr>
      </w:pPr>
      <w:r w:rsidRPr="00C7574F">
        <w:rPr>
          <w:noProof/>
        </w:rPr>
        <w:drawing>
          <wp:inline distT="0" distB="0" distL="0" distR="0" wp14:anchorId="2D26CED4" wp14:editId="10B00C46">
            <wp:extent cx="5943600" cy="24063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06396"/>
                    </a:xfrm>
                    <a:prstGeom prst="rect">
                      <a:avLst/>
                    </a:prstGeom>
                    <a:noFill/>
                    <a:ln>
                      <a:noFill/>
                    </a:ln>
                  </pic:spPr>
                </pic:pic>
              </a:graphicData>
            </a:graphic>
          </wp:inline>
        </w:drawing>
      </w:r>
    </w:p>
    <w:p w14:paraId="47410B59" w14:textId="77777777" w:rsidR="00CC0A25" w:rsidRPr="00900086" w:rsidRDefault="00CC0A25" w:rsidP="00CC0A25">
      <w:pPr>
        <w:spacing w:before="120"/>
        <w:rPr>
          <w:rFonts w:ascii="Times New Roman" w:hAnsi="Times New Roman" w:cs="Times New Roman"/>
          <w:iCs/>
        </w:rPr>
      </w:pPr>
    </w:p>
    <w:p w14:paraId="255D401B" w14:textId="77777777" w:rsidR="00CC0A25" w:rsidRPr="00900086" w:rsidRDefault="00CC0A25" w:rsidP="00CC0A25">
      <w:pPr>
        <w:tabs>
          <w:tab w:val="left" w:pos="8178"/>
        </w:tabs>
        <w:rPr>
          <w:rFonts w:ascii="Times New Roman" w:hAnsi="Times New Roman" w:cs="Times New Roman"/>
          <w:iCs/>
        </w:rPr>
      </w:pPr>
      <w:r w:rsidRPr="00314AE5">
        <w:rPr>
          <w:rFonts w:ascii="Times New Roman" w:hAnsi="Times New Roman" w:cs="Times New Roman"/>
          <w:i/>
          <w:iCs/>
        </w:rPr>
        <w:t>Propensity weight estimation.</w:t>
      </w:r>
      <w:r w:rsidRPr="00900086">
        <w:rPr>
          <w:rFonts w:ascii="Times New Roman" w:hAnsi="Times New Roman" w:cs="Times New Roman"/>
          <w:b/>
          <w:iCs/>
        </w:rPr>
        <w:t xml:space="preserve"> </w:t>
      </w:r>
      <w:r w:rsidRPr="00900086">
        <w:rPr>
          <w:rFonts w:ascii="Times New Roman" w:hAnsi="Times New Roman" w:cs="Times New Roman"/>
          <w:iCs/>
        </w:rPr>
        <w:t xml:space="preserve">The estimates presented in Table 3 and Figure 2 were generated using Hirano and Imbens’ (2004) generalized propensity score weighting method, a generalization of the more familiar binary treatment model. The method proceeds in two stages. The first stage estimates the likelihood of being assigned some level of treatment, including zero treatment, as a function of observable covariates. The result is a propensity score for each country-year. In the present analysis, the “treatments” are varying degrees of formal agency independence. We estimate propensity scores based on several economic, demographic, and political variables. We also include a dummy for each country-year’s participation in an IMF standby agreement as a means of measuring the influence of international development institutions’ on the creation of privatization agencies. Propensity scores were calculated using STATA’s ‘gpscore2’ procedure by Guardabascio and Ventura (2014). </w:t>
      </w:r>
    </w:p>
    <w:p w14:paraId="05711F6F" w14:textId="77777777" w:rsidR="00CC0A25" w:rsidRPr="00900086" w:rsidRDefault="00CC0A25" w:rsidP="00CC0A25">
      <w:pPr>
        <w:tabs>
          <w:tab w:val="left" w:pos="8178"/>
        </w:tabs>
        <w:rPr>
          <w:rFonts w:ascii="Times New Roman" w:hAnsi="Times New Roman" w:cs="Times New Roman"/>
          <w:iCs/>
        </w:rPr>
      </w:pPr>
    </w:p>
    <w:p w14:paraId="5FCF8DB5" w14:textId="77777777" w:rsidR="00CC0A25" w:rsidRPr="00900086" w:rsidRDefault="00CC0A25" w:rsidP="00CC0A25">
      <w:pPr>
        <w:tabs>
          <w:tab w:val="left" w:pos="8178"/>
        </w:tabs>
        <w:rPr>
          <w:rFonts w:ascii="Times New Roman" w:hAnsi="Times New Roman" w:cs="Times New Roman"/>
          <w:iCs/>
        </w:rPr>
      </w:pPr>
      <w:r w:rsidRPr="00900086">
        <w:rPr>
          <w:rFonts w:ascii="Times New Roman" w:hAnsi="Times New Roman" w:cs="Times New Roman"/>
          <w:iCs/>
        </w:rPr>
        <w:t>We tested several levels and intervals of “treatment” (degrees of formal agency independence) to define cutpoints for the Hirano and Imbens (2004) procedure based on the distribution of the agency independence scores. We settled on three treatment levels (0.00-0.14, 0.14-0.43, and &gt;0.43), with ten intervals of treatment within each level. This combination generated the most favorable balancing property according to the Bayes factor test.</w:t>
      </w:r>
    </w:p>
    <w:p w14:paraId="387C5549" w14:textId="77777777" w:rsidR="00CC0A25" w:rsidRPr="00900086" w:rsidRDefault="00CC0A25" w:rsidP="00CC0A25">
      <w:pPr>
        <w:tabs>
          <w:tab w:val="left" w:pos="8178"/>
        </w:tabs>
        <w:rPr>
          <w:rFonts w:ascii="Times New Roman" w:hAnsi="Times New Roman" w:cs="Times New Roman"/>
          <w:iCs/>
        </w:rPr>
      </w:pPr>
    </w:p>
    <w:p w14:paraId="14E0A704" w14:textId="77777777" w:rsidR="00CC0A25" w:rsidRPr="00900086" w:rsidRDefault="00CC0A25" w:rsidP="00CC0A25">
      <w:pPr>
        <w:tabs>
          <w:tab w:val="left" w:pos="8178"/>
        </w:tabs>
        <w:rPr>
          <w:rFonts w:ascii="Times New Roman" w:hAnsi="Times New Roman" w:cs="Times New Roman"/>
          <w:iCs/>
        </w:rPr>
      </w:pPr>
      <w:r w:rsidRPr="00900086">
        <w:rPr>
          <w:rFonts w:ascii="Times New Roman" w:hAnsi="Times New Roman" w:cs="Times New Roman"/>
          <w:iCs/>
        </w:rPr>
        <w:t>Table C2 reports the results of the propensity score estimation; Figure C1 depicts the distribution of the resulting propensity scores. Generalized propensity weights were then calculated as the inverse of these propensity scores; that is, one divided by the propensity score. These propensity weights were used to weight cases in the estimation models reported in Table 3, as well as in the robustness checks reported in Appendix D as noted.</w:t>
      </w:r>
    </w:p>
    <w:p w14:paraId="09740199" w14:textId="77777777" w:rsidR="00CC0A25" w:rsidRPr="00900086" w:rsidRDefault="00CC0A25" w:rsidP="00CC0A25">
      <w:pPr>
        <w:tabs>
          <w:tab w:val="left" w:pos="8178"/>
        </w:tabs>
        <w:rPr>
          <w:rFonts w:ascii="Times New Roman" w:hAnsi="Times New Roman" w:cs="Times New Roman"/>
          <w:iCs/>
        </w:rPr>
        <w:sectPr w:rsidR="00CC0A25" w:rsidRPr="00900086" w:rsidSect="00CC0A25">
          <w:footerReference w:type="default" r:id="rId17"/>
          <w:endnotePr>
            <w:numFmt w:val="decimal"/>
          </w:endnotePr>
          <w:pgSz w:w="12240" w:h="15840"/>
          <w:pgMar w:top="1440" w:right="1440" w:bottom="1440" w:left="1440" w:header="720" w:footer="720" w:gutter="0"/>
          <w:pgNumType w:start="1"/>
          <w:cols w:space="720"/>
          <w:noEndnote/>
        </w:sectPr>
      </w:pPr>
    </w:p>
    <w:p w14:paraId="426E0673" w14:textId="77777777" w:rsidR="00CC0A25" w:rsidRPr="00900086" w:rsidRDefault="00CC0A25" w:rsidP="00CC0A25">
      <w:pPr>
        <w:keepNext/>
        <w:tabs>
          <w:tab w:val="left" w:pos="8178"/>
        </w:tabs>
        <w:spacing w:after="120"/>
        <w:rPr>
          <w:rFonts w:ascii="Times New Roman" w:hAnsi="Times New Roman" w:cs="Times New Roman"/>
          <w:iCs/>
          <w:u w:val="single"/>
        </w:rPr>
      </w:pPr>
      <w:r w:rsidRPr="00C7574F">
        <w:rPr>
          <w:rFonts w:ascii="Times New Roman" w:hAnsi="Times New Roman" w:cs="Times New Roman"/>
          <w:iCs/>
          <w:u w:val="single"/>
        </w:rPr>
        <w:lastRenderedPageBreak/>
        <w:t>Table C2: Generalized propensity score estimation</w:t>
      </w:r>
    </w:p>
    <w:p w14:paraId="11FA48A4" w14:textId="0B77E15F" w:rsidR="00CC0A25" w:rsidRPr="00900086" w:rsidRDefault="00C7574F" w:rsidP="00CC0A25">
      <w:pPr>
        <w:tabs>
          <w:tab w:val="left" w:pos="8178"/>
        </w:tabs>
        <w:rPr>
          <w:rFonts w:ascii="Times New Roman" w:hAnsi="Times New Roman" w:cs="Times New Roman"/>
          <w:iCs/>
        </w:rPr>
      </w:pPr>
      <w:r w:rsidRPr="00C7574F">
        <w:rPr>
          <w:noProof/>
        </w:rPr>
        <w:drawing>
          <wp:inline distT="0" distB="0" distL="0" distR="0" wp14:anchorId="7A3A8B63" wp14:editId="664C36BC">
            <wp:extent cx="3886200" cy="395928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3959282"/>
                    </a:xfrm>
                    <a:prstGeom prst="rect">
                      <a:avLst/>
                    </a:prstGeom>
                    <a:noFill/>
                    <a:ln>
                      <a:noFill/>
                    </a:ln>
                  </pic:spPr>
                </pic:pic>
              </a:graphicData>
            </a:graphic>
          </wp:inline>
        </w:drawing>
      </w:r>
    </w:p>
    <w:p w14:paraId="49C16D68" w14:textId="77777777" w:rsidR="00CC0A25" w:rsidRPr="00900086" w:rsidRDefault="00CC0A25" w:rsidP="00CC0A25">
      <w:pPr>
        <w:tabs>
          <w:tab w:val="left" w:pos="8178"/>
        </w:tabs>
        <w:rPr>
          <w:rFonts w:ascii="Times New Roman" w:hAnsi="Times New Roman" w:cs="Times New Roman"/>
          <w:iCs/>
        </w:rPr>
      </w:pPr>
    </w:p>
    <w:p w14:paraId="1C8F009B" w14:textId="77777777" w:rsidR="00CC0A25" w:rsidRPr="00900086" w:rsidRDefault="00CC0A25" w:rsidP="00CC0A25">
      <w:pPr>
        <w:tabs>
          <w:tab w:val="left" w:pos="8178"/>
        </w:tabs>
        <w:rPr>
          <w:rFonts w:ascii="Times New Roman" w:hAnsi="Times New Roman" w:cs="Times New Roman"/>
          <w:iCs/>
        </w:rPr>
      </w:pPr>
    </w:p>
    <w:p w14:paraId="3516FB46" w14:textId="77777777" w:rsidR="00CC0A25" w:rsidRPr="00900086" w:rsidRDefault="00CC0A25" w:rsidP="00CC0A25">
      <w:pPr>
        <w:keepNext/>
        <w:tabs>
          <w:tab w:val="left" w:pos="8178"/>
        </w:tabs>
        <w:spacing w:after="120"/>
        <w:rPr>
          <w:rFonts w:ascii="Times New Roman" w:hAnsi="Times New Roman" w:cs="Times New Roman"/>
          <w:iCs/>
          <w:u w:val="single"/>
        </w:rPr>
      </w:pPr>
      <w:r w:rsidRPr="00C7574F">
        <w:rPr>
          <w:rFonts w:ascii="Times New Roman" w:hAnsi="Times New Roman" w:cs="Times New Roman"/>
          <w:iCs/>
          <w:u w:val="single"/>
        </w:rPr>
        <w:lastRenderedPageBreak/>
        <w:t>Figure C1: Distribution of generalized propensity scores</w:t>
      </w:r>
    </w:p>
    <w:p w14:paraId="4DB2726A" w14:textId="1384C498" w:rsidR="00CC0A25" w:rsidRPr="00900086" w:rsidRDefault="00C7574F" w:rsidP="00CC0A25">
      <w:pPr>
        <w:tabs>
          <w:tab w:val="left" w:pos="8178"/>
        </w:tabs>
        <w:rPr>
          <w:rFonts w:ascii="Times New Roman" w:hAnsi="Times New Roman" w:cs="Times New Roman"/>
          <w:iCs/>
        </w:rPr>
      </w:pPr>
      <w:r w:rsidRPr="00C7574F">
        <w:rPr>
          <w:noProof/>
        </w:rPr>
        <w:drawing>
          <wp:inline distT="0" distB="0" distL="0" distR="0" wp14:anchorId="690BFDFB" wp14:editId="407A5748">
            <wp:extent cx="3886200" cy="28390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2839006"/>
                    </a:xfrm>
                    <a:prstGeom prst="rect">
                      <a:avLst/>
                    </a:prstGeom>
                    <a:noFill/>
                    <a:ln>
                      <a:noFill/>
                    </a:ln>
                  </pic:spPr>
                </pic:pic>
              </a:graphicData>
            </a:graphic>
          </wp:inline>
        </w:drawing>
      </w:r>
    </w:p>
    <w:p w14:paraId="51DC1902" w14:textId="77777777" w:rsidR="00CC0A25" w:rsidRPr="00900086" w:rsidRDefault="00CC0A25" w:rsidP="00CC0A25">
      <w:pPr>
        <w:spacing w:before="120"/>
        <w:rPr>
          <w:rFonts w:ascii="Times New Roman" w:hAnsi="Times New Roman" w:cs="Times New Roman"/>
          <w:iCs/>
        </w:rPr>
      </w:pPr>
    </w:p>
    <w:p w14:paraId="03B84D07" w14:textId="77777777" w:rsidR="00CC0A25" w:rsidRPr="00900086" w:rsidRDefault="00CC0A25" w:rsidP="00CC0A25">
      <w:pPr>
        <w:spacing w:before="120"/>
        <w:rPr>
          <w:rFonts w:ascii="Times New Roman" w:hAnsi="Times New Roman" w:cs="Times New Roman"/>
          <w:iCs/>
        </w:rPr>
      </w:pPr>
    </w:p>
    <w:p w14:paraId="506FBD37" w14:textId="77777777" w:rsidR="00CC0A25" w:rsidRPr="00900086" w:rsidRDefault="00CC0A25" w:rsidP="00CC0A25">
      <w:pPr>
        <w:spacing w:before="120"/>
        <w:rPr>
          <w:rFonts w:ascii="Times New Roman" w:hAnsi="Times New Roman" w:cs="Times New Roman"/>
          <w:iCs/>
        </w:rPr>
      </w:pPr>
    </w:p>
    <w:p w14:paraId="69BABF3E" w14:textId="77777777" w:rsidR="00CC0A25" w:rsidRPr="00900086" w:rsidRDefault="00CC0A25" w:rsidP="00CC0A25">
      <w:pPr>
        <w:spacing w:before="120"/>
        <w:rPr>
          <w:rFonts w:ascii="Times New Roman" w:hAnsi="Times New Roman" w:cs="Times New Roman"/>
          <w:iCs/>
        </w:rPr>
      </w:pPr>
    </w:p>
    <w:p w14:paraId="3C47ACAD" w14:textId="77777777" w:rsidR="00CC0A25" w:rsidRPr="00900086" w:rsidRDefault="00CC0A25" w:rsidP="00CC0A25">
      <w:pPr>
        <w:spacing w:before="120"/>
        <w:rPr>
          <w:rFonts w:ascii="Times New Roman" w:hAnsi="Times New Roman" w:cs="Times New Roman"/>
          <w:iCs/>
        </w:rPr>
      </w:pPr>
    </w:p>
    <w:p w14:paraId="24B84C0E" w14:textId="77777777" w:rsidR="00CC0A25" w:rsidRPr="00900086" w:rsidRDefault="00CC0A25" w:rsidP="00CC0A25">
      <w:pPr>
        <w:spacing w:before="120"/>
        <w:rPr>
          <w:rFonts w:ascii="Times New Roman" w:hAnsi="Times New Roman" w:cs="Times New Roman"/>
          <w:iCs/>
        </w:rPr>
      </w:pPr>
    </w:p>
    <w:p w14:paraId="4D4A7B71" w14:textId="77777777" w:rsidR="00CC0A25" w:rsidRPr="00900086" w:rsidRDefault="00CC0A25" w:rsidP="00CC0A25">
      <w:pPr>
        <w:spacing w:before="120"/>
        <w:rPr>
          <w:rFonts w:ascii="Times New Roman" w:hAnsi="Times New Roman" w:cs="Times New Roman"/>
          <w:iCs/>
        </w:rPr>
      </w:pPr>
    </w:p>
    <w:p w14:paraId="3D6E8D65" w14:textId="77777777" w:rsidR="00CC0A25" w:rsidRPr="00900086" w:rsidRDefault="00CC0A25" w:rsidP="00CC0A25">
      <w:pPr>
        <w:rPr>
          <w:rFonts w:ascii="Times New Roman" w:hAnsi="Times New Roman" w:cs="Times New Roman"/>
          <w:iCs/>
        </w:rPr>
      </w:pPr>
    </w:p>
    <w:p w14:paraId="55333262" w14:textId="77777777" w:rsidR="00CC0A25" w:rsidRPr="00900086" w:rsidRDefault="00CC0A25" w:rsidP="00CC0A25">
      <w:pPr>
        <w:rPr>
          <w:rFonts w:ascii="Times New Roman" w:hAnsi="Times New Roman" w:cs="Times New Roman"/>
          <w:iCs/>
        </w:rPr>
      </w:pPr>
    </w:p>
    <w:p w14:paraId="2820B983" w14:textId="77777777" w:rsidR="00CC0A25" w:rsidRPr="00900086" w:rsidRDefault="00CC0A25" w:rsidP="00CC0A25">
      <w:pPr>
        <w:spacing w:line="480" w:lineRule="auto"/>
        <w:rPr>
          <w:rFonts w:ascii="Times New Roman" w:hAnsi="Times New Roman" w:cs="Times New Roman"/>
        </w:rPr>
        <w:sectPr w:rsidR="00CC0A25" w:rsidRPr="00900086" w:rsidSect="00711AF0">
          <w:endnotePr>
            <w:numFmt w:val="decimal"/>
          </w:endnotePr>
          <w:pgSz w:w="15840" w:h="12240" w:orient="landscape"/>
          <w:pgMar w:top="1440" w:right="1440" w:bottom="1440" w:left="1440" w:header="720" w:footer="720" w:gutter="0"/>
          <w:cols w:num="2" w:space="720"/>
          <w:noEndnote/>
          <w:docGrid w:linePitch="326"/>
        </w:sectPr>
      </w:pPr>
    </w:p>
    <w:p w14:paraId="0A799D40" w14:textId="77777777" w:rsidR="00CC0A25" w:rsidRPr="00314AE5" w:rsidRDefault="00CC0A25" w:rsidP="00CC0A25">
      <w:pPr>
        <w:spacing w:line="480" w:lineRule="auto"/>
        <w:rPr>
          <w:rFonts w:ascii="Times New Roman" w:hAnsi="Times New Roman" w:cs="Times New Roman"/>
          <w:b/>
        </w:rPr>
      </w:pPr>
      <w:r w:rsidRPr="00314AE5">
        <w:rPr>
          <w:rFonts w:ascii="Times New Roman" w:hAnsi="Times New Roman" w:cs="Times New Roman"/>
          <w:b/>
        </w:rPr>
        <w:lastRenderedPageBreak/>
        <w:t>Appendix D: Robustness considerations</w:t>
      </w:r>
    </w:p>
    <w:p w14:paraId="76925EBD" w14:textId="77777777" w:rsidR="00CC0A25" w:rsidRPr="00900086" w:rsidRDefault="00CC0A25" w:rsidP="00CC0A25">
      <w:pPr>
        <w:rPr>
          <w:rFonts w:ascii="Times New Roman" w:hAnsi="Times New Roman" w:cs="Times New Roman"/>
        </w:rPr>
      </w:pPr>
      <w:r w:rsidRPr="00900086">
        <w:rPr>
          <w:rFonts w:ascii="Times New Roman" w:hAnsi="Times New Roman" w:cs="Times New Roman"/>
        </w:rPr>
        <w:t xml:space="preserve">We fitted the models reported in Table 2 using several alternative estimation procedures in order to test the stability and robustness of the findings. Here we report the results of ten alternative models that include the direct effects of </w:t>
      </w:r>
      <w:r w:rsidRPr="00900086">
        <w:rPr>
          <w:rFonts w:ascii="Times New Roman" w:hAnsi="Times New Roman" w:cs="Times New Roman"/>
          <w:i/>
        </w:rPr>
        <w:t xml:space="preserve">democracy </w:t>
      </w:r>
      <w:r w:rsidRPr="00900086">
        <w:rPr>
          <w:rFonts w:ascii="Times New Roman" w:hAnsi="Times New Roman" w:cs="Times New Roman"/>
        </w:rPr>
        <w:t xml:space="preserve">and </w:t>
      </w:r>
      <w:r w:rsidRPr="00900086">
        <w:rPr>
          <w:rFonts w:ascii="Times New Roman" w:hAnsi="Times New Roman" w:cs="Times New Roman"/>
          <w:i/>
        </w:rPr>
        <w:t xml:space="preserve">agency independence, </w:t>
      </w:r>
      <w:r w:rsidRPr="00900086">
        <w:rPr>
          <w:rFonts w:ascii="Times New Roman" w:hAnsi="Times New Roman" w:cs="Times New Roman"/>
        </w:rPr>
        <w:t>as well as their interaction. Here we briefly describe each alternative estimate, and then present the results in Tables D1-D3 and Figures D1-D2. As these results show, the contingent relationships between democracy, formal agency independence, and privatization of state-owned enterprises (SOEs) were remarkably consistent across analyses.</w:t>
      </w:r>
    </w:p>
    <w:p w14:paraId="6849653B" w14:textId="77777777" w:rsidR="00CC0A25" w:rsidRPr="00900086" w:rsidRDefault="00CC0A25" w:rsidP="00CC0A25">
      <w:pPr>
        <w:rPr>
          <w:rFonts w:ascii="Times New Roman" w:hAnsi="Times New Roman" w:cs="Times New Roman"/>
        </w:rPr>
      </w:pPr>
    </w:p>
    <w:p w14:paraId="62BD69EA"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D1.</w:t>
      </w:r>
      <w:r w:rsidRPr="00900086">
        <w:rPr>
          <w:rFonts w:ascii="Times New Roman" w:hAnsi="Times New Roman" w:cs="Times New Roman"/>
        </w:rPr>
        <w:t xml:space="preserve"> Two-stage linear regression with endogenous binary treatment using Maddala’s (1983) estimation procedure instead of propensity score weighting. In this case, the binary treatment is the presence (1) or absence (0) of a privatization agency in each country-year.</w:t>
      </w:r>
    </w:p>
    <w:p w14:paraId="17951BEA" w14:textId="77777777" w:rsidR="00CC0A25" w:rsidRPr="00900086" w:rsidRDefault="00CC0A25" w:rsidP="00CC0A25">
      <w:pPr>
        <w:rPr>
          <w:rFonts w:ascii="Times New Roman" w:hAnsi="Times New Roman" w:cs="Times New Roman"/>
          <w:b/>
        </w:rPr>
      </w:pPr>
    </w:p>
    <w:p w14:paraId="4E5C94AF"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D2.</w:t>
      </w:r>
      <w:r w:rsidRPr="00900086">
        <w:rPr>
          <w:rFonts w:ascii="Times New Roman" w:hAnsi="Times New Roman" w:cs="Times New Roman"/>
          <w:b/>
        </w:rPr>
        <w:t xml:space="preserve"> </w:t>
      </w:r>
      <w:r w:rsidRPr="00900086">
        <w:rPr>
          <w:rFonts w:ascii="Times New Roman" w:hAnsi="Times New Roman" w:cs="Times New Roman"/>
        </w:rPr>
        <w:t>Conventional linear panel regression with country and year fixed effects, fitted without generalized propensity score weights.</w:t>
      </w:r>
    </w:p>
    <w:p w14:paraId="50C0CBA6" w14:textId="77777777" w:rsidR="00CC0A25" w:rsidRPr="00900086" w:rsidRDefault="00CC0A25" w:rsidP="00CC0A25">
      <w:pPr>
        <w:rPr>
          <w:rFonts w:ascii="Times New Roman" w:hAnsi="Times New Roman" w:cs="Times New Roman"/>
        </w:rPr>
      </w:pPr>
    </w:p>
    <w:p w14:paraId="0F51837D"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D3.</w:t>
      </w:r>
      <w:r w:rsidRPr="00900086">
        <w:rPr>
          <w:rFonts w:ascii="Times New Roman" w:hAnsi="Times New Roman" w:cs="Times New Roman"/>
          <w:b/>
        </w:rPr>
        <w:t xml:space="preserve"> </w:t>
      </w:r>
      <w:r w:rsidRPr="00900086">
        <w:rPr>
          <w:rFonts w:ascii="Times New Roman" w:hAnsi="Times New Roman" w:cs="Times New Roman"/>
        </w:rPr>
        <w:t>Linear panel regression with Driscoll-Kraay standard errors. Our cases share a common timeframe and geographic region, and so unobserved events in some times or sub-regions might affect panels in ways that are not captured by the fixed effects. If so, the unobserved effects are expressed in the disturbance term, resulting in consistent and unbiased, but inefficient estimators and biased standard errors (DeHoyos and Sarafidis 2006). Frees and Freidman tests of cross-sectional dependence confirmed non-trivial cross-sectional heteroskedasticity, and so in this model we employ the covariance matrix estimation procedure proposed by Driscoll and Kraay (1998) to generate efficient estimators with cross-sectional heteroskedasticity. See Hoechle (2007) for a discussion of the advantages of Driscoll-Kraay estimation vs. Beck and Katz’s (1995) panel-corrected standard errors in analysis of medium-sized panels where the ratio of periods to units is small, as in the present study.</w:t>
      </w:r>
    </w:p>
    <w:p w14:paraId="452E0044" w14:textId="77777777" w:rsidR="00CC0A25" w:rsidRPr="00900086" w:rsidRDefault="00CC0A25" w:rsidP="00CC0A25">
      <w:pPr>
        <w:rPr>
          <w:rFonts w:ascii="Times New Roman" w:hAnsi="Times New Roman" w:cs="Times New Roman"/>
        </w:rPr>
      </w:pPr>
    </w:p>
    <w:p w14:paraId="10CD10D7" w14:textId="204CDC08" w:rsidR="00CC0A25" w:rsidRPr="00900086" w:rsidRDefault="00CC0A25" w:rsidP="00CC0A25">
      <w:pPr>
        <w:rPr>
          <w:rFonts w:ascii="Times New Roman" w:hAnsi="Times New Roman" w:cs="Times New Roman"/>
        </w:rPr>
      </w:pPr>
      <w:r w:rsidRPr="00314AE5">
        <w:rPr>
          <w:rFonts w:ascii="Times New Roman" w:hAnsi="Times New Roman" w:cs="Times New Roman"/>
          <w:i/>
        </w:rPr>
        <w:t>Model D4.</w:t>
      </w:r>
      <w:r w:rsidRPr="00900086">
        <w:rPr>
          <w:rFonts w:ascii="Times New Roman" w:hAnsi="Times New Roman" w:cs="Times New Roman"/>
          <w:b/>
        </w:rPr>
        <w:t xml:space="preserve"> </w:t>
      </w:r>
      <w:r w:rsidRPr="00900086">
        <w:rPr>
          <w:rFonts w:ascii="Times New Roman" w:hAnsi="Times New Roman" w:cs="Times New Roman"/>
        </w:rPr>
        <w:t>Linear panel regression with country and year fixed effects, with standard errors jackknifed by country to guard against</w:t>
      </w:r>
      <w:r w:rsidR="00C7574F">
        <w:rPr>
          <w:rFonts w:ascii="Times New Roman" w:hAnsi="Times New Roman" w:cs="Times New Roman"/>
        </w:rPr>
        <w:t xml:space="preserve"> bias due to outliers</w:t>
      </w:r>
      <w:r w:rsidRPr="00900086">
        <w:rPr>
          <w:rFonts w:ascii="Times New Roman" w:hAnsi="Times New Roman" w:cs="Times New Roman"/>
        </w:rPr>
        <w:t xml:space="preserve"> (see also Model D7).</w:t>
      </w:r>
    </w:p>
    <w:p w14:paraId="260BBD4E" w14:textId="77777777" w:rsidR="00CC0A25" w:rsidRPr="00900086" w:rsidRDefault="00CC0A25" w:rsidP="00CC0A25">
      <w:pPr>
        <w:rPr>
          <w:rFonts w:ascii="Times New Roman" w:hAnsi="Times New Roman" w:cs="Times New Roman"/>
        </w:rPr>
      </w:pPr>
    </w:p>
    <w:p w14:paraId="2B6A31D4"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D5.</w:t>
      </w:r>
      <w:r w:rsidRPr="00900086">
        <w:rPr>
          <w:rFonts w:ascii="Times New Roman" w:hAnsi="Times New Roman" w:cs="Times New Roman"/>
          <w:b/>
        </w:rPr>
        <w:t xml:space="preserve"> </w:t>
      </w:r>
      <w:r w:rsidRPr="00900086">
        <w:rPr>
          <w:rFonts w:ascii="Times New Roman" w:hAnsi="Times New Roman" w:cs="Times New Roman"/>
        </w:rPr>
        <w:t>Linear panel regression with random effects.</w:t>
      </w:r>
    </w:p>
    <w:p w14:paraId="24065959" w14:textId="77777777" w:rsidR="00CC0A25" w:rsidRPr="00900086" w:rsidRDefault="00CC0A25" w:rsidP="00CC0A25">
      <w:pPr>
        <w:rPr>
          <w:rFonts w:ascii="Times New Roman" w:hAnsi="Times New Roman" w:cs="Times New Roman"/>
        </w:rPr>
      </w:pPr>
    </w:p>
    <w:p w14:paraId="229E822D"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D6.</w:t>
      </w:r>
      <w:r w:rsidRPr="00900086">
        <w:rPr>
          <w:rFonts w:ascii="Times New Roman" w:hAnsi="Times New Roman" w:cs="Times New Roman"/>
          <w:b/>
        </w:rPr>
        <w:t xml:space="preserve"> </w:t>
      </w:r>
      <w:r w:rsidRPr="00900086">
        <w:rPr>
          <w:rFonts w:ascii="Times New Roman" w:hAnsi="Times New Roman" w:cs="Times New Roman"/>
        </w:rPr>
        <w:t>Linear panel regression with fixed effects with panel-corrected standard errors following the procedure suggested by Beck and Katz (1995).</w:t>
      </w:r>
    </w:p>
    <w:p w14:paraId="35F4BFD5" w14:textId="77777777" w:rsidR="00CC0A25" w:rsidRPr="00900086" w:rsidRDefault="00CC0A25" w:rsidP="00CC0A25">
      <w:pPr>
        <w:rPr>
          <w:rFonts w:ascii="Times New Roman" w:hAnsi="Times New Roman" w:cs="Times New Roman"/>
        </w:rPr>
      </w:pPr>
    </w:p>
    <w:p w14:paraId="09700CCC"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D7</w:t>
      </w:r>
      <w:r w:rsidRPr="00900086">
        <w:rPr>
          <w:rFonts w:ascii="Times New Roman" w:hAnsi="Times New Roman" w:cs="Times New Roman"/>
          <w:b/>
        </w:rPr>
        <w:t xml:space="preserve">. </w:t>
      </w:r>
      <w:r w:rsidRPr="00900086">
        <w:rPr>
          <w:rFonts w:ascii="Times New Roman" w:hAnsi="Times New Roman" w:cs="Times New Roman"/>
        </w:rPr>
        <w:t>Conventional linear panel regression with country and year fixed effects with generalized propensity score weights, but without lagged dependent variable. In this model the dependent variable is the number of SOEs privatized, rather than a cumulative percentage.</w:t>
      </w:r>
    </w:p>
    <w:p w14:paraId="2AA7AD5A" w14:textId="77777777" w:rsidR="00CC0A25" w:rsidRPr="00900086" w:rsidRDefault="00CC0A25" w:rsidP="00CC0A25">
      <w:pPr>
        <w:rPr>
          <w:rFonts w:ascii="Times New Roman" w:hAnsi="Times New Roman" w:cs="Times New Roman"/>
        </w:rPr>
      </w:pPr>
    </w:p>
    <w:p w14:paraId="7DB214DB"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D8.</w:t>
      </w:r>
      <w:r w:rsidRPr="00900086">
        <w:rPr>
          <w:rFonts w:ascii="Times New Roman" w:hAnsi="Times New Roman" w:cs="Times New Roman"/>
          <w:b/>
        </w:rPr>
        <w:t xml:space="preserve"> </w:t>
      </w:r>
      <w:r w:rsidRPr="00900086">
        <w:rPr>
          <w:rFonts w:ascii="Times New Roman" w:hAnsi="Times New Roman" w:cs="Times New Roman"/>
        </w:rPr>
        <w:t xml:space="preserve">Propensity weighted linear regression with fixed effects as in Model Two (Table 3), excluding Mauritius. Mauritius is an unusual case in some potentially important ways: it is a small, island country (1.2 million population 2007) and a stable democracy (Polity IV=10) from 1990-2007. Mauritius also did not establish a privatization agency during the period of analysis, although it did privatize one SOE. In order to ensure that this unusual case was not driving the </w:t>
      </w:r>
      <w:r w:rsidRPr="00900086">
        <w:rPr>
          <w:rFonts w:ascii="Times New Roman" w:hAnsi="Times New Roman" w:cs="Times New Roman"/>
        </w:rPr>
        <w:lastRenderedPageBreak/>
        <w:t xml:space="preserve">conditional effect observed in Model Two, we estimated the same model excluding Mauritius (N=476). </w:t>
      </w:r>
    </w:p>
    <w:p w14:paraId="33D71A7C" w14:textId="77777777" w:rsidR="00CC0A25" w:rsidRPr="00900086" w:rsidRDefault="00CC0A25" w:rsidP="00CC0A25">
      <w:pPr>
        <w:rPr>
          <w:rFonts w:ascii="Times New Roman" w:hAnsi="Times New Roman" w:cs="Times New Roman"/>
        </w:rPr>
      </w:pPr>
    </w:p>
    <w:p w14:paraId="5E1FC383"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D9.</w:t>
      </w:r>
      <w:r w:rsidRPr="00900086">
        <w:rPr>
          <w:rFonts w:ascii="Times New Roman" w:hAnsi="Times New Roman" w:cs="Times New Roman"/>
          <w:b/>
        </w:rPr>
        <w:t xml:space="preserve"> </w:t>
      </w:r>
      <w:r w:rsidRPr="00900086">
        <w:rPr>
          <w:rFonts w:ascii="Times New Roman" w:hAnsi="Times New Roman" w:cs="Times New Roman"/>
        </w:rPr>
        <w:t>Conventional linear panel regression with country and year fixed effects, including only the country-years with a privatization agency in place and fitted without generalized propensity score weights. This model effectively drops “zero cases.”</w:t>
      </w:r>
    </w:p>
    <w:p w14:paraId="039C68D6" w14:textId="77777777" w:rsidR="00CC0A25" w:rsidRPr="00900086" w:rsidRDefault="00CC0A25" w:rsidP="00CC0A25">
      <w:pPr>
        <w:rPr>
          <w:rFonts w:ascii="Times New Roman" w:hAnsi="Times New Roman" w:cs="Times New Roman"/>
        </w:rPr>
      </w:pPr>
    </w:p>
    <w:p w14:paraId="226E90F7" w14:textId="77777777" w:rsidR="00CC0A25" w:rsidRPr="00900086" w:rsidRDefault="00CC0A25" w:rsidP="00CC0A25">
      <w:pPr>
        <w:rPr>
          <w:rFonts w:ascii="Times New Roman" w:hAnsi="Times New Roman" w:cs="Times New Roman"/>
        </w:rPr>
      </w:pPr>
      <w:r w:rsidRPr="00314AE5">
        <w:rPr>
          <w:rFonts w:ascii="Times New Roman" w:hAnsi="Times New Roman" w:cs="Times New Roman"/>
          <w:i/>
        </w:rPr>
        <w:t>Model D10.</w:t>
      </w:r>
      <w:r w:rsidRPr="00900086">
        <w:rPr>
          <w:rFonts w:ascii="Times New Roman" w:hAnsi="Times New Roman" w:cs="Times New Roman"/>
          <w:b/>
        </w:rPr>
        <w:t xml:space="preserve"> </w:t>
      </w:r>
      <w:r w:rsidRPr="00900086">
        <w:rPr>
          <w:rFonts w:ascii="Times New Roman" w:hAnsi="Times New Roman" w:cs="Times New Roman"/>
        </w:rPr>
        <w:t>Propensity weighted linear regression with fixed effects as in Model Two (Table 3), including only data from 1990-1999. From 1990-1999 the World Bank recorded privatizations of all SOEs. Beginning in 2000, the World Bank began recording only privatizations valued at over one million U.S. dollars. As an additional robustness check, here we estimate the model using only the data from 1990-1999. The resulting marginal effects plot is shown in Figure D2.</w:t>
      </w:r>
    </w:p>
    <w:p w14:paraId="06BC288E" w14:textId="77777777" w:rsidR="00CC0A25" w:rsidRPr="00900086" w:rsidRDefault="00CC0A25" w:rsidP="00CC0A25">
      <w:pPr>
        <w:rPr>
          <w:rFonts w:ascii="Times New Roman" w:hAnsi="Times New Roman" w:cs="Times New Roman"/>
        </w:rPr>
      </w:pPr>
    </w:p>
    <w:p w14:paraId="7B6C745F" w14:textId="77777777" w:rsidR="00CC0A25" w:rsidRPr="00900086" w:rsidRDefault="00CC0A25" w:rsidP="00CC0A25">
      <w:pPr>
        <w:rPr>
          <w:rFonts w:ascii="Times New Roman" w:hAnsi="Times New Roman" w:cs="Times New Roman"/>
        </w:rPr>
      </w:pPr>
    </w:p>
    <w:p w14:paraId="0AB967D6" w14:textId="77777777" w:rsidR="00CC0A25" w:rsidRPr="00900086" w:rsidRDefault="00CC0A25" w:rsidP="00CC0A25">
      <w:pPr>
        <w:keepNext/>
        <w:tabs>
          <w:tab w:val="left" w:pos="8178"/>
        </w:tabs>
        <w:spacing w:after="120"/>
        <w:rPr>
          <w:rFonts w:ascii="Times New Roman" w:hAnsi="Times New Roman" w:cs="Times New Roman"/>
          <w:iCs/>
          <w:u w:val="single"/>
        </w:rPr>
      </w:pPr>
      <w:r w:rsidRPr="00350C48">
        <w:rPr>
          <w:rFonts w:ascii="Times New Roman" w:hAnsi="Times New Roman" w:cs="Times New Roman"/>
          <w:iCs/>
          <w:u w:val="single"/>
        </w:rPr>
        <w:lastRenderedPageBreak/>
        <w:t>Table D1: Endogenous treatment effects regression</w:t>
      </w:r>
    </w:p>
    <w:p w14:paraId="05D13205" w14:textId="05D6C323" w:rsidR="00CC0A25" w:rsidRPr="00900086" w:rsidRDefault="00350C48" w:rsidP="00CC0A25">
      <w:pPr>
        <w:rPr>
          <w:rFonts w:ascii="Times New Roman" w:hAnsi="Times New Roman" w:cs="Times New Roman"/>
        </w:rPr>
      </w:pPr>
      <w:r w:rsidRPr="00350C48">
        <w:rPr>
          <w:noProof/>
        </w:rPr>
        <w:drawing>
          <wp:inline distT="0" distB="0" distL="0" distR="0" wp14:anchorId="38EA0C3C" wp14:editId="24853668">
            <wp:extent cx="5943600" cy="67061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706101"/>
                    </a:xfrm>
                    <a:prstGeom prst="rect">
                      <a:avLst/>
                    </a:prstGeom>
                    <a:noFill/>
                    <a:ln>
                      <a:noFill/>
                    </a:ln>
                  </pic:spPr>
                </pic:pic>
              </a:graphicData>
            </a:graphic>
          </wp:inline>
        </w:drawing>
      </w:r>
    </w:p>
    <w:p w14:paraId="4578A2E9" w14:textId="77777777" w:rsidR="00CC0A25" w:rsidRPr="00900086" w:rsidRDefault="00CC0A25" w:rsidP="00CC0A25">
      <w:pPr>
        <w:rPr>
          <w:rFonts w:ascii="Times New Roman" w:hAnsi="Times New Roman" w:cs="Times New Roman"/>
        </w:rPr>
      </w:pPr>
    </w:p>
    <w:p w14:paraId="400EAE38" w14:textId="77777777" w:rsidR="00CC0A25" w:rsidRPr="00900086" w:rsidRDefault="00CC0A25" w:rsidP="00CC0A25">
      <w:pPr>
        <w:rPr>
          <w:rFonts w:ascii="Times New Roman" w:hAnsi="Times New Roman" w:cs="Times New Roman"/>
        </w:rPr>
        <w:sectPr w:rsidR="00CC0A25" w:rsidRPr="00900086" w:rsidSect="005158BC">
          <w:endnotePr>
            <w:numFmt w:val="decimal"/>
          </w:endnotePr>
          <w:pgSz w:w="12240" w:h="15840"/>
          <w:pgMar w:top="1440" w:right="1440" w:bottom="1440" w:left="1440" w:header="720" w:footer="720" w:gutter="0"/>
          <w:cols w:space="720"/>
          <w:noEndnote/>
        </w:sectPr>
      </w:pPr>
    </w:p>
    <w:p w14:paraId="0E3E7190" w14:textId="77777777" w:rsidR="00CC0A25" w:rsidRPr="00900086" w:rsidRDefault="00CC0A25" w:rsidP="00CC0A25">
      <w:pPr>
        <w:keepNext/>
        <w:tabs>
          <w:tab w:val="left" w:pos="8178"/>
        </w:tabs>
        <w:spacing w:after="120"/>
        <w:rPr>
          <w:rFonts w:ascii="Times New Roman" w:hAnsi="Times New Roman" w:cs="Times New Roman"/>
          <w:iCs/>
          <w:u w:val="single"/>
        </w:rPr>
      </w:pPr>
      <w:r w:rsidRPr="00350C48">
        <w:rPr>
          <w:rFonts w:ascii="Times New Roman" w:hAnsi="Times New Roman" w:cs="Times New Roman"/>
          <w:iCs/>
          <w:u w:val="single"/>
        </w:rPr>
        <w:lastRenderedPageBreak/>
        <w:t>Table D2: Regression with alternative estimators</w:t>
      </w:r>
    </w:p>
    <w:p w14:paraId="0C976547" w14:textId="17184219" w:rsidR="00CC0A25" w:rsidRPr="00900086" w:rsidRDefault="00350C48" w:rsidP="00CC0A25">
      <w:pPr>
        <w:rPr>
          <w:rFonts w:ascii="Times New Roman" w:hAnsi="Times New Roman" w:cs="Times New Roman"/>
        </w:rPr>
      </w:pPr>
      <w:r w:rsidRPr="00350C48">
        <w:rPr>
          <w:noProof/>
        </w:rPr>
        <w:drawing>
          <wp:inline distT="0" distB="0" distL="0" distR="0" wp14:anchorId="712104BB" wp14:editId="448A6ABE">
            <wp:extent cx="8229600" cy="43247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324761"/>
                    </a:xfrm>
                    <a:prstGeom prst="rect">
                      <a:avLst/>
                    </a:prstGeom>
                    <a:noFill/>
                    <a:ln>
                      <a:noFill/>
                    </a:ln>
                  </pic:spPr>
                </pic:pic>
              </a:graphicData>
            </a:graphic>
          </wp:inline>
        </w:drawing>
      </w:r>
    </w:p>
    <w:p w14:paraId="2714FE9B" w14:textId="77777777" w:rsidR="00CC0A25" w:rsidRPr="00900086" w:rsidRDefault="00CC0A25" w:rsidP="00CC0A25">
      <w:pPr>
        <w:rPr>
          <w:rFonts w:ascii="Times New Roman" w:hAnsi="Times New Roman" w:cs="Times New Roman"/>
        </w:rPr>
      </w:pPr>
    </w:p>
    <w:p w14:paraId="6B78416B" w14:textId="77777777" w:rsidR="00CC0A25" w:rsidRPr="00900086" w:rsidRDefault="00CC0A25" w:rsidP="00CC0A25">
      <w:pPr>
        <w:rPr>
          <w:rFonts w:ascii="Times New Roman" w:hAnsi="Times New Roman" w:cs="Times New Roman"/>
        </w:rPr>
      </w:pPr>
    </w:p>
    <w:p w14:paraId="7F72A027" w14:textId="77777777" w:rsidR="00CC0A25" w:rsidRPr="00900086" w:rsidRDefault="00CC0A25" w:rsidP="00CC0A25">
      <w:pPr>
        <w:rPr>
          <w:rFonts w:ascii="Times New Roman" w:hAnsi="Times New Roman" w:cs="Times New Roman"/>
        </w:rPr>
        <w:sectPr w:rsidR="00CC0A25" w:rsidRPr="00900086" w:rsidSect="00711AF0">
          <w:endnotePr>
            <w:numFmt w:val="decimal"/>
          </w:endnotePr>
          <w:pgSz w:w="15840" w:h="12240" w:orient="landscape"/>
          <w:pgMar w:top="1440" w:right="1440" w:bottom="1440" w:left="1440" w:header="720" w:footer="720" w:gutter="0"/>
          <w:cols w:space="720"/>
          <w:noEndnote/>
          <w:docGrid w:linePitch="326"/>
        </w:sectPr>
      </w:pPr>
    </w:p>
    <w:p w14:paraId="6B76E2CA" w14:textId="77777777" w:rsidR="00CC0A25" w:rsidRPr="00900086" w:rsidRDefault="00CC0A25" w:rsidP="00CC0A25">
      <w:pPr>
        <w:keepNext/>
        <w:tabs>
          <w:tab w:val="left" w:pos="8178"/>
        </w:tabs>
        <w:spacing w:after="120"/>
        <w:rPr>
          <w:rFonts w:ascii="Times New Roman" w:hAnsi="Times New Roman" w:cs="Times New Roman"/>
          <w:iCs/>
          <w:u w:val="single"/>
        </w:rPr>
      </w:pPr>
      <w:r w:rsidRPr="00350C48">
        <w:rPr>
          <w:rFonts w:ascii="Times New Roman" w:hAnsi="Times New Roman" w:cs="Times New Roman"/>
          <w:iCs/>
          <w:u w:val="single"/>
        </w:rPr>
        <w:lastRenderedPageBreak/>
        <w:t>Table D3: Regression with alternative samples</w:t>
      </w:r>
    </w:p>
    <w:p w14:paraId="4AE74B81" w14:textId="761684BE" w:rsidR="00CC0A25" w:rsidRPr="00900086" w:rsidRDefault="00350C48" w:rsidP="00CC0A25">
      <w:pPr>
        <w:rPr>
          <w:rFonts w:ascii="Times New Roman" w:hAnsi="Times New Roman" w:cs="Times New Roman"/>
        </w:rPr>
      </w:pPr>
      <w:r w:rsidRPr="00350C48">
        <w:rPr>
          <w:noProof/>
        </w:rPr>
        <w:drawing>
          <wp:inline distT="0" distB="0" distL="0" distR="0" wp14:anchorId="08FC29B2" wp14:editId="4BD86F4B">
            <wp:extent cx="5943600" cy="45343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534304"/>
                    </a:xfrm>
                    <a:prstGeom prst="rect">
                      <a:avLst/>
                    </a:prstGeom>
                    <a:noFill/>
                    <a:ln>
                      <a:noFill/>
                    </a:ln>
                  </pic:spPr>
                </pic:pic>
              </a:graphicData>
            </a:graphic>
          </wp:inline>
        </w:drawing>
      </w:r>
    </w:p>
    <w:p w14:paraId="264871E6" w14:textId="77777777" w:rsidR="00CC0A25" w:rsidRPr="00900086" w:rsidRDefault="00CC0A25" w:rsidP="00CC0A25">
      <w:pPr>
        <w:rPr>
          <w:rFonts w:ascii="Times New Roman" w:hAnsi="Times New Roman" w:cs="Times New Roman"/>
        </w:rPr>
      </w:pPr>
    </w:p>
    <w:p w14:paraId="44465CD2" w14:textId="77777777" w:rsidR="00CC0A25" w:rsidRPr="00900086" w:rsidRDefault="00CC0A25" w:rsidP="00CC0A25">
      <w:pPr>
        <w:rPr>
          <w:rFonts w:ascii="Times New Roman" w:hAnsi="Times New Roman" w:cs="Times New Roman"/>
        </w:rPr>
      </w:pPr>
    </w:p>
    <w:p w14:paraId="5A63BD14" w14:textId="77777777" w:rsidR="00CC0A25" w:rsidRPr="00900086" w:rsidRDefault="00CC0A25" w:rsidP="00CC0A25">
      <w:pPr>
        <w:rPr>
          <w:rFonts w:ascii="Times New Roman" w:hAnsi="Times New Roman" w:cs="Times New Roman"/>
        </w:rPr>
      </w:pPr>
    </w:p>
    <w:p w14:paraId="3F598B79" w14:textId="77777777" w:rsidR="00CC0A25" w:rsidRPr="00900086" w:rsidRDefault="00CC0A25" w:rsidP="00CC0A25">
      <w:pPr>
        <w:rPr>
          <w:rFonts w:ascii="Times New Roman" w:hAnsi="Times New Roman" w:cs="Times New Roman"/>
        </w:rPr>
      </w:pPr>
    </w:p>
    <w:p w14:paraId="69486750" w14:textId="77777777" w:rsidR="00CC0A25" w:rsidRPr="00900086" w:rsidRDefault="00CC0A25" w:rsidP="00CC0A25">
      <w:pPr>
        <w:rPr>
          <w:rFonts w:ascii="Times New Roman" w:hAnsi="Times New Roman" w:cs="Times New Roman"/>
        </w:rPr>
        <w:sectPr w:rsidR="00CC0A25" w:rsidRPr="00900086" w:rsidSect="00711AF0">
          <w:endnotePr>
            <w:numFmt w:val="decimal"/>
          </w:endnotePr>
          <w:pgSz w:w="12240" w:h="15840"/>
          <w:pgMar w:top="1440" w:right="1440" w:bottom="1440" w:left="1440" w:header="720" w:footer="720" w:gutter="0"/>
          <w:cols w:space="720"/>
          <w:noEndnote/>
          <w:docGrid w:linePitch="326"/>
        </w:sectPr>
      </w:pPr>
    </w:p>
    <w:p w14:paraId="19B05769" w14:textId="77777777" w:rsidR="00CC0A25" w:rsidRPr="00900086" w:rsidRDefault="00CC0A25" w:rsidP="00CC0A25">
      <w:pPr>
        <w:spacing w:after="120"/>
        <w:ind w:left="720" w:hanging="720"/>
        <w:rPr>
          <w:rFonts w:ascii="Times New Roman" w:hAnsi="Times New Roman" w:cs="Times New Roman"/>
          <w:u w:val="single"/>
        </w:rPr>
      </w:pPr>
      <w:r w:rsidRPr="00824018">
        <w:rPr>
          <w:rFonts w:ascii="Times New Roman" w:hAnsi="Times New Roman" w:cs="Times New Roman"/>
          <w:iCs/>
          <w:u w:val="single"/>
        </w:rPr>
        <w:lastRenderedPageBreak/>
        <w:t>Figure D1:</w:t>
      </w:r>
      <w:r w:rsidRPr="00824018">
        <w:rPr>
          <w:rFonts w:ascii="Times New Roman" w:hAnsi="Times New Roman" w:cs="Times New Roman"/>
          <w:u w:val="single"/>
        </w:rPr>
        <w:t xml:space="preserve"> Marginal effect of agency independence on cumulative privatization with alternative estimation procedures</w:t>
      </w:r>
    </w:p>
    <w:p w14:paraId="1D16077A" w14:textId="412A9CD1" w:rsidR="00CC0A25" w:rsidRPr="00900086" w:rsidRDefault="00E41446" w:rsidP="00CC0A25">
      <w:pPr>
        <w:rPr>
          <w:rFonts w:ascii="Times New Roman" w:hAnsi="Times New Roman" w:cs="Times New Roman"/>
        </w:rPr>
      </w:pPr>
      <w:r>
        <w:rPr>
          <w:noProof/>
        </w:rPr>
        <w:drawing>
          <wp:inline distT="0" distB="0" distL="0" distR="0" wp14:anchorId="54E44890" wp14:editId="55F23A27">
            <wp:extent cx="2499236" cy="18288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14C3AE0F" wp14:editId="7B9E3827">
            <wp:extent cx="2499236" cy="18288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1ACEDC30" wp14:editId="3DEB0E64">
            <wp:extent cx="2499236" cy="1828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p>
    <w:p w14:paraId="71298CDD" w14:textId="63D1F87A" w:rsidR="00CC0A25" w:rsidRPr="00900086" w:rsidRDefault="00E41446" w:rsidP="00CC0A25">
      <w:pPr>
        <w:rPr>
          <w:rFonts w:ascii="Times New Roman" w:hAnsi="Times New Roman" w:cs="Times New Roman"/>
        </w:rPr>
      </w:pPr>
      <w:r>
        <w:rPr>
          <w:noProof/>
        </w:rPr>
        <w:drawing>
          <wp:inline distT="0" distB="0" distL="0" distR="0" wp14:anchorId="0C5123C1" wp14:editId="4958A3DB">
            <wp:extent cx="2499236" cy="182880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1D9E8ED6" wp14:editId="26AC621C">
            <wp:extent cx="2499236" cy="18288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09364D92" wp14:editId="13AC8AEC">
            <wp:extent cx="2499236" cy="1828800"/>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p>
    <w:p w14:paraId="620DE74E" w14:textId="4D5C5C50" w:rsidR="00CC0A25" w:rsidRPr="00900086" w:rsidRDefault="00824018" w:rsidP="00CC0A25">
      <w:pPr>
        <w:rPr>
          <w:rFonts w:ascii="Times New Roman" w:hAnsi="Times New Roman" w:cs="Times New Roman"/>
        </w:rPr>
      </w:pPr>
      <w:r>
        <w:rPr>
          <w:noProof/>
        </w:rPr>
        <w:drawing>
          <wp:inline distT="0" distB="0" distL="0" distR="0" wp14:anchorId="34659195" wp14:editId="5346C4D6">
            <wp:extent cx="2499236" cy="18288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770CA56F" wp14:editId="14C1B4FB">
            <wp:extent cx="2499236" cy="1828800"/>
            <wp:effectExtent l="0" t="0" r="0"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r>
        <w:rPr>
          <w:noProof/>
        </w:rPr>
        <w:drawing>
          <wp:inline distT="0" distB="0" distL="0" distR="0" wp14:anchorId="6B4E3650" wp14:editId="614F1FC9">
            <wp:extent cx="2499236" cy="1828800"/>
            <wp:effectExtent l="0" t="0" r="0"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99236" cy="1828800"/>
                    </a:xfrm>
                    <a:prstGeom prst="rect">
                      <a:avLst/>
                    </a:prstGeom>
                    <a:noFill/>
                    <a:extLst/>
                  </pic:spPr>
                </pic:pic>
              </a:graphicData>
            </a:graphic>
          </wp:inline>
        </w:drawing>
      </w:r>
    </w:p>
    <w:p w14:paraId="4A6F8044" w14:textId="77777777" w:rsidR="00CC0A25" w:rsidRPr="00900086" w:rsidRDefault="00CC0A25" w:rsidP="00CC0A25">
      <w:pPr>
        <w:rPr>
          <w:rFonts w:ascii="Times New Roman" w:hAnsi="Times New Roman" w:cs="Times New Roman"/>
        </w:rPr>
      </w:pPr>
    </w:p>
    <w:p w14:paraId="32987DE1" w14:textId="77777777" w:rsidR="00CC0A25" w:rsidRPr="00900086" w:rsidRDefault="00CC0A25" w:rsidP="00CC0A25">
      <w:pPr>
        <w:rPr>
          <w:rFonts w:ascii="Times New Roman" w:hAnsi="Times New Roman" w:cs="Times New Roman"/>
        </w:rPr>
        <w:sectPr w:rsidR="00CC0A25" w:rsidRPr="00900086" w:rsidSect="00711AF0">
          <w:endnotePr>
            <w:numFmt w:val="decimal"/>
          </w:endnotePr>
          <w:pgSz w:w="15840" w:h="12240" w:orient="landscape"/>
          <w:pgMar w:top="1440" w:right="1440" w:bottom="1440" w:left="1440" w:header="720" w:footer="720" w:gutter="0"/>
          <w:cols w:space="720"/>
          <w:noEndnote/>
          <w:docGrid w:linePitch="326"/>
        </w:sectPr>
      </w:pPr>
    </w:p>
    <w:p w14:paraId="1F21FE07" w14:textId="77777777" w:rsidR="00CC0A25" w:rsidRPr="00900086" w:rsidRDefault="00CC0A25" w:rsidP="00CC0A25">
      <w:pPr>
        <w:spacing w:after="120"/>
        <w:ind w:left="720" w:hanging="720"/>
        <w:rPr>
          <w:rFonts w:ascii="Times New Roman" w:hAnsi="Times New Roman" w:cs="Times New Roman"/>
          <w:u w:val="single"/>
        </w:rPr>
      </w:pPr>
      <w:r w:rsidRPr="00824018">
        <w:rPr>
          <w:rFonts w:ascii="Times New Roman" w:hAnsi="Times New Roman" w:cs="Times New Roman"/>
          <w:iCs/>
          <w:u w:val="single"/>
        </w:rPr>
        <w:lastRenderedPageBreak/>
        <w:t>Figure D2:</w:t>
      </w:r>
      <w:r w:rsidRPr="00824018">
        <w:rPr>
          <w:rFonts w:ascii="Times New Roman" w:hAnsi="Times New Roman" w:cs="Times New Roman"/>
          <w:u w:val="single"/>
        </w:rPr>
        <w:t xml:space="preserve"> Marginal effect of agency independence on cumulative privatization,</w:t>
      </w:r>
      <w:r w:rsidRPr="00824018">
        <w:rPr>
          <w:rFonts w:ascii="Times New Roman" w:hAnsi="Times New Roman" w:cs="Times New Roman"/>
          <w:u w:val="single"/>
        </w:rPr>
        <w:br/>
        <w:t>1990-1999 data only</w:t>
      </w:r>
    </w:p>
    <w:p w14:paraId="761B0B7C" w14:textId="77777777" w:rsidR="00CC0A25" w:rsidRPr="00900086" w:rsidRDefault="00CC0A25" w:rsidP="00CC0A25">
      <w:pPr>
        <w:rPr>
          <w:rFonts w:ascii="Times New Roman" w:hAnsi="Times New Roman" w:cs="Times New Roman"/>
        </w:rPr>
      </w:pPr>
    </w:p>
    <w:p w14:paraId="0694960D" w14:textId="7096E374" w:rsidR="00CC0A25" w:rsidRPr="00900086" w:rsidRDefault="00824018" w:rsidP="00CC0A25">
      <w:pPr>
        <w:rPr>
          <w:rFonts w:ascii="Times New Roman" w:hAnsi="Times New Roman" w:cs="Times New Roman"/>
        </w:rPr>
      </w:pPr>
      <w:r>
        <w:rPr>
          <w:noProof/>
        </w:rPr>
        <w:drawing>
          <wp:inline distT="0" distB="0" distL="0" distR="0" wp14:anchorId="67A0C93B" wp14:editId="1E54D273">
            <wp:extent cx="5113020" cy="3741420"/>
            <wp:effectExtent l="0" t="0" r="0" b="0"/>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p>
    <w:p w14:paraId="0D4D29E5" w14:textId="77777777" w:rsidR="00CC0A25" w:rsidRPr="00900086" w:rsidRDefault="00CC0A25" w:rsidP="00CC0A25">
      <w:pPr>
        <w:rPr>
          <w:rFonts w:ascii="Times New Roman" w:hAnsi="Times New Roman" w:cs="Times New Roman"/>
        </w:rPr>
      </w:pPr>
    </w:p>
    <w:p w14:paraId="644D005E" w14:textId="77777777" w:rsidR="00CC0A25" w:rsidRPr="00900086" w:rsidRDefault="00CC0A25" w:rsidP="00CC0A25">
      <w:pPr>
        <w:rPr>
          <w:rFonts w:ascii="Times New Roman" w:hAnsi="Times New Roman" w:cs="Times New Roman"/>
        </w:rPr>
      </w:pPr>
    </w:p>
    <w:p w14:paraId="79140F9B" w14:textId="77777777" w:rsidR="00CC0A25" w:rsidRPr="00900086" w:rsidRDefault="00CC0A25" w:rsidP="00CC0A25">
      <w:pPr>
        <w:rPr>
          <w:rFonts w:ascii="Times New Roman" w:hAnsi="Times New Roman" w:cs="Times New Roman"/>
        </w:rPr>
      </w:pPr>
    </w:p>
    <w:p w14:paraId="11A79802" w14:textId="77777777" w:rsidR="00CC0A25" w:rsidRPr="00900086" w:rsidRDefault="00CC0A25" w:rsidP="00CC0A25">
      <w:pPr>
        <w:rPr>
          <w:rFonts w:ascii="Times New Roman" w:hAnsi="Times New Roman" w:cs="Times New Roman"/>
        </w:rPr>
      </w:pPr>
    </w:p>
    <w:p w14:paraId="657F5160" w14:textId="77777777" w:rsidR="00CC0A25" w:rsidRPr="00900086" w:rsidRDefault="00CC0A25" w:rsidP="00CC0A25">
      <w:pPr>
        <w:rPr>
          <w:rFonts w:ascii="Times New Roman" w:hAnsi="Times New Roman" w:cs="Times New Roman"/>
        </w:rPr>
      </w:pPr>
      <w:r w:rsidRPr="00900086">
        <w:rPr>
          <w:rFonts w:ascii="Times New Roman" w:hAnsi="Times New Roman" w:cs="Times New Roman"/>
        </w:rPr>
        <w:br w:type="page"/>
      </w:r>
    </w:p>
    <w:p w14:paraId="6061C91B" w14:textId="77777777" w:rsidR="00CC0A25" w:rsidRPr="00314AE5" w:rsidRDefault="00CC0A25" w:rsidP="00CC0A25">
      <w:pPr>
        <w:rPr>
          <w:rFonts w:ascii="Times New Roman" w:hAnsi="Times New Roman" w:cs="Times New Roman"/>
          <w:b/>
        </w:rPr>
      </w:pPr>
      <w:r w:rsidRPr="00314AE5">
        <w:rPr>
          <w:rFonts w:ascii="Times New Roman" w:hAnsi="Times New Roman" w:cs="Times New Roman"/>
          <w:b/>
        </w:rPr>
        <w:lastRenderedPageBreak/>
        <w:t>References</w:t>
      </w:r>
    </w:p>
    <w:p w14:paraId="226D0CF8" w14:textId="77777777" w:rsidR="00CC0A25" w:rsidRPr="00900086" w:rsidRDefault="00CC0A25" w:rsidP="00CC0A25">
      <w:pPr>
        <w:rPr>
          <w:rFonts w:ascii="Times New Roman" w:hAnsi="Times New Roman" w:cs="Times New Roman"/>
          <w:iCs/>
        </w:rPr>
      </w:pPr>
    </w:p>
    <w:p w14:paraId="3AAA5DB0" w14:textId="60934B7D" w:rsidR="00DA757C" w:rsidRPr="00900086" w:rsidRDefault="00DA757C" w:rsidP="00CC0A25">
      <w:pPr>
        <w:ind w:left="720" w:hanging="720"/>
        <w:rPr>
          <w:rFonts w:ascii="Times New Roman" w:hAnsi="Times New Roman" w:cs="Times New Roman"/>
        </w:rPr>
      </w:pPr>
      <w:r w:rsidRPr="00900086">
        <w:rPr>
          <w:rFonts w:ascii="Times New Roman" w:hAnsi="Times New Roman" w:cs="Times New Roman"/>
        </w:rPr>
        <w:t>Acemoglu</w:t>
      </w:r>
      <w:r w:rsidR="004C023F" w:rsidRPr="00900086">
        <w:rPr>
          <w:rFonts w:ascii="Times New Roman" w:hAnsi="Times New Roman" w:cs="Times New Roman"/>
        </w:rPr>
        <w:t xml:space="preserve"> D</w:t>
      </w:r>
      <w:r w:rsidR="003405BF">
        <w:rPr>
          <w:rFonts w:ascii="Times New Roman" w:hAnsi="Times New Roman" w:cs="Times New Roman"/>
        </w:rPr>
        <w:t>.</w:t>
      </w:r>
      <w:r w:rsidR="004C023F" w:rsidRPr="00900086">
        <w:rPr>
          <w:rFonts w:ascii="Times New Roman" w:hAnsi="Times New Roman" w:cs="Times New Roman"/>
        </w:rPr>
        <w:t xml:space="preserve"> and Robinson</w:t>
      </w:r>
      <w:r w:rsidR="003405BF">
        <w:rPr>
          <w:rFonts w:ascii="Times New Roman" w:hAnsi="Times New Roman" w:cs="Times New Roman"/>
        </w:rPr>
        <w:t>, J</w:t>
      </w:r>
      <w:r w:rsidR="004C023F" w:rsidRPr="00900086">
        <w:rPr>
          <w:rFonts w:ascii="Times New Roman" w:hAnsi="Times New Roman" w:cs="Times New Roman"/>
        </w:rPr>
        <w:t xml:space="preserve">.  2012. </w:t>
      </w:r>
      <w:r w:rsidRPr="00900086">
        <w:rPr>
          <w:rFonts w:ascii="Times New Roman" w:hAnsi="Times New Roman" w:cs="Times New Roman"/>
        </w:rPr>
        <w:t xml:space="preserve"> </w:t>
      </w:r>
      <w:r w:rsidR="004C023F" w:rsidRPr="00900086">
        <w:rPr>
          <w:rFonts w:ascii="Times New Roman" w:hAnsi="Times New Roman" w:cs="Times New Roman"/>
          <w:i/>
        </w:rPr>
        <w:t>Why Nations Fail:  The Origins of Power, Prosperity and Poverty</w:t>
      </w:r>
      <w:r w:rsidR="004C023F" w:rsidRPr="00900086">
        <w:rPr>
          <w:rFonts w:ascii="Times New Roman" w:hAnsi="Times New Roman" w:cs="Times New Roman"/>
        </w:rPr>
        <w:t>.  NY:  Crown Publishers.</w:t>
      </w:r>
    </w:p>
    <w:p w14:paraId="34D90001" w14:textId="77777777" w:rsidR="00DA757C" w:rsidRPr="00900086" w:rsidRDefault="00DA757C" w:rsidP="00CC0A25">
      <w:pPr>
        <w:ind w:left="720" w:hanging="720"/>
        <w:rPr>
          <w:rFonts w:ascii="Times New Roman" w:hAnsi="Times New Roman" w:cs="Times New Roman"/>
        </w:rPr>
      </w:pPr>
    </w:p>
    <w:p w14:paraId="4C9738BF" w14:textId="196111A3"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Beck N</w:t>
      </w:r>
      <w:r w:rsidR="003405BF">
        <w:rPr>
          <w:rFonts w:ascii="Times New Roman" w:hAnsi="Times New Roman" w:cs="Times New Roman"/>
        </w:rPr>
        <w:t>.</w:t>
      </w:r>
      <w:r w:rsidRPr="00900086">
        <w:rPr>
          <w:rFonts w:ascii="Times New Roman" w:hAnsi="Times New Roman" w:cs="Times New Roman"/>
        </w:rPr>
        <w:t xml:space="preserve"> and Katz</w:t>
      </w:r>
      <w:r w:rsidR="003405BF">
        <w:rPr>
          <w:rFonts w:ascii="Times New Roman" w:hAnsi="Times New Roman" w:cs="Times New Roman"/>
        </w:rPr>
        <w:t xml:space="preserve"> J. N</w:t>
      </w:r>
      <w:r w:rsidRPr="00900086">
        <w:rPr>
          <w:rFonts w:ascii="Times New Roman" w:hAnsi="Times New Roman" w:cs="Times New Roman"/>
        </w:rPr>
        <w:t xml:space="preserve">. 1995. “What to do (and not to do) with Time-Series Cross-Section Data,” </w:t>
      </w:r>
      <w:r w:rsidRPr="00900086">
        <w:rPr>
          <w:rFonts w:ascii="Times New Roman" w:hAnsi="Times New Roman" w:cs="Times New Roman"/>
          <w:i/>
        </w:rPr>
        <w:t xml:space="preserve">American Political Science Review </w:t>
      </w:r>
      <w:r w:rsidRPr="00900086">
        <w:rPr>
          <w:rFonts w:ascii="Times New Roman" w:hAnsi="Times New Roman" w:cs="Times New Roman"/>
        </w:rPr>
        <w:t>89(3): 634-647.</w:t>
      </w:r>
    </w:p>
    <w:p w14:paraId="6068C922" w14:textId="77777777" w:rsidR="00CC0A25" w:rsidRPr="00900086" w:rsidRDefault="00CC0A25" w:rsidP="00CC0A25">
      <w:pPr>
        <w:ind w:left="720" w:hanging="720"/>
        <w:rPr>
          <w:rFonts w:ascii="Times New Roman" w:hAnsi="Times New Roman" w:cs="Times New Roman"/>
        </w:rPr>
      </w:pPr>
    </w:p>
    <w:p w14:paraId="2EF8FDB6" w14:textId="0DC3D36E"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rPr>
        <w:t>De Hoyos R</w:t>
      </w:r>
      <w:r w:rsidR="003405BF">
        <w:rPr>
          <w:rFonts w:ascii="Times New Roman" w:hAnsi="Times New Roman" w:cs="Times New Roman"/>
        </w:rPr>
        <w:t>.</w:t>
      </w:r>
      <w:r w:rsidRPr="00900086">
        <w:rPr>
          <w:rFonts w:ascii="Times New Roman" w:hAnsi="Times New Roman" w:cs="Times New Roman"/>
        </w:rPr>
        <w:t xml:space="preserve"> E. and Sarafidis</w:t>
      </w:r>
      <w:r w:rsidR="003405BF">
        <w:rPr>
          <w:rFonts w:ascii="Times New Roman" w:hAnsi="Times New Roman" w:cs="Times New Roman"/>
        </w:rPr>
        <w:t xml:space="preserve"> V</w:t>
      </w:r>
      <w:r w:rsidRPr="00900086">
        <w:rPr>
          <w:rFonts w:ascii="Times New Roman" w:hAnsi="Times New Roman" w:cs="Times New Roman"/>
        </w:rPr>
        <w:t xml:space="preserve">. 2006. “Testing for cross-sectional dependence in panel-data models,” </w:t>
      </w:r>
      <w:r w:rsidRPr="00900086">
        <w:rPr>
          <w:rFonts w:ascii="Times New Roman" w:hAnsi="Times New Roman" w:cs="Times New Roman"/>
          <w:i/>
        </w:rPr>
        <w:t>The Stata Journal</w:t>
      </w:r>
      <w:r w:rsidRPr="00900086">
        <w:rPr>
          <w:rFonts w:ascii="Times New Roman" w:hAnsi="Times New Roman" w:cs="Times New Roman"/>
        </w:rPr>
        <w:t xml:space="preserve"> 6(4): 482-496.</w:t>
      </w:r>
    </w:p>
    <w:p w14:paraId="2129F939" w14:textId="77777777" w:rsidR="00CC0A25" w:rsidRPr="00900086" w:rsidRDefault="00CC0A25" w:rsidP="00CC0A25">
      <w:pPr>
        <w:ind w:left="720" w:hanging="720"/>
        <w:rPr>
          <w:rFonts w:ascii="Times New Roman" w:hAnsi="Times New Roman" w:cs="Times New Roman"/>
        </w:rPr>
      </w:pPr>
    </w:p>
    <w:p w14:paraId="624ACBD5" w14:textId="2C92CE59" w:rsidR="00CC0A25" w:rsidRPr="00900086" w:rsidRDefault="00CC0A25" w:rsidP="00CC0A25">
      <w:pPr>
        <w:pStyle w:val="NormalWeb"/>
        <w:widowControl w:val="0"/>
        <w:spacing w:beforeLines="0" w:after="240"/>
        <w:ind w:left="720" w:hanging="720"/>
        <w:rPr>
          <w:rFonts w:ascii="Times New Roman" w:hAnsi="Times New Roman"/>
          <w:sz w:val="24"/>
          <w:szCs w:val="24"/>
        </w:rPr>
      </w:pPr>
      <w:r w:rsidRPr="00900086">
        <w:rPr>
          <w:rFonts w:ascii="Times New Roman" w:hAnsi="Times New Roman"/>
          <w:sz w:val="24"/>
          <w:szCs w:val="24"/>
        </w:rPr>
        <w:t>Driscoll J</w:t>
      </w:r>
      <w:r w:rsidR="003405BF">
        <w:rPr>
          <w:rFonts w:ascii="Times New Roman" w:hAnsi="Times New Roman"/>
          <w:sz w:val="24"/>
          <w:szCs w:val="24"/>
        </w:rPr>
        <w:t>.</w:t>
      </w:r>
      <w:r w:rsidRPr="00900086">
        <w:rPr>
          <w:rFonts w:ascii="Times New Roman" w:hAnsi="Times New Roman"/>
          <w:sz w:val="24"/>
          <w:szCs w:val="24"/>
        </w:rPr>
        <w:t xml:space="preserve"> C. and Kraay</w:t>
      </w:r>
      <w:r w:rsidR="003405BF">
        <w:rPr>
          <w:rFonts w:ascii="Times New Roman" w:hAnsi="Times New Roman"/>
          <w:sz w:val="24"/>
          <w:szCs w:val="24"/>
        </w:rPr>
        <w:t xml:space="preserve"> A</w:t>
      </w:r>
      <w:r w:rsidRPr="00900086">
        <w:rPr>
          <w:rFonts w:ascii="Times New Roman" w:hAnsi="Times New Roman"/>
          <w:sz w:val="24"/>
          <w:szCs w:val="24"/>
        </w:rPr>
        <w:t xml:space="preserve">. 1998. “Consistent Covariance Matrix Estimation with Spatially Dependent Data,” </w:t>
      </w:r>
      <w:r w:rsidRPr="00900086">
        <w:rPr>
          <w:rFonts w:ascii="Times New Roman" w:hAnsi="Times New Roman"/>
          <w:i/>
          <w:sz w:val="24"/>
          <w:szCs w:val="24"/>
        </w:rPr>
        <w:t>Review of Economics and Statistics</w:t>
      </w:r>
      <w:r w:rsidRPr="00900086">
        <w:rPr>
          <w:rFonts w:ascii="Times New Roman" w:hAnsi="Times New Roman"/>
          <w:sz w:val="24"/>
          <w:szCs w:val="24"/>
        </w:rPr>
        <w:t xml:space="preserve"> 80(4): 549-560.</w:t>
      </w:r>
    </w:p>
    <w:p w14:paraId="6A7A9932" w14:textId="70A9EF74" w:rsidR="00CC0A25" w:rsidRPr="00900086" w:rsidRDefault="00CC0A25" w:rsidP="00CC0A25">
      <w:pPr>
        <w:ind w:left="720" w:hanging="720"/>
        <w:rPr>
          <w:rFonts w:ascii="Times New Roman" w:hAnsi="Times New Roman" w:cs="Times New Roman"/>
          <w:iCs/>
        </w:rPr>
      </w:pPr>
      <w:r w:rsidRPr="00900086">
        <w:rPr>
          <w:rFonts w:ascii="Times New Roman" w:hAnsi="Times New Roman" w:cs="Times New Roman"/>
          <w:iCs/>
        </w:rPr>
        <w:t>Guardabascio B</w:t>
      </w:r>
      <w:r w:rsidR="003405BF">
        <w:rPr>
          <w:rFonts w:ascii="Times New Roman" w:hAnsi="Times New Roman" w:cs="Times New Roman"/>
          <w:iCs/>
        </w:rPr>
        <w:t>.</w:t>
      </w:r>
      <w:r w:rsidRPr="00900086">
        <w:rPr>
          <w:rFonts w:ascii="Times New Roman" w:hAnsi="Times New Roman" w:cs="Times New Roman"/>
          <w:iCs/>
        </w:rPr>
        <w:t xml:space="preserve"> and Ventura</w:t>
      </w:r>
      <w:r w:rsidR="003405BF">
        <w:rPr>
          <w:rFonts w:ascii="Times New Roman" w:hAnsi="Times New Roman" w:cs="Times New Roman"/>
          <w:iCs/>
        </w:rPr>
        <w:t xml:space="preserve"> M</w:t>
      </w:r>
      <w:r w:rsidRPr="00900086">
        <w:rPr>
          <w:rFonts w:ascii="Times New Roman" w:hAnsi="Times New Roman" w:cs="Times New Roman"/>
          <w:iCs/>
        </w:rPr>
        <w:t xml:space="preserve">. 2014. “Estimating the Dose-Response Function through a Generalized Linear Model Approach,” </w:t>
      </w:r>
      <w:r w:rsidRPr="00900086">
        <w:rPr>
          <w:rFonts w:ascii="Times New Roman" w:hAnsi="Times New Roman" w:cs="Times New Roman"/>
          <w:i/>
          <w:iCs/>
        </w:rPr>
        <w:t xml:space="preserve">The Stata Journal </w:t>
      </w:r>
      <w:r w:rsidRPr="00900086">
        <w:rPr>
          <w:rFonts w:ascii="Times New Roman" w:hAnsi="Times New Roman" w:cs="Times New Roman"/>
          <w:iCs/>
        </w:rPr>
        <w:t>14(1): 141-158.</w:t>
      </w:r>
    </w:p>
    <w:p w14:paraId="7C5405CD" w14:textId="77777777" w:rsidR="00CC0A25" w:rsidRPr="00900086" w:rsidRDefault="00CC0A25" w:rsidP="00CC0A25">
      <w:pPr>
        <w:ind w:left="720" w:hanging="720"/>
        <w:rPr>
          <w:rFonts w:ascii="Times New Roman" w:hAnsi="Times New Roman" w:cs="Times New Roman"/>
          <w:iCs/>
        </w:rPr>
      </w:pPr>
    </w:p>
    <w:p w14:paraId="3E6F863B" w14:textId="342D5BAE" w:rsidR="00CC0A25" w:rsidRPr="00900086" w:rsidRDefault="00CC0A25" w:rsidP="00CC0A25">
      <w:pPr>
        <w:ind w:left="720" w:hanging="720"/>
        <w:rPr>
          <w:rFonts w:ascii="Times New Roman" w:hAnsi="Times New Roman" w:cs="Times New Roman"/>
          <w:iCs/>
        </w:rPr>
      </w:pPr>
      <w:r w:rsidRPr="00900086">
        <w:rPr>
          <w:rFonts w:ascii="Times New Roman" w:hAnsi="Times New Roman" w:cs="Times New Roman"/>
          <w:iCs/>
        </w:rPr>
        <w:t xml:space="preserve">Hoechle D. 2007. “Robust Standard Errors for Panel Regressions with Cross-Sectional Dependence,” </w:t>
      </w:r>
      <w:r w:rsidRPr="00900086">
        <w:rPr>
          <w:rFonts w:ascii="Times New Roman" w:hAnsi="Times New Roman" w:cs="Times New Roman"/>
          <w:i/>
          <w:iCs/>
        </w:rPr>
        <w:t xml:space="preserve">The Stata Journal </w:t>
      </w:r>
      <w:r w:rsidRPr="00900086">
        <w:rPr>
          <w:rFonts w:ascii="Times New Roman" w:hAnsi="Times New Roman" w:cs="Times New Roman"/>
          <w:iCs/>
        </w:rPr>
        <w:t>7(3): 281-312.</w:t>
      </w:r>
    </w:p>
    <w:p w14:paraId="577D498B" w14:textId="77777777" w:rsidR="00CC0A25" w:rsidRPr="00900086" w:rsidRDefault="00CC0A25" w:rsidP="00CC0A25">
      <w:pPr>
        <w:ind w:left="720" w:hanging="720"/>
        <w:rPr>
          <w:rFonts w:ascii="Times New Roman" w:hAnsi="Times New Roman" w:cs="Times New Roman"/>
          <w:iCs/>
        </w:rPr>
      </w:pPr>
    </w:p>
    <w:p w14:paraId="7C7B379A" w14:textId="1702E654" w:rsidR="00CC0A25" w:rsidRPr="00900086" w:rsidRDefault="00CC0A25" w:rsidP="00CC0A25">
      <w:pPr>
        <w:ind w:left="720" w:hanging="720"/>
        <w:rPr>
          <w:rFonts w:ascii="Times New Roman" w:hAnsi="Times New Roman" w:cs="Times New Roman"/>
        </w:rPr>
      </w:pPr>
      <w:r w:rsidRPr="00900086">
        <w:rPr>
          <w:rFonts w:ascii="Times New Roman" w:hAnsi="Times New Roman" w:cs="Times New Roman"/>
          <w:iCs/>
        </w:rPr>
        <w:t xml:space="preserve">Maddala G.S. 1983. </w:t>
      </w:r>
      <w:r w:rsidRPr="00900086">
        <w:rPr>
          <w:rFonts w:ascii="Times New Roman" w:hAnsi="Times New Roman" w:cs="Times New Roman"/>
          <w:i/>
          <w:iCs/>
        </w:rPr>
        <w:t>Limited-Dependent and Qualitative Variables in Econometrics.</w:t>
      </w:r>
      <w:r w:rsidRPr="00900086">
        <w:rPr>
          <w:rFonts w:ascii="Times New Roman" w:hAnsi="Times New Roman" w:cs="Times New Roman"/>
          <w:iCs/>
        </w:rPr>
        <w:t xml:space="preserve"> Cambridge: Cambridge University Press.</w:t>
      </w:r>
    </w:p>
    <w:p w14:paraId="18DCB1A5" w14:textId="05E919A8" w:rsidR="003B7DF0" w:rsidRPr="00900086" w:rsidRDefault="003B7DF0" w:rsidP="004C0BEE">
      <w:pPr>
        <w:spacing w:after="120"/>
        <w:ind w:left="720" w:hanging="720"/>
        <w:rPr>
          <w:rFonts w:ascii="Times New Roman" w:hAnsi="Times New Roman" w:cs="Times New Roman"/>
        </w:rPr>
      </w:pPr>
    </w:p>
    <w:p w14:paraId="05A9A20D" w14:textId="77777777" w:rsidR="00193125" w:rsidRPr="00900086" w:rsidRDefault="00193125" w:rsidP="00FF639C">
      <w:pPr>
        <w:spacing w:line="480" w:lineRule="auto"/>
        <w:rPr>
          <w:rFonts w:ascii="Times New Roman" w:hAnsi="Times New Roman" w:cs="Times New Roman"/>
        </w:rPr>
      </w:pPr>
    </w:p>
    <w:sectPr w:rsidR="00193125" w:rsidRPr="00900086" w:rsidSect="005158B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16D3" w14:textId="77777777" w:rsidR="00071A57" w:rsidRDefault="00071A57" w:rsidP="004802BF">
      <w:r>
        <w:separator/>
      </w:r>
    </w:p>
  </w:endnote>
  <w:endnote w:type="continuationSeparator" w:id="0">
    <w:p w14:paraId="2B8E5BA6" w14:textId="77777777" w:rsidR="00071A57" w:rsidRDefault="00071A57" w:rsidP="0048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86133104"/>
      <w:docPartObj>
        <w:docPartGallery w:val="Page Numbers (Bottom of Page)"/>
        <w:docPartUnique/>
      </w:docPartObj>
    </w:sdtPr>
    <w:sdtEndPr/>
    <w:sdtContent>
      <w:p w14:paraId="23E23BDF" w14:textId="77777777" w:rsidR="00C94DA8" w:rsidRPr="00DD2BCC" w:rsidRDefault="00C94DA8">
        <w:pPr>
          <w:pStyle w:val="Footer"/>
          <w:jc w:val="center"/>
          <w:rPr>
            <w:rFonts w:ascii="Times New Roman" w:hAnsi="Times New Roman" w:cs="Times New Roman"/>
          </w:rPr>
        </w:pPr>
        <w:r w:rsidRPr="00DD2BCC">
          <w:rPr>
            <w:rFonts w:ascii="Times New Roman" w:hAnsi="Times New Roman" w:cs="Times New Roman"/>
          </w:rPr>
          <w:t>A</w:t>
        </w:r>
        <w:r w:rsidRPr="00DD2BCC">
          <w:rPr>
            <w:rFonts w:ascii="Times New Roman" w:hAnsi="Times New Roman" w:cs="Times New Roman"/>
          </w:rPr>
          <w:fldChar w:fldCharType="begin"/>
        </w:r>
        <w:r w:rsidRPr="00DD2BCC">
          <w:rPr>
            <w:rFonts w:ascii="Times New Roman" w:hAnsi="Times New Roman" w:cs="Times New Roman"/>
          </w:rPr>
          <w:instrText xml:space="preserve"> PAGE   \* MERGEFORMAT </w:instrText>
        </w:r>
        <w:r w:rsidRPr="00DD2BCC">
          <w:rPr>
            <w:rFonts w:ascii="Times New Roman" w:hAnsi="Times New Roman" w:cs="Times New Roman"/>
          </w:rPr>
          <w:fldChar w:fldCharType="separate"/>
        </w:r>
        <w:r w:rsidR="00A6085A">
          <w:rPr>
            <w:rFonts w:ascii="Times New Roman" w:hAnsi="Times New Roman" w:cs="Times New Roman"/>
            <w:noProof/>
          </w:rPr>
          <w:t>2</w:t>
        </w:r>
        <w:r w:rsidRPr="00DD2BCC">
          <w:rPr>
            <w:rFonts w:ascii="Times New Roman" w:hAnsi="Times New Roman" w:cs="Times New Roman"/>
            <w:noProof/>
          </w:rPr>
          <w:fldChar w:fldCharType="end"/>
        </w:r>
      </w:p>
    </w:sdtContent>
  </w:sdt>
  <w:p w14:paraId="391F93A2" w14:textId="77777777" w:rsidR="00C94DA8" w:rsidRDefault="00C9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5146" w14:textId="77777777" w:rsidR="00071A57" w:rsidRDefault="00071A57" w:rsidP="004802BF">
      <w:r>
        <w:separator/>
      </w:r>
    </w:p>
  </w:footnote>
  <w:footnote w:type="continuationSeparator" w:id="0">
    <w:p w14:paraId="32D3311E" w14:textId="77777777" w:rsidR="00071A57" w:rsidRDefault="00071A57" w:rsidP="0048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05D"/>
    <w:multiLevelType w:val="hybridMultilevel"/>
    <w:tmpl w:val="6EE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B2EDB"/>
    <w:multiLevelType w:val="hybridMultilevel"/>
    <w:tmpl w:val="501EDF64"/>
    <w:lvl w:ilvl="0" w:tplc="33C2FB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42F47"/>
    <w:multiLevelType w:val="hybridMultilevel"/>
    <w:tmpl w:val="95821A54"/>
    <w:lvl w:ilvl="0" w:tplc="5DCA8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C57753"/>
    <w:multiLevelType w:val="hybridMultilevel"/>
    <w:tmpl w:val="04A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24C2D"/>
    <w:multiLevelType w:val="hybridMultilevel"/>
    <w:tmpl w:val="C07850C4"/>
    <w:lvl w:ilvl="0" w:tplc="A0C8BD7C">
      <w:start w:val="28"/>
      <w:numFmt w:val="bullet"/>
      <w:lvlText w:val=""/>
      <w:lvlJc w:val="left"/>
      <w:pPr>
        <w:ind w:left="720" w:hanging="360"/>
      </w:pPr>
      <w:rPr>
        <w:rFonts w:ascii="Symbol" w:eastAsiaTheme="minorEastAsia" w:hAnsi="Symbol"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50"/>
    <w:rsid w:val="00001DB1"/>
    <w:rsid w:val="00001EFF"/>
    <w:rsid w:val="00003844"/>
    <w:rsid w:val="00003F57"/>
    <w:rsid w:val="00004D8A"/>
    <w:rsid w:val="00006A34"/>
    <w:rsid w:val="00010530"/>
    <w:rsid w:val="000110DC"/>
    <w:rsid w:val="0001127D"/>
    <w:rsid w:val="00011588"/>
    <w:rsid w:val="00012C0F"/>
    <w:rsid w:val="00012CFB"/>
    <w:rsid w:val="00013A11"/>
    <w:rsid w:val="000161AD"/>
    <w:rsid w:val="00016866"/>
    <w:rsid w:val="00020BCC"/>
    <w:rsid w:val="0002189F"/>
    <w:rsid w:val="00021E1E"/>
    <w:rsid w:val="00023724"/>
    <w:rsid w:val="000256A3"/>
    <w:rsid w:val="0002572C"/>
    <w:rsid w:val="00032D9D"/>
    <w:rsid w:val="0003542A"/>
    <w:rsid w:val="00035E3A"/>
    <w:rsid w:val="000361F0"/>
    <w:rsid w:val="000366B2"/>
    <w:rsid w:val="00036D3C"/>
    <w:rsid w:val="00041461"/>
    <w:rsid w:val="00041F2D"/>
    <w:rsid w:val="0004615C"/>
    <w:rsid w:val="00046197"/>
    <w:rsid w:val="000473E0"/>
    <w:rsid w:val="00054174"/>
    <w:rsid w:val="00061045"/>
    <w:rsid w:val="0006282C"/>
    <w:rsid w:val="00063A86"/>
    <w:rsid w:val="00064C81"/>
    <w:rsid w:val="000655BD"/>
    <w:rsid w:val="000702F9"/>
    <w:rsid w:val="00071A57"/>
    <w:rsid w:val="0007266B"/>
    <w:rsid w:val="00072B1A"/>
    <w:rsid w:val="00072B8F"/>
    <w:rsid w:val="0007748E"/>
    <w:rsid w:val="00077791"/>
    <w:rsid w:val="00080702"/>
    <w:rsid w:val="00081BEE"/>
    <w:rsid w:val="00083643"/>
    <w:rsid w:val="00083D0D"/>
    <w:rsid w:val="00084AF4"/>
    <w:rsid w:val="0008725A"/>
    <w:rsid w:val="00087268"/>
    <w:rsid w:val="000919B7"/>
    <w:rsid w:val="000924D9"/>
    <w:rsid w:val="0009268E"/>
    <w:rsid w:val="00094495"/>
    <w:rsid w:val="0009454F"/>
    <w:rsid w:val="0009531C"/>
    <w:rsid w:val="00095E47"/>
    <w:rsid w:val="00096DEA"/>
    <w:rsid w:val="000A191F"/>
    <w:rsid w:val="000A2CA4"/>
    <w:rsid w:val="000A3A60"/>
    <w:rsid w:val="000A4D17"/>
    <w:rsid w:val="000A5413"/>
    <w:rsid w:val="000A5EA2"/>
    <w:rsid w:val="000B19EF"/>
    <w:rsid w:val="000B1C21"/>
    <w:rsid w:val="000B5DB1"/>
    <w:rsid w:val="000B5F59"/>
    <w:rsid w:val="000C007D"/>
    <w:rsid w:val="000C08D3"/>
    <w:rsid w:val="000C0B64"/>
    <w:rsid w:val="000C489B"/>
    <w:rsid w:val="000C5D29"/>
    <w:rsid w:val="000C5D60"/>
    <w:rsid w:val="000C6D68"/>
    <w:rsid w:val="000C6DCC"/>
    <w:rsid w:val="000D559F"/>
    <w:rsid w:val="000D59AF"/>
    <w:rsid w:val="000D5DBD"/>
    <w:rsid w:val="000D66E4"/>
    <w:rsid w:val="000D72F2"/>
    <w:rsid w:val="000E0461"/>
    <w:rsid w:val="000E3C87"/>
    <w:rsid w:val="000E4C61"/>
    <w:rsid w:val="000E6E41"/>
    <w:rsid w:val="000F41B9"/>
    <w:rsid w:val="000F4781"/>
    <w:rsid w:val="000F71B3"/>
    <w:rsid w:val="00103761"/>
    <w:rsid w:val="001059DA"/>
    <w:rsid w:val="001077C3"/>
    <w:rsid w:val="00113023"/>
    <w:rsid w:val="00113C55"/>
    <w:rsid w:val="00114131"/>
    <w:rsid w:val="00114A33"/>
    <w:rsid w:val="00114C13"/>
    <w:rsid w:val="001202E4"/>
    <w:rsid w:val="001205D5"/>
    <w:rsid w:val="0012307D"/>
    <w:rsid w:val="0012486B"/>
    <w:rsid w:val="00130DEB"/>
    <w:rsid w:val="001339AF"/>
    <w:rsid w:val="00136EBB"/>
    <w:rsid w:val="00142D6A"/>
    <w:rsid w:val="001455C9"/>
    <w:rsid w:val="00145F5B"/>
    <w:rsid w:val="00146823"/>
    <w:rsid w:val="00146CDF"/>
    <w:rsid w:val="001513CA"/>
    <w:rsid w:val="001546D8"/>
    <w:rsid w:val="0015526C"/>
    <w:rsid w:val="001600ED"/>
    <w:rsid w:val="0016134F"/>
    <w:rsid w:val="00162302"/>
    <w:rsid w:val="001642EF"/>
    <w:rsid w:val="00166F9E"/>
    <w:rsid w:val="00167A00"/>
    <w:rsid w:val="00167C73"/>
    <w:rsid w:val="00170819"/>
    <w:rsid w:val="0017162E"/>
    <w:rsid w:val="00172670"/>
    <w:rsid w:val="00173BAC"/>
    <w:rsid w:val="0017456C"/>
    <w:rsid w:val="001758F1"/>
    <w:rsid w:val="00175BB3"/>
    <w:rsid w:val="001765C8"/>
    <w:rsid w:val="0017669C"/>
    <w:rsid w:val="0018061C"/>
    <w:rsid w:val="00181277"/>
    <w:rsid w:val="001853BD"/>
    <w:rsid w:val="00193125"/>
    <w:rsid w:val="00193C89"/>
    <w:rsid w:val="00194CB7"/>
    <w:rsid w:val="00196724"/>
    <w:rsid w:val="001A18A3"/>
    <w:rsid w:val="001A1A61"/>
    <w:rsid w:val="001B10D3"/>
    <w:rsid w:val="001B2EB3"/>
    <w:rsid w:val="001B6CC1"/>
    <w:rsid w:val="001B6D19"/>
    <w:rsid w:val="001B6EA4"/>
    <w:rsid w:val="001B6F33"/>
    <w:rsid w:val="001C1AEA"/>
    <w:rsid w:val="001C1CBF"/>
    <w:rsid w:val="001C3A99"/>
    <w:rsid w:val="001C6320"/>
    <w:rsid w:val="001C7338"/>
    <w:rsid w:val="001C770A"/>
    <w:rsid w:val="001D0698"/>
    <w:rsid w:val="001D29EE"/>
    <w:rsid w:val="001D3176"/>
    <w:rsid w:val="001D5D5A"/>
    <w:rsid w:val="001D66E3"/>
    <w:rsid w:val="001E2020"/>
    <w:rsid w:val="001E22F2"/>
    <w:rsid w:val="001E41E5"/>
    <w:rsid w:val="001E5BFC"/>
    <w:rsid w:val="001E7DDF"/>
    <w:rsid w:val="001F0027"/>
    <w:rsid w:val="001F2589"/>
    <w:rsid w:val="001F39C5"/>
    <w:rsid w:val="001F525D"/>
    <w:rsid w:val="001F5707"/>
    <w:rsid w:val="001F5F88"/>
    <w:rsid w:val="00204A9C"/>
    <w:rsid w:val="0020735E"/>
    <w:rsid w:val="0021049D"/>
    <w:rsid w:val="002130A2"/>
    <w:rsid w:val="00213DE4"/>
    <w:rsid w:val="002150F9"/>
    <w:rsid w:val="00215D9E"/>
    <w:rsid w:val="00220342"/>
    <w:rsid w:val="00226983"/>
    <w:rsid w:val="00227FE1"/>
    <w:rsid w:val="00233A0F"/>
    <w:rsid w:val="002431C0"/>
    <w:rsid w:val="002450BA"/>
    <w:rsid w:val="00245588"/>
    <w:rsid w:val="0024651D"/>
    <w:rsid w:val="00246789"/>
    <w:rsid w:val="00247717"/>
    <w:rsid w:val="00251E5D"/>
    <w:rsid w:val="002530E8"/>
    <w:rsid w:val="00253E46"/>
    <w:rsid w:val="002549C2"/>
    <w:rsid w:val="00256EF7"/>
    <w:rsid w:val="00260056"/>
    <w:rsid w:val="00261995"/>
    <w:rsid w:val="00261A89"/>
    <w:rsid w:val="0026300D"/>
    <w:rsid w:val="002640E4"/>
    <w:rsid w:val="00264E61"/>
    <w:rsid w:val="0026568A"/>
    <w:rsid w:val="00265C31"/>
    <w:rsid w:val="00272EBF"/>
    <w:rsid w:val="0027419E"/>
    <w:rsid w:val="00274C75"/>
    <w:rsid w:val="00275EAE"/>
    <w:rsid w:val="0027689A"/>
    <w:rsid w:val="00281396"/>
    <w:rsid w:val="002862A9"/>
    <w:rsid w:val="00287B93"/>
    <w:rsid w:val="00287F6B"/>
    <w:rsid w:val="00290717"/>
    <w:rsid w:val="00291489"/>
    <w:rsid w:val="00291812"/>
    <w:rsid w:val="00292343"/>
    <w:rsid w:val="0029515C"/>
    <w:rsid w:val="002A1D20"/>
    <w:rsid w:val="002A390A"/>
    <w:rsid w:val="002A4C79"/>
    <w:rsid w:val="002A55A6"/>
    <w:rsid w:val="002A564E"/>
    <w:rsid w:val="002B240A"/>
    <w:rsid w:val="002B2579"/>
    <w:rsid w:val="002B2A92"/>
    <w:rsid w:val="002B5549"/>
    <w:rsid w:val="002B5E02"/>
    <w:rsid w:val="002B604B"/>
    <w:rsid w:val="002B628A"/>
    <w:rsid w:val="002C17C0"/>
    <w:rsid w:val="002C5FCA"/>
    <w:rsid w:val="002D0D41"/>
    <w:rsid w:val="002D2C40"/>
    <w:rsid w:val="002D4701"/>
    <w:rsid w:val="002D628C"/>
    <w:rsid w:val="002D7853"/>
    <w:rsid w:val="002E0524"/>
    <w:rsid w:val="002E0562"/>
    <w:rsid w:val="002E28C3"/>
    <w:rsid w:val="002E2CE6"/>
    <w:rsid w:val="002E3C03"/>
    <w:rsid w:val="002E51AF"/>
    <w:rsid w:val="002E5757"/>
    <w:rsid w:val="002E6116"/>
    <w:rsid w:val="002F158F"/>
    <w:rsid w:val="002F18A5"/>
    <w:rsid w:val="002F1E1E"/>
    <w:rsid w:val="002F3C28"/>
    <w:rsid w:val="002F3E29"/>
    <w:rsid w:val="002F7EE4"/>
    <w:rsid w:val="003015E3"/>
    <w:rsid w:val="00302CC4"/>
    <w:rsid w:val="00302F23"/>
    <w:rsid w:val="00305D19"/>
    <w:rsid w:val="0031025D"/>
    <w:rsid w:val="0031215B"/>
    <w:rsid w:val="00312C6A"/>
    <w:rsid w:val="00314AE5"/>
    <w:rsid w:val="00315355"/>
    <w:rsid w:val="003154B1"/>
    <w:rsid w:val="00321629"/>
    <w:rsid w:val="003234D4"/>
    <w:rsid w:val="003242E4"/>
    <w:rsid w:val="00327C9C"/>
    <w:rsid w:val="00331B37"/>
    <w:rsid w:val="0033340B"/>
    <w:rsid w:val="00335142"/>
    <w:rsid w:val="00336EEF"/>
    <w:rsid w:val="003405BF"/>
    <w:rsid w:val="00341959"/>
    <w:rsid w:val="00341B08"/>
    <w:rsid w:val="0034327D"/>
    <w:rsid w:val="00343D95"/>
    <w:rsid w:val="00345F37"/>
    <w:rsid w:val="00346719"/>
    <w:rsid w:val="00346723"/>
    <w:rsid w:val="00346E2D"/>
    <w:rsid w:val="00350160"/>
    <w:rsid w:val="00350C48"/>
    <w:rsid w:val="003523C7"/>
    <w:rsid w:val="003546A4"/>
    <w:rsid w:val="003561CE"/>
    <w:rsid w:val="00356B29"/>
    <w:rsid w:val="00356BEC"/>
    <w:rsid w:val="00357E52"/>
    <w:rsid w:val="00360E26"/>
    <w:rsid w:val="00361515"/>
    <w:rsid w:val="00362E61"/>
    <w:rsid w:val="003639F3"/>
    <w:rsid w:val="0036455F"/>
    <w:rsid w:val="00370110"/>
    <w:rsid w:val="00371EAC"/>
    <w:rsid w:val="00373453"/>
    <w:rsid w:val="00373913"/>
    <w:rsid w:val="00374F63"/>
    <w:rsid w:val="003755C7"/>
    <w:rsid w:val="00376A94"/>
    <w:rsid w:val="00380B8C"/>
    <w:rsid w:val="003843B2"/>
    <w:rsid w:val="00385010"/>
    <w:rsid w:val="00385E23"/>
    <w:rsid w:val="0038627D"/>
    <w:rsid w:val="00386C54"/>
    <w:rsid w:val="0039001B"/>
    <w:rsid w:val="003903D7"/>
    <w:rsid w:val="00391A5A"/>
    <w:rsid w:val="00392C43"/>
    <w:rsid w:val="0039423D"/>
    <w:rsid w:val="003946D3"/>
    <w:rsid w:val="00395E5F"/>
    <w:rsid w:val="0039712B"/>
    <w:rsid w:val="00397F11"/>
    <w:rsid w:val="003A1258"/>
    <w:rsid w:val="003A1F6F"/>
    <w:rsid w:val="003A4287"/>
    <w:rsid w:val="003A5AE5"/>
    <w:rsid w:val="003A6642"/>
    <w:rsid w:val="003A6EB1"/>
    <w:rsid w:val="003B2D51"/>
    <w:rsid w:val="003B6C46"/>
    <w:rsid w:val="003B77F1"/>
    <w:rsid w:val="003B7D40"/>
    <w:rsid w:val="003B7DF0"/>
    <w:rsid w:val="003C0BF0"/>
    <w:rsid w:val="003C4575"/>
    <w:rsid w:val="003C4C15"/>
    <w:rsid w:val="003C6A13"/>
    <w:rsid w:val="003D1AF5"/>
    <w:rsid w:val="003D4C09"/>
    <w:rsid w:val="003D4C76"/>
    <w:rsid w:val="003E1BCE"/>
    <w:rsid w:val="003E1CFE"/>
    <w:rsid w:val="003E3C8C"/>
    <w:rsid w:val="003E47A4"/>
    <w:rsid w:val="003E4AD8"/>
    <w:rsid w:val="003F054E"/>
    <w:rsid w:val="003F3AC7"/>
    <w:rsid w:val="00400D77"/>
    <w:rsid w:val="00401455"/>
    <w:rsid w:val="0040375D"/>
    <w:rsid w:val="00403E6E"/>
    <w:rsid w:val="00404BA9"/>
    <w:rsid w:val="00406128"/>
    <w:rsid w:val="004062DA"/>
    <w:rsid w:val="004066C5"/>
    <w:rsid w:val="0041115B"/>
    <w:rsid w:val="004214CE"/>
    <w:rsid w:val="004219ED"/>
    <w:rsid w:val="00433166"/>
    <w:rsid w:val="004333C0"/>
    <w:rsid w:val="004345DC"/>
    <w:rsid w:val="004348F9"/>
    <w:rsid w:val="00436B39"/>
    <w:rsid w:val="00437463"/>
    <w:rsid w:val="00441508"/>
    <w:rsid w:val="00443792"/>
    <w:rsid w:val="00446521"/>
    <w:rsid w:val="00447533"/>
    <w:rsid w:val="004475B2"/>
    <w:rsid w:val="004479F4"/>
    <w:rsid w:val="004512BC"/>
    <w:rsid w:val="0045252D"/>
    <w:rsid w:val="00453F2C"/>
    <w:rsid w:val="00454FE7"/>
    <w:rsid w:val="00455A8B"/>
    <w:rsid w:val="0046187C"/>
    <w:rsid w:val="00464043"/>
    <w:rsid w:val="00464C8B"/>
    <w:rsid w:val="0046573D"/>
    <w:rsid w:val="0046650B"/>
    <w:rsid w:val="004743E2"/>
    <w:rsid w:val="004802BF"/>
    <w:rsid w:val="00480993"/>
    <w:rsid w:val="0048237F"/>
    <w:rsid w:val="00483747"/>
    <w:rsid w:val="00485837"/>
    <w:rsid w:val="004871F9"/>
    <w:rsid w:val="004927EA"/>
    <w:rsid w:val="004A234A"/>
    <w:rsid w:val="004A32C0"/>
    <w:rsid w:val="004A3818"/>
    <w:rsid w:val="004A4D80"/>
    <w:rsid w:val="004A7CFD"/>
    <w:rsid w:val="004B0C26"/>
    <w:rsid w:val="004B0D0A"/>
    <w:rsid w:val="004B1F55"/>
    <w:rsid w:val="004B3B13"/>
    <w:rsid w:val="004B5F3A"/>
    <w:rsid w:val="004C0056"/>
    <w:rsid w:val="004C023F"/>
    <w:rsid w:val="004C02F8"/>
    <w:rsid w:val="004C0BEE"/>
    <w:rsid w:val="004C2F52"/>
    <w:rsid w:val="004C43BC"/>
    <w:rsid w:val="004C69D1"/>
    <w:rsid w:val="004C7261"/>
    <w:rsid w:val="004C7EA4"/>
    <w:rsid w:val="004D3E71"/>
    <w:rsid w:val="004E031E"/>
    <w:rsid w:val="004E1EA2"/>
    <w:rsid w:val="004F15BA"/>
    <w:rsid w:val="004F1AAB"/>
    <w:rsid w:val="004F1EFD"/>
    <w:rsid w:val="004F25AD"/>
    <w:rsid w:val="004F2F89"/>
    <w:rsid w:val="004F3376"/>
    <w:rsid w:val="004F4A18"/>
    <w:rsid w:val="004F5D00"/>
    <w:rsid w:val="004F5E20"/>
    <w:rsid w:val="004F7172"/>
    <w:rsid w:val="004F7C4E"/>
    <w:rsid w:val="0050482E"/>
    <w:rsid w:val="0051128D"/>
    <w:rsid w:val="0051233B"/>
    <w:rsid w:val="005158BC"/>
    <w:rsid w:val="00515F78"/>
    <w:rsid w:val="00516DD3"/>
    <w:rsid w:val="00523169"/>
    <w:rsid w:val="005234B1"/>
    <w:rsid w:val="005249FA"/>
    <w:rsid w:val="005254D9"/>
    <w:rsid w:val="005319A5"/>
    <w:rsid w:val="005328A7"/>
    <w:rsid w:val="00532FBB"/>
    <w:rsid w:val="00533369"/>
    <w:rsid w:val="00537279"/>
    <w:rsid w:val="00537FD6"/>
    <w:rsid w:val="005417A6"/>
    <w:rsid w:val="00541D2F"/>
    <w:rsid w:val="005424FD"/>
    <w:rsid w:val="005444A3"/>
    <w:rsid w:val="00544B8E"/>
    <w:rsid w:val="00545731"/>
    <w:rsid w:val="0055113D"/>
    <w:rsid w:val="005517B5"/>
    <w:rsid w:val="00553A43"/>
    <w:rsid w:val="005579BD"/>
    <w:rsid w:val="00557C87"/>
    <w:rsid w:val="00560D3E"/>
    <w:rsid w:val="005616C4"/>
    <w:rsid w:val="005648C3"/>
    <w:rsid w:val="005677D8"/>
    <w:rsid w:val="005705A7"/>
    <w:rsid w:val="00573DA1"/>
    <w:rsid w:val="00575D95"/>
    <w:rsid w:val="00576D6F"/>
    <w:rsid w:val="005779F4"/>
    <w:rsid w:val="00580A73"/>
    <w:rsid w:val="0058124E"/>
    <w:rsid w:val="005823DC"/>
    <w:rsid w:val="005846BD"/>
    <w:rsid w:val="00587B65"/>
    <w:rsid w:val="005906B1"/>
    <w:rsid w:val="005917F3"/>
    <w:rsid w:val="0059320C"/>
    <w:rsid w:val="00593B06"/>
    <w:rsid w:val="00593DBB"/>
    <w:rsid w:val="0059586E"/>
    <w:rsid w:val="0059673C"/>
    <w:rsid w:val="00596BAB"/>
    <w:rsid w:val="005A2175"/>
    <w:rsid w:val="005A3ADA"/>
    <w:rsid w:val="005A3D94"/>
    <w:rsid w:val="005A3F4B"/>
    <w:rsid w:val="005A49C7"/>
    <w:rsid w:val="005A6750"/>
    <w:rsid w:val="005A70F9"/>
    <w:rsid w:val="005B204B"/>
    <w:rsid w:val="005B3FE4"/>
    <w:rsid w:val="005B43EA"/>
    <w:rsid w:val="005B4B31"/>
    <w:rsid w:val="005B5C05"/>
    <w:rsid w:val="005B60FE"/>
    <w:rsid w:val="005B63E2"/>
    <w:rsid w:val="005B698B"/>
    <w:rsid w:val="005C11B4"/>
    <w:rsid w:val="005C13CD"/>
    <w:rsid w:val="005C3DC5"/>
    <w:rsid w:val="005C7768"/>
    <w:rsid w:val="005D031F"/>
    <w:rsid w:val="005D0887"/>
    <w:rsid w:val="005D14B3"/>
    <w:rsid w:val="005D21AF"/>
    <w:rsid w:val="005D2709"/>
    <w:rsid w:val="005D2754"/>
    <w:rsid w:val="005D353D"/>
    <w:rsid w:val="005D47E2"/>
    <w:rsid w:val="005D4D75"/>
    <w:rsid w:val="005D5D7C"/>
    <w:rsid w:val="005E2DBD"/>
    <w:rsid w:val="005E387D"/>
    <w:rsid w:val="005E3F16"/>
    <w:rsid w:val="005E3FA8"/>
    <w:rsid w:val="005E592C"/>
    <w:rsid w:val="005F2F1F"/>
    <w:rsid w:val="005F6039"/>
    <w:rsid w:val="005F75C5"/>
    <w:rsid w:val="006001AC"/>
    <w:rsid w:val="006026F9"/>
    <w:rsid w:val="006054F4"/>
    <w:rsid w:val="00610C55"/>
    <w:rsid w:val="006117B8"/>
    <w:rsid w:val="00611FD4"/>
    <w:rsid w:val="00612A95"/>
    <w:rsid w:val="006130CD"/>
    <w:rsid w:val="00613517"/>
    <w:rsid w:val="00613DCA"/>
    <w:rsid w:val="00615B6C"/>
    <w:rsid w:val="006172F9"/>
    <w:rsid w:val="00621143"/>
    <w:rsid w:val="00623735"/>
    <w:rsid w:val="00624A9F"/>
    <w:rsid w:val="00626084"/>
    <w:rsid w:val="00631594"/>
    <w:rsid w:val="006328EF"/>
    <w:rsid w:val="00634980"/>
    <w:rsid w:val="006368E7"/>
    <w:rsid w:val="00640770"/>
    <w:rsid w:val="00640D94"/>
    <w:rsid w:val="006411EB"/>
    <w:rsid w:val="00642EF6"/>
    <w:rsid w:val="0064428C"/>
    <w:rsid w:val="00644F40"/>
    <w:rsid w:val="0065175D"/>
    <w:rsid w:val="00651D6E"/>
    <w:rsid w:val="00653750"/>
    <w:rsid w:val="00654A32"/>
    <w:rsid w:val="00654A99"/>
    <w:rsid w:val="00654FE5"/>
    <w:rsid w:val="006551AF"/>
    <w:rsid w:val="0065539C"/>
    <w:rsid w:val="0065571F"/>
    <w:rsid w:val="00662314"/>
    <w:rsid w:val="00664CCB"/>
    <w:rsid w:val="006673A3"/>
    <w:rsid w:val="00667AC0"/>
    <w:rsid w:val="0067001B"/>
    <w:rsid w:val="00670235"/>
    <w:rsid w:val="00674362"/>
    <w:rsid w:val="006750CB"/>
    <w:rsid w:val="0067557F"/>
    <w:rsid w:val="00681DED"/>
    <w:rsid w:val="0068471A"/>
    <w:rsid w:val="00686EEA"/>
    <w:rsid w:val="00692E91"/>
    <w:rsid w:val="00693AC5"/>
    <w:rsid w:val="00696D97"/>
    <w:rsid w:val="006A0E57"/>
    <w:rsid w:val="006A46FB"/>
    <w:rsid w:val="006A5D8C"/>
    <w:rsid w:val="006A7CD7"/>
    <w:rsid w:val="006A7E37"/>
    <w:rsid w:val="006B0072"/>
    <w:rsid w:val="006B3158"/>
    <w:rsid w:val="006B3AE5"/>
    <w:rsid w:val="006C0562"/>
    <w:rsid w:val="006C0B23"/>
    <w:rsid w:val="006C36BD"/>
    <w:rsid w:val="006C40C0"/>
    <w:rsid w:val="006C6587"/>
    <w:rsid w:val="006C6926"/>
    <w:rsid w:val="006D0112"/>
    <w:rsid w:val="006D170A"/>
    <w:rsid w:val="006D6D32"/>
    <w:rsid w:val="006E1497"/>
    <w:rsid w:val="006E2AC0"/>
    <w:rsid w:val="006E3AAD"/>
    <w:rsid w:val="006E74A6"/>
    <w:rsid w:val="006E7591"/>
    <w:rsid w:val="006F024E"/>
    <w:rsid w:val="006F07DA"/>
    <w:rsid w:val="006F55D1"/>
    <w:rsid w:val="006F76FB"/>
    <w:rsid w:val="006F7DFE"/>
    <w:rsid w:val="00702F87"/>
    <w:rsid w:val="00703158"/>
    <w:rsid w:val="007049EC"/>
    <w:rsid w:val="00705336"/>
    <w:rsid w:val="0070574D"/>
    <w:rsid w:val="00706774"/>
    <w:rsid w:val="007079C0"/>
    <w:rsid w:val="00707C79"/>
    <w:rsid w:val="007103BE"/>
    <w:rsid w:val="007117CF"/>
    <w:rsid w:val="00711AF0"/>
    <w:rsid w:val="00721543"/>
    <w:rsid w:val="007241AE"/>
    <w:rsid w:val="0072494D"/>
    <w:rsid w:val="00724981"/>
    <w:rsid w:val="007257DD"/>
    <w:rsid w:val="00733FA2"/>
    <w:rsid w:val="00735701"/>
    <w:rsid w:val="00736328"/>
    <w:rsid w:val="0073679A"/>
    <w:rsid w:val="00737416"/>
    <w:rsid w:val="0074163E"/>
    <w:rsid w:val="0074199D"/>
    <w:rsid w:val="00743217"/>
    <w:rsid w:val="007443B7"/>
    <w:rsid w:val="007451F9"/>
    <w:rsid w:val="007464D0"/>
    <w:rsid w:val="0074708E"/>
    <w:rsid w:val="0074773E"/>
    <w:rsid w:val="00750220"/>
    <w:rsid w:val="00751ABB"/>
    <w:rsid w:val="00751C40"/>
    <w:rsid w:val="00752FC1"/>
    <w:rsid w:val="00756FFC"/>
    <w:rsid w:val="00761CFE"/>
    <w:rsid w:val="00773802"/>
    <w:rsid w:val="0077476A"/>
    <w:rsid w:val="00775B01"/>
    <w:rsid w:val="007766B6"/>
    <w:rsid w:val="0078071F"/>
    <w:rsid w:val="00780E7F"/>
    <w:rsid w:val="00782B88"/>
    <w:rsid w:val="00793B20"/>
    <w:rsid w:val="00795879"/>
    <w:rsid w:val="00796F1D"/>
    <w:rsid w:val="007A093B"/>
    <w:rsid w:val="007A1D63"/>
    <w:rsid w:val="007A3B5B"/>
    <w:rsid w:val="007A54EC"/>
    <w:rsid w:val="007B635E"/>
    <w:rsid w:val="007C5832"/>
    <w:rsid w:val="007D03C6"/>
    <w:rsid w:val="007D29F0"/>
    <w:rsid w:val="007D3450"/>
    <w:rsid w:val="007D426B"/>
    <w:rsid w:val="007D6B91"/>
    <w:rsid w:val="007D75E6"/>
    <w:rsid w:val="007D7CD7"/>
    <w:rsid w:val="007E4687"/>
    <w:rsid w:val="007E5B8F"/>
    <w:rsid w:val="007E615B"/>
    <w:rsid w:val="007F0BE5"/>
    <w:rsid w:val="007F1481"/>
    <w:rsid w:val="007F212D"/>
    <w:rsid w:val="007F29F9"/>
    <w:rsid w:val="007F4B3C"/>
    <w:rsid w:val="007F4DB7"/>
    <w:rsid w:val="007F6005"/>
    <w:rsid w:val="007F627C"/>
    <w:rsid w:val="00805FB1"/>
    <w:rsid w:val="00806D7B"/>
    <w:rsid w:val="00811027"/>
    <w:rsid w:val="008116D2"/>
    <w:rsid w:val="00812B4F"/>
    <w:rsid w:val="00815BF6"/>
    <w:rsid w:val="0081663E"/>
    <w:rsid w:val="0082032F"/>
    <w:rsid w:val="008210FE"/>
    <w:rsid w:val="0082160D"/>
    <w:rsid w:val="008219A5"/>
    <w:rsid w:val="00821DE9"/>
    <w:rsid w:val="008226A0"/>
    <w:rsid w:val="00822C9A"/>
    <w:rsid w:val="00824018"/>
    <w:rsid w:val="0082592D"/>
    <w:rsid w:val="0083276C"/>
    <w:rsid w:val="0083390B"/>
    <w:rsid w:val="00833B3A"/>
    <w:rsid w:val="00834E4D"/>
    <w:rsid w:val="00835165"/>
    <w:rsid w:val="00835DF9"/>
    <w:rsid w:val="008442BA"/>
    <w:rsid w:val="00845BC3"/>
    <w:rsid w:val="008474A8"/>
    <w:rsid w:val="00851621"/>
    <w:rsid w:val="00852D97"/>
    <w:rsid w:val="008537E1"/>
    <w:rsid w:val="0085460D"/>
    <w:rsid w:val="0085568A"/>
    <w:rsid w:val="00860095"/>
    <w:rsid w:val="00864026"/>
    <w:rsid w:val="008641A3"/>
    <w:rsid w:val="00867196"/>
    <w:rsid w:val="00867354"/>
    <w:rsid w:val="0087237D"/>
    <w:rsid w:val="00876514"/>
    <w:rsid w:val="008768B3"/>
    <w:rsid w:val="008808F6"/>
    <w:rsid w:val="00883F3B"/>
    <w:rsid w:val="00883F3F"/>
    <w:rsid w:val="00884BB1"/>
    <w:rsid w:val="00885A46"/>
    <w:rsid w:val="00885D97"/>
    <w:rsid w:val="00886362"/>
    <w:rsid w:val="008867FC"/>
    <w:rsid w:val="00890AB8"/>
    <w:rsid w:val="008911C9"/>
    <w:rsid w:val="00891B01"/>
    <w:rsid w:val="00892E8E"/>
    <w:rsid w:val="0089597F"/>
    <w:rsid w:val="008A027E"/>
    <w:rsid w:val="008A2096"/>
    <w:rsid w:val="008A25B9"/>
    <w:rsid w:val="008A2662"/>
    <w:rsid w:val="008A3AC5"/>
    <w:rsid w:val="008A57C7"/>
    <w:rsid w:val="008A667A"/>
    <w:rsid w:val="008A793B"/>
    <w:rsid w:val="008B0370"/>
    <w:rsid w:val="008B3E5F"/>
    <w:rsid w:val="008B4985"/>
    <w:rsid w:val="008B5583"/>
    <w:rsid w:val="008B5FDF"/>
    <w:rsid w:val="008B7EC9"/>
    <w:rsid w:val="008C0BA9"/>
    <w:rsid w:val="008C2D53"/>
    <w:rsid w:val="008C47B3"/>
    <w:rsid w:val="008C5099"/>
    <w:rsid w:val="008D0578"/>
    <w:rsid w:val="008D1011"/>
    <w:rsid w:val="008D1BDB"/>
    <w:rsid w:val="008D464C"/>
    <w:rsid w:val="008D4D5A"/>
    <w:rsid w:val="008D56D2"/>
    <w:rsid w:val="008D7326"/>
    <w:rsid w:val="008D7B4A"/>
    <w:rsid w:val="008F115C"/>
    <w:rsid w:val="00900086"/>
    <w:rsid w:val="00903E6B"/>
    <w:rsid w:val="00905256"/>
    <w:rsid w:val="00905AE4"/>
    <w:rsid w:val="00906366"/>
    <w:rsid w:val="00916DEF"/>
    <w:rsid w:val="00920AE8"/>
    <w:rsid w:val="009236CE"/>
    <w:rsid w:val="00924D04"/>
    <w:rsid w:val="00926DD8"/>
    <w:rsid w:val="00927A63"/>
    <w:rsid w:val="00930188"/>
    <w:rsid w:val="0093151B"/>
    <w:rsid w:val="009318BE"/>
    <w:rsid w:val="00931BB9"/>
    <w:rsid w:val="00934D64"/>
    <w:rsid w:val="00940624"/>
    <w:rsid w:val="00941C70"/>
    <w:rsid w:val="009457AF"/>
    <w:rsid w:val="00946A5A"/>
    <w:rsid w:val="00946FE8"/>
    <w:rsid w:val="00950D7B"/>
    <w:rsid w:val="009514EE"/>
    <w:rsid w:val="0095225A"/>
    <w:rsid w:val="00953283"/>
    <w:rsid w:val="00953E7B"/>
    <w:rsid w:val="00955F4A"/>
    <w:rsid w:val="00957673"/>
    <w:rsid w:val="009601E4"/>
    <w:rsid w:val="00960EF5"/>
    <w:rsid w:val="00961054"/>
    <w:rsid w:val="00961FC7"/>
    <w:rsid w:val="009675B5"/>
    <w:rsid w:val="00971C1A"/>
    <w:rsid w:val="009745E1"/>
    <w:rsid w:val="00974B69"/>
    <w:rsid w:val="00977026"/>
    <w:rsid w:val="009826D1"/>
    <w:rsid w:val="00991AEE"/>
    <w:rsid w:val="00991E75"/>
    <w:rsid w:val="009926B2"/>
    <w:rsid w:val="0099275F"/>
    <w:rsid w:val="0099475A"/>
    <w:rsid w:val="009963D7"/>
    <w:rsid w:val="009A237C"/>
    <w:rsid w:val="009A4EAA"/>
    <w:rsid w:val="009A60B9"/>
    <w:rsid w:val="009B1510"/>
    <w:rsid w:val="009B296A"/>
    <w:rsid w:val="009C1707"/>
    <w:rsid w:val="009C417D"/>
    <w:rsid w:val="009C447F"/>
    <w:rsid w:val="009C5E55"/>
    <w:rsid w:val="009D536F"/>
    <w:rsid w:val="009D5BA7"/>
    <w:rsid w:val="009D5BDA"/>
    <w:rsid w:val="009D6101"/>
    <w:rsid w:val="009D77A8"/>
    <w:rsid w:val="009E072F"/>
    <w:rsid w:val="009E20B7"/>
    <w:rsid w:val="009E3711"/>
    <w:rsid w:val="009E48BD"/>
    <w:rsid w:val="009F3235"/>
    <w:rsid w:val="009F595D"/>
    <w:rsid w:val="00A01C65"/>
    <w:rsid w:val="00A0547B"/>
    <w:rsid w:val="00A05970"/>
    <w:rsid w:val="00A0681C"/>
    <w:rsid w:val="00A07AAF"/>
    <w:rsid w:val="00A07DD9"/>
    <w:rsid w:val="00A1132F"/>
    <w:rsid w:val="00A115A7"/>
    <w:rsid w:val="00A12C1B"/>
    <w:rsid w:val="00A14A5F"/>
    <w:rsid w:val="00A15132"/>
    <w:rsid w:val="00A15A96"/>
    <w:rsid w:val="00A1740A"/>
    <w:rsid w:val="00A21667"/>
    <w:rsid w:val="00A23C03"/>
    <w:rsid w:val="00A26FA7"/>
    <w:rsid w:val="00A3240E"/>
    <w:rsid w:val="00A338AC"/>
    <w:rsid w:val="00A35F5D"/>
    <w:rsid w:val="00A3709C"/>
    <w:rsid w:val="00A400D1"/>
    <w:rsid w:val="00A42AE1"/>
    <w:rsid w:val="00A44C1E"/>
    <w:rsid w:val="00A451C0"/>
    <w:rsid w:val="00A45CC3"/>
    <w:rsid w:val="00A53C28"/>
    <w:rsid w:val="00A55DCB"/>
    <w:rsid w:val="00A567DD"/>
    <w:rsid w:val="00A5777C"/>
    <w:rsid w:val="00A6008B"/>
    <w:rsid w:val="00A6015D"/>
    <w:rsid w:val="00A6085A"/>
    <w:rsid w:val="00A633C3"/>
    <w:rsid w:val="00A6396F"/>
    <w:rsid w:val="00A63A08"/>
    <w:rsid w:val="00A6400E"/>
    <w:rsid w:val="00A65187"/>
    <w:rsid w:val="00A7289B"/>
    <w:rsid w:val="00A741E8"/>
    <w:rsid w:val="00A77F1D"/>
    <w:rsid w:val="00A81010"/>
    <w:rsid w:val="00A82994"/>
    <w:rsid w:val="00A86D83"/>
    <w:rsid w:val="00A8728F"/>
    <w:rsid w:val="00A91261"/>
    <w:rsid w:val="00A95166"/>
    <w:rsid w:val="00AA08C8"/>
    <w:rsid w:val="00AA1CD1"/>
    <w:rsid w:val="00AA244A"/>
    <w:rsid w:val="00AA4F48"/>
    <w:rsid w:val="00AA4FDC"/>
    <w:rsid w:val="00AA64E7"/>
    <w:rsid w:val="00AA6E24"/>
    <w:rsid w:val="00AA6F53"/>
    <w:rsid w:val="00AA6F8D"/>
    <w:rsid w:val="00AB007E"/>
    <w:rsid w:val="00AB01F3"/>
    <w:rsid w:val="00AB2675"/>
    <w:rsid w:val="00AB26AA"/>
    <w:rsid w:val="00AB3C35"/>
    <w:rsid w:val="00AB6BF1"/>
    <w:rsid w:val="00AC05C7"/>
    <w:rsid w:val="00AC3541"/>
    <w:rsid w:val="00AC5EC2"/>
    <w:rsid w:val="00AD093E"/>
    <w:rsid w:val="00AD1B3A"/>
    <w:rsid w:val="00AD5651"/>
    <w:rsid w:val="00AD7770"/>
    <w:rsid w:val="00AE0DEA"/>
    <w:rsid w:val="00AE38BA"/>
    <w:rsid w:val="00AE3C97"/>
    <w:rsid w:val="00AE551E"/>
    <w:rsid w:val="00AE56DA"/>
    <w:rsid w:val="00AE56F0"/>
    <w:rsid w:val="00AF2286"/>
    <w:rsid w:val="00AF235C"/>
    <w:rsid w:val="00AF2CC3"/>
    <w:rsid w:val="00AF6E43"/>
    <w:rsid w:val="00AF6EB8"/>
    <w:rsid w:val="00B016E0"/>
    <w:rsid w:val="00B01707"/>
    <w:rsid w:val="00B02220"/>
    <w:rsid w:val="00B043EA"/>
    <w:rsid w:val="00B04559"/>
    <w:rsid w:val="00B0456A"/>
    <w:rsid w:val="00B05196"/>
    <w:rsid w:val="00B07288"/>
    <w:rsid w:val="00B10315"/>
    <w:rsid w:val="00B13450"/>
    <w:rsid w:val="00B13FFD"/>
    <w:rsid w:val="00B140EF"/>
    <w:rsid w:val="00B2068C"/>
    <w:rsid w:val="00B20B23"/>
    <w:rsid w:val="00B25B27"/>
    <w:rsid w:val="00B266FC"/>
    <w:rsid w:val="00B335EC"/>
    <w:rsid w:val="00B337B5"/>
    <w:rsid w:val="00B40360"/>
    <w:rsid w:val="00B50364"/>
    <w:rsid w:val="00B506A0"/>
    <w:rsid w:val="00B51C31"/>
    <w:rsid w:val="00B52766"/>
    <w:rsid w:val="00B53EFF"/>
    <w:rsid w:val="00B56B7B"/>
    <w:rsid w:val="00B634AA"/>
    <w:rsid w:val="00B65D15"/>
    <w:rsid w:val="00B7066A"/>
    <w:rsid w:val="00B72CC7"/>
    <w:rsid w:val="00B73191"/>
    <w:rsid w:val="00B73B0E"/>
    <w:rsid w:val="00B744E5"/>
    <w:rsid w:val="00B74B26"/>
    <w:rsid w:val="00B84F68"/>
    <w:rsid w:val="00B8714E"/>
    <w:rsid w:val="00B87DD4"/>
    <w:rsid w:val="00B911EC"/>
    <w:rsid w:val="00B9133F"/>
    <w:rsid w:val="00B92C43"/>
    <w:rsid w:val="00B94259"/>
    <w:rsid w:val="00B96030"/>
    <w:rsid w:val="00B9797A"/>
    <w:rsid w:val="00BA001E"/>
    <w:rsid w:val="00BA2A83"/>
    <w:rsid w:val="00BA3A43"/>
    <w:rsid w:val="00BA43EF"/>
    <w:rsid w:val="00BB20D5"/>
    <w:rsid w:val="00BB2125"/>
    <w:rsid w:val="00BB3194"/>
    <w:rsid w:val="00BB3957"/>
    <w:rsid w:val="00BB3AF0"/>
    <w:rsid w:val="00BB4DD7"/>
    <w:rsid w:val="00BB5CE3"/>
    <w:rsid w:val="00BB698C"/>
    <w:rsid w:val="00BC23CE"/>
    <w:rsid w:val="00BC3578"/>
    <w:rsid w:val="00BC4618"/>
    <w:rsid w:val="00BC4D73"/>
    <w:rsid w:val="00BC6A12"/>
    <w:rsid w:val="00BC70EA"/>
    <w:rsid w:val="00BC7BD8"/>
    <w:rsid w:val="00BD12E3"/>
    <w:rsid w:val="00BD4FF9"/>
    <w:rsid w:val="00BD5635"/>
    <w:rsid w:val="00BD5C17"/>
    <w:rsid w:val="00BD7533"/>
    <w:rsid w:val="00BD7D9A"/>
    <w:rsid w:val="00BE0E7B"/>
    <w:rsid w:val="00BE2374"/>
    <w:rsid w:val="00BE2F3D"/>
    <w:rsid w:val="00BE319C"/>
    <w:rsid w:val="00BE3C7F"/>
    <w:rsid w:val="00BE506E"/>
    <w:rsid w:val="00BE605E"/>
    <w:rsid w:val="00BE75A7"/>
    <w:rsid w:val="00BF0575"/>
    <w:rsid w:val="00BF0679"/>
    <w:rsid w:val="00BF2C75"/>
    <w:rsid w:val="00BF53BB"/>
    <w:rsid w:val="00BF58EA"/>
    <w:rsid w:val="00BF68D9"/>
    <w:rsid w:val="00BF75D0"/>
    <w:rsid w:val="00BF7899"/>
    <w:rsid w:val="00C01FED"/>
    <w:rsid w:val="00C03004"/>
    <w:rsid w:val="00C04D35"/>
    <w:rsid w:val="00C10B88"/>
    <w:rsid w:val="00C13B96"/>
    <w:rsid w:val="00C13C14"/>
    <w:rsid w:val="00C14F07"/>
    <w:rsid w:val="00C20811"/>
    <w:rsid w:val="00C22033"/>
    <w:rsid w:val="00C23EBE"/>
    <w:rsid w:val="00C25AA6"/>
    <w:rsid w:val="00C26162"/>
    <w:rsid w:val="00C2753D"/>
    <w:rsid w:val="00C27F85"/>
    <w:rsid w:val="00C30756"/>
    <w:rsid w:val="00C3203E"/>
    <w:rsid w:val="00C3274F"/>
    <w:rsid w:val="00C33F51"/>
    <w:rsid w:val="00C37ED8"/>
    <w:rsid w:val="00C40BA4"/>
    <w:rsid w:val="00C4182C"/>
    <w:rsid w:val="00C41A53"/>
    <w:rsid w:val="00C42653"/>
    <w:rsid w:val="00C42956"/>
    <w:rsid w:val="00C43606"/>
    <w:rsid w:val="00C47046"/>
    <w:rsid w:val="00C47088"/>
    <w:rsid w:val="00C51C64"/>
    <w:rsid w:val="00C51F4A"/>
    <w:rsid w:val="00C5233E"/>
    <w:rsid w:val="00C528D1"/>
    <w:rsid w:val="00C53DF1"/>
    <w:rsid w:val="00C54465"/>
    <w:rsid w:val="00C55F66"/>
    <w:rsid w:val="00C562D9"/>
    <w:rsid w:val="00C568C9"/>
    <w:rsid w:val="00C57148"/>
    <w:rsid w:val="00C57913"/>
    <w:rsid w:val="00C62581"/>
    <w:rsid w:val="00C62BBE"/>
    <w:rsid w:val="00C641A9"/>
    <w:rsid w:val="00C64481"/>
    <w:rsid w:val="00C651FD"/>
    <w:rsid w:val="00C652D1"/>
    <w:rsid w:val="00C7574F"/>
    <w:rsid w:val="00C75D74"/>
    <w:rsid w:val="00C75EBD"/>
    <w:rsid w:val="00C82318"/>
    <w:rsid w:val="00C830CC"/>
    <w:rsid w:val="00C84A8E"/>
    <w:rsid w:val="00C84B33"/>
    <w:rsid w:val="00C914B7"/>
    <w:rsid w:val="00C94DA8"/>
    <w:rsid w:val="00C95560"/>
    <w:rsid w:val="00C97191"/>
    <w:rsid w:val="00CA10F9"/>
    <w:rsid w:val="00CA202B"/>
    <w:rsid w:val="00CA2251"/>
    <w:rsid w:val="00CA3175"/>
    <w:rsid w:val="00CA4226"/>
    <w:rsid w:val="00CA78DF"/>
    <w:rsid w:val="00CB03F5"/>
    <w:rsid w:val="00CB2445"/>
    <w:rsid w:val="00CB582A"/>
    <w:rsid w:val="00CB7FF4"/>
    <w:rsid w:val="00CC0A25"/>
    <w:rsid w:val="00CC4AF3"/>
    <w:rsid w:val="00CD1A2C"/>
    <w:rsid w:val="00CD3E34"/>
    <w:rsid w:val="00CD7B41"/>
    <w:rsid w:val="00CD7BAF"/>
    <w:rsid w:val="00CE0539"/>
    <w:rsid w:val="00CE3535"/>
    <w:rsid w:val="00CE3F91"/>
    <w:rsid w:val="00CE4200"/>
    <w:rsid w:val="00CE4E2E"/>
    <w:rsid w:val="00CE54C6"/>
    <w:rsid w:val="00CE6D38"/>
    <w:rsid w:val="00CE73DF"/>
    <w:rsid w:val="00CF1968"/>
    <w:rsid w:val="00CF214A"/>
    <w:rsid w:val="00CF6207"/>
    <w:rsid w:val="00CF6544"/>
    <w:rsid w:val="00CF7FDA"/>
    <w:rsid w:val="00D019A8"/>
    <w:rsid w:val="00D0273A"/>
    <w:rsid w:val="00D034D3"/>
    <w:rsid w:val="00D05986"/>
    <w:rsid w:val="00D1378E"/>
    <w:rsid w:val="00D13BE1"/>
    <w:rsid w:val="00D156F6"/>
    <w:rsid w:val="00D17001"/>
    <w:rsid w:val="00D17007"/>
    <w:rsid w:val="00D2143E"/>
    <w:rsid w:val="00D21F83"/>
    <w:rsid w:val="00D2251D"/>
    <w:rsid w:val="00D225F4"/>
    <w:rsid w:val="00D241A8"/>
    <w:rsid w:val="00D24C86"/>
    <w:rsid w:val="00D264B8"/>
    <w:rsid w:val="00D26529"/>
    <w:rsid w:val="00D267FF"/>
    <w:rsid w:val="00D275DC"/>
    <w:rsid w:val="00D31932"/>
    <w:rsid w:val="00D3437E"/>
    <w:rsid w:val="00D34601"/>
    <w:rsid w:val="00D34F8A"/>
    <w:rsid w:val="00D434DA"/>
    <w:rsid w:val="00D44A76"/>
    <w:rsid w:val="00D465A7"/>
    <w:rsid w:val="00D46E35"/>
    <w:rsid w:val="00D47FEA"/>
    <w:rsid w:val="00D5151C"/>
    <w:rsid w:val="00D5498F"/>
    <w:rsid w:val="00D55766"/>
    <w:rsid w:val="00D568E4"/>
    <w:rsid w:val="00D579B8"/>
    <w:rsid w:val="00D629FF"/>
    <w:rsid w:val="00D63A2B"/>
    <w:rsid w:val="00D6537F"/>
    <w:rsid w:val="00D66615"/>
    <w:rsid w:val="00D6724F"/>
    <w:rsid w:val="00D706B9"/>
    <w:rsid w:val="00D7236E"/>
    <w:rsid w:val="00D75342"/>
    <w:rsid w:val="00D76F9E"/>
    <w:rsid w:val="00D82AA8"/>
    <w:rsid w:val="00D82CF4"/>
    <w:rsid w:val="00D8696F"/>
    <w:rsid w:val="00D8778A"/>
    <w:rsid w:val="00D9025B"/>
    <w:rsid w:val="00D90337"/>
    <w:rsid w:val="00D9071A"/>
    <w:rsid w:val="00D92FB1"/>
    <w:rsid w:val="00D93F26"/>
    <w:rsid w:val="00D95532"/>
    <w:rsid w:val="00D9709C"/>
    <w:rsid w:val="00DA3602"/>
    <w:rsid w:val="00DA4561"/>
    <w:rsid w:val="00DA45CB"/>
    <w:rsid w:val="00DA5A19"/>
    <w:rsid w:val="00DA757C"/>
    <w:rsid w:val="00DB04BD"/>
    <w:rsid w:val="00DB0AA2"/>
    <w:rsid w:val="00DB1052"/>
    <w:rsid w:val="00DB1EA7"/>
    <w:rsid w:val="00DB30DB"/>
    <w:rsid w:val="00DB6609"/>
    <w:rsid w:val="00DC2F78"/>
    <w:rsid w:val="00DC6874"/>
    <w:rsid w:val="00DD1789"/>
    <w:rsid w:val="00DD498C"/>
    <w:rsid w:val="00DD4995"/>
    <w:rsid w:val="00DD55C9"/>
    <w:rsid w:val="00DD71CD"/>
    <w:rsid w:val="00DD76B6"/>
    <w:rsid w:val="00DE1879"/>
    <w:rsid w:val="00DE26D5"/>
    <w:rsid w:val="00DE4C64"/>
    <w:rsid w:val="00DF229C"/>
    <w:rsid w:val="00DF6819"/>
    <w:rsid w:val="00DF7AD9"/>
    <w:rsid w:val="00E01503"/>
    <w:rsid w:val="00E02FCB"/>
    <w:rsid w:val="00E04BFB"/>
    <w:rsid w:val="00E1304C"/>
    <w:rsid w:val="00E16C15"/>
    <w:rsid w:val="00E22B0B"/>
    <w:rsid w:val="00E23B16"/>
    <w:rsid w:val="00E253CA"/>
    <w:rsid w:val="00E26B22"/>
    <w:rsid w:val="00E31CB8"/>
    <w:rsid w:val="00E3513C"/>
    <w:rsid w:val="00E40076"/>
    <w:rsid w:val="00E41162"/>
    <w:rsid w:val="00E41446"/>
    <w:rsid w:val="00E41654"/>
    <w:rsid w:val="00E4289E"/>
    <w:rsid w:val="00E44A05"/>
    <w:rsid w:val="00E46B7F"/>
    <w:rsid w:val="00E46F67"/>
    <w:rsid w:val="00E50A80"/>
    <w:rsid w:val="00E52D56"/>
    <w:rsid w:val="00E53A6C"/>
    <w:rsid w:val="00E61C79"/>
    <w:rsid w:val="00E62984"/>
    <w:rsid w:val="00E63140"/>
    <w:rsid w:val="00E66834"/>
    <w:rsid w:val="00E66C56"/>
    <w:rsid w:val="00E67A34"/>
    <w:rsid w:val="00E70EC8"/>
    <w:rsid w:val="00E719CB"/>
    <w:rsid w:val="00E75776"/>
    <w:rsid w:val="00E770F5"/>
    <w:rsid w:val="00E772D9"/>
    <w:rsid w:val="00E778A6"/>
    <w:rsid w:val="00E80A49"/>
    <w:rsid w:val="00E80D07"/>
    <w:rsid w:val="00E816AF"/>
    <w:rsid w:val="00E81918"/>
    <w:rsid w:val="00E84150"/>
    <w:rsid w:val="00E85B50"/>
    <w:rsid w:val="00E86927"/>
    <w:rsid w:val="00E86F48"/>
    <w:rsid w:val="00E907D7"/>
    <w:rsid w:val="00E969E4"/>
    <w:rsid w:val="00EA0D3E"/>
    <w:rsid w:val="00EA1F9A"/>
    <w:rsid w:val="00EA202C"/>
    <w:rsid w:val="00EA2C89"/>
    <w:rsid w:val="00EA42B3"/>
    <w:rsid w:val="00EA4DED"/>
    <w:rsid w:val="00EA77CF"/>
    <w:rsid w:val="00EB0B80"/>
    <w:rsid w:val="00EB702C"/>
    <w:rsid w:val="00EC09A0"/>
    <w:rsid w:val="00EC0D61"/>
    <w:rsid w:val="00EC17E3"/>
    <w:rsid w:val="00EC181B"/>
    <w:rsid w:val="00EC3E62"/>
    <w:rsid w:val="00EC5AA0"/>
    <w:rsid w:val="00EC7B91"/>
    <w:rsid w:val="00ED23EC"/>
    <w:rsid w:val="00ED2475"/>
    <w:rsid w:val="00ED388F"/>
    <w:rsid w:val="00ED5285"/>
    <w:rsid w:val="00ED5A96"/>
    <w:rsid w:val="00ED6CC8"/>
    <w:rsid w:val="00EE2006"/>
    <w:rsid w:val="00EE3DB0"/>
    <w:rsid w:val="00EE4152"/>
    <w:rsid w:val="00EE5BE2"/>
    <w:rsid w:val="00EF0BCD"/>
    <w:rsid w:val="00EF0D00"/>
    <w:rsid w:val="00EF205B"/>
    <w:rsid w:val="00EF39C0"/>
    <w:rsid w:val="00EF3B22"/>
    <w:rsid w:val="00EF6010"/>
    <w:rsid w:val="00EF6DD0"/>
    <w:rsid w:val="00F0082C"/>
    <w:rsid w:val="00F03132"/>
    <w:rsid w:val="00F06408"/>
    <w:rsid w:val="00F065F9"/>
    <w:rsid w:val="00F12411"/>
    <w:rsid w:val="00F17711"/>
    <w:rsid w:val="00F21E15"/>
    <w:rsid w:val="00F233A1"/>
    <w:rsid w:val="00F24021"/>
    <w:rsid w:val="00F25924"/>
    <w:rsid w:val="00F346B5"/>
    <w:rsid w:val="00F366F6"/>
    <w:rsid w:val="00F36914"/>
    <w:rsid w:val="00F401FE"/>
    <w:rsid w:val="00F41E81"/>
    <w:rsid w:val="00F45D41"/>
    <w:rsid w:val="00F5076D"/>
    <w:rsid w:val="00F51E84"/>
    <w:rsid w:val="00F540CD"/>
    <w:rsid w:val="00F55B4A"/>
    <w:rsid w:val="00F5770E"/>
    <w:rsid w:val="00F60C63"/>
    <w:rsid w:val="00F61CE0"/>
    <w:rsid w:val="00F62C5A"/>
    <w:rsid w:val="00F62E1A"/>
    <w:rsid w:val="00F6372F"/>
    <w:rsid w:val="00F66246"/>
    <w:rsid w:val="00F66C82"/>
    <w:rsid w:val="00F673A6"/>
    <w:rsid w:val="00F67F78"/>
    <w:rsid w:val="00F717A6"/>
    <w:rsid w:val="00F73268"/>
    <w:rsid w:val="00F76ECF"/>
    <w:rsid w:val="00F77E26"/>
    <w:rsid w:val="00F840BA"/>
    <w:rsid w:val="00F8693B"/>
    <w:rsid w:val="00F920AD"/>
    <w:rsid w:val="00F971A1"/>
    <w:rsid w:val="00FA028B"/>
    <w:rsid w:val="00FA0661"/>
    <w:rsid w:val="00FA0B9F"/>
    <w:rsid w:val="00FA12A3"/>
    <w:rsid w:val="00FA13D7"/>
    <w:rsid w:val="00FA3E54"/>
    <w:rsid w:val="00FA59EF"/>
    <w:rsid w:val="00FB00A1"/>
    <w:rsid w:val="00FB400E"/>
    <w:rsid w:val="00FB6CFD"/>
    <w:rsid w:val="00FC16A9"/>
    <w:rsid w:val="00FC2CF6"/>
    <w:rsid w:val="00FC7A3C"/>
    <w:rsid w:val="00FC7C9E"/>
    <w:rsid w:val="00FD07C5"/>
    <w:rsid w:val="00FD1A82"/>
    <w:rsid w:val="00FD3552"/>
    <w:rsid w:val="00FD4E5C"/>
    <w:rsid w:val="00FD525C"/>
    <w:rsid w:val="00FD52FB"/>
    <w:rsid w:val="00FD61CA"/>
    <w:rsid w:val="00FD7A41"/>
    <w:rsid w:val="00FE1603"/>
    <w:rsid w:val="00FE30CB"/>
    <w:rsid w:val="00FE3158"/>
    <w:rsid w:val="00FE34E5"/>
    <w:rsid w:val="00FE3831"/>
    <w:rsid w:val="00FE4E00"/>
    <w:rsid w:val="00FE6344"/>
    <w:rsid w:val="00FE63D3"/>
    <w:rsid w:val="00FE6629"/>
    <w:rsid w:val="00FF00A7"/>
    <w:rsid w:val="00FF1D56"/>
    <w:rsid w:val="00FF29E7"/>
    <w:rsid w:val="00FF639C"/>
    <w:rsid w:val="00FF6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69697"/>
  <w15:docId w15:val="{00C0CCE2-1471-4F1E-A180-B40FDE7F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125"/>
    <w:pPr>
      <w:keepNext/>
      <w:spacing w:line="480" w:lineRule="auto"/>
      <w:outlineLvl w:val="0"/>
    </w:pPr>
    <w:rPr>
      <w:rFonts w:ascii="Times New Roman" w:eastAsia="Times New Roman" w:hAnsi="Times New Roman" w:cs="Times New Roman"/>
      <w:u w:val="single"/>
    </w:rPr>
  </w:style>
  <w:style w:type="paragraph" w:styleId="Heading4">
    <w:name w:val="heading 4"/>
    <w:basedOn w:val="Normal"/>
    <w:next w:val="Normal"/>
    <w:link w:val="Heading4Char"/>
    <w:qFormat/>
    <w:rsid w:val="00193125"/>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802BF"/>
  </w:style>
  <w:style w:type="character" w:customStyle="1" w:styleId="FootnoteTextChar">
    <w:name w:val="Footnote Text Char"/>
    <w:basedOn w:val="DefaultParagraphFont"/>
    <w:link w:val="FootnoteText"/>
    <w:rsid w:val="004802BF"/>
  </w:style>
  <w:style w:type="character" w:styleId="FootnoteReference">
    <w:name w:val="footnote reference"/>
    <w:basedOn w:val="DefaultParagraphFont"/>
    <w:unhideWhenUsed/>
    <w:rsid w:val="004802BF"/>
    <w:rPr>
      <w:vertAlign w:val="superscript"/>
    </w:rPr>
  </w:style>
  <w:style w:type="paragraph" w:styleId="EndnoteText">
    <w:name w:val="endnote text"/>
    <w:basedOn w:val="Normal"/>
    <w:link w:val="EndnoteTextChar"/>
    <w:uiPriority w:val="99"/>
    <w:unhideWhenUsed/>
    <w:rsid w:val="00BB3AF0"/>
    <w:rPr>
      <w:rFonts w:eastAsiaTheme="minorHAnsi"/>
      <w:sz w:val="20"/>
      <w:szCs w:val="20"/>
    </w:rPr>
  </w:style>
  <w:style w:type="character" w:customStyle="1" w:styleId="EndnoteTextChar">
    <w:name w:val="Endnote Text Char"/>
    <w:basedOn w:val="DefaultParagraphFont"/>
    <w:link w:val="EndnoteText"/>
    <w:uiPriority w:val="99"/>
    <w:rsid w:val="00BB3AF0"/>
    <w:rPr>
      <w:rFonts w:eastAsiaTheme="minorHAnsi"/>
      <w:sz w:val="20"/>
      <w:szCs w:val="20"/>
    </w:rPr>
  </w:style>
  <w:style w:type="character" w:styleId="EndnoteReference">
    <w:name w:val="endnote reference"/>
    <w:basedOn w:val="DefaultParagraphFont"/>
    <w:uiPriority w:val="99"/>
    <w:semiHidden/>
    <w:unhideWhenUsed/>
    <w:rsid w:val="00BB3AF0"/>
    <w:rPr>
      <w:vertAlign w:val="superscript"/>
    </w:rPr>
  </w:style>
  <w:style w:type="paragraph" w:styleId="BalloonText">
    <w:name w:val="Balloon Text"/>
    <w:basedOn w:val="Normal"/>
    <w:link w:val="BalloonTextChar"/>
    <w:uiPriority w:val="99"/>
    <w:semiHidden/>
    <w:unhideWhenUsed/>
    <w:rsid w:val="00E4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54"/>
    <w:rPr>
      <w:rFonts w:ascii="Segoe UI" w:hAnsi="Segoe UI" w:cs="Segoe UI"/>
      <w:sz w:val="18"/>
      <w:szCs w:val="18"/>
    </w:rPr>
  </w:style>
  <w:style w:type="character" w:styleId="CommentReference">
    <w:name w:val="annotation reference"/>
    <w:basedOn w:val="DefaultParagraphFont"/>
    <w:uiPriority w:val="99"/>
    <w:semiHidden/>
    <w:unhideWhenUsed/>
    <w:rsid w:val="00C47046"/>
    <w:rPr>
      <w:sz w:val="16"/>
      <w:szCs w:val="16"/>
    </w:rPr>
  </w:style>
  <w:style w:type="paragraph" w:styleId="CommentText">
    <w:name w:val="annotation text"/>
    <w:basedOn w:val="Normal"/>
    <w:link w:val="CommentTextChar"/>
    <w:uiPriority w:val="99"/>
    <w:semiHidden/>
    <w:unhideWhenUsed/>
    <w:rsid w:val="00C47046"/>
    <w:rPr>
      <w:sz w:val="20"/>
      <w:szCs w:val="20"/>
    </w:rPr>
  </w:style>
  <w:style w:type="character" w:customStyle="1" w:styleId="CommentTextChar">
    <w:name w:val="Comment Text Char"/>
    <w:basedOn w:val="DefaultParagraphFont"/>
    <w:link w:val="CommentText"/>
    <w:uiPriority w:val="99"/>
    <w:semiHidden/>
    <w:rsid w:val="00C47046"/>
    <w:rPr>
      <w:sz w:val="20"/>
      <w:szCs w:val="20"/>
    </w:rPr>
  </w:style>
  <w:style w:type="paragraph" w:styleId="CommentSubject">
    <w:name w:val="annotation subject"/>
    <w:basedOn w:val="CommentText"/>
    <w:next w:val="CommentText"/>
    <w:link w:val="CommentSubjectChar"/>
    <w:uiPriority w:val="99"/>
    <w:semiHidden/>
    <w:unhideWhenUsed/>
    <w:rsid w:val="00C47046"/>
    <w:rPr>
      <w:b/>
      <w:bCs/>
    </w:rPr>
  </w:style>
  <w:style w:type="character" w:customStyle="1" w:styleId="CommentSubjectChar">
    <w:name w:val="Comment Subject Char"/>
    <w:basedOn w:val="CommentTextChar"/>
    <w:link w:val="CommentSubject"/>
    <w:uiPriority w:val="99"/>
    <w:semiHidden/>
    <w:rsid w:val="00C47046"/>
    <w:rPr>
      <w:b/>
      <w:bCs/>
      <w:sz w:val="20"/>
      <w:szCs w:val="20"/>
    </w:rPr>
  </w:style>
  <w:style w:type="character" w:customStyle="1" w:styleId="Heading1Char">
    <w:name w:val="Heading 1 Char"/>
    <w:basedOn w:val="DefaultParagraphFont"/>
    <w:link w:val="Heading1"/>
    <w:rsid w:val="00193125"/>
    <w:rPr>
      <w:rFonts w:ascii="Times New Roman" w:eastAsia="Times New Roman" w:hAnsi="Times New Roman" w:cs="Times New Roman"/>
      <w:u w:val="single"/>
    </w:rPr>
  </w:style>
  <w:style w:type="character" w:customStyle="1" w:styleId="Heading4Char">
    <w:name w:val="Heading 4 Char"/>
    <w:basedOn w:val="DefaultParagraphFont"/>
    <w:link w:val="Heading4"/>
    <w:rsid w:val="00193125"/>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19312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93125"/>
    <w:rPr>
      <w:rFonts w:eastAsiaTheme="minorHAnsi"/>
      <w:sz w:val="22"/>
      <w:szCs w:val="22"/>
    </w:rPr>
  </w:style>
  <w:style w:type="paragraph" w:styleId="Footer">
    <w:name w:val="footer"/>
    <w:basedOn w:val="Normal"/>
    <w:link w:val="FooterChar"/>
    <w:uiPriority w:val="99"/>
    <w:unhideWhenUsed/>
    <w:rsid w:val="0019312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93125"/>
    <w:rPr>
      <w:rFonts w:eastAsiaTheme="minorHAnsi"/>
      <w:sz w:val="22"/>
      <w:szCs w:val="22"/>
    </w:rPr>
  </w:style>
  <w:style w:type="table" w:styleId="TableGrid">
    <w:name w:val="Table Grid"/>
    <w:basedOn w:val="TableNormal"/>
    <w:uiPriority w:val="39"/>
    <w:rsid w:val="0019312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125"/>
    <w:pPr>
      <w:ind w:left="720"/>
      <w:contextualSpacing/>
    </w:pPr>
    <w:rPr>
      <w:rFonts w:eastAsiaTheme="minorHAnsi"/>
      <w:sz w:val="22"/>
      <w:szCs w:val="22"/>
    </w:rPr>
  </w:style>
  <w:style w:type="paragraph" w:styleId="NormalWeb">
    <w:name w:val="Normal (Web)"/>
    <w:basedOn w:val="Normal"/>
    <w:uiPriority w:val="99"/>
    <w:rsid w:val="00193125"/>
    <w:pPr>
      <w:spacing w:beforeLines="1"/>
    </w:pPr>
    <w:rPr>
      <w:rFonts w:ascii="Times" w:eastAsiaTheme="minorHAnsi" w:hAnsi="Times" w:cs="Times New Roman"/>
      <w:sz w:val="20"/>
      <w:szCs w:val="20"/>
    </w:rPr>
  </w:style>
  <w:style w:type="character" w:styleId="Hyperlink">
    <w:name w:val="Hyperlink"/>
    <w:rsid w:val="00756FFC"/>
    <w:rPr>
      <w:color w:val="0000FF"/>
      <w:u w:val="single"/>
    </w:rPr>
  </w:style>
  <w:style w:type="paragraph" w:styleId="Revision">
    <w:name w:val="Revision"/>
    <w:hidden/>
    <w:uiPriority w:val="99"/>
    <w:semiHidden/>
    <w:rsid w:val="00321629"/>
  </w:style>
  <w:style w:type="character" w:customStyle="1" w:styleId="authors">
    <w:name w:val="§authors"/>
    <w:uiPriority w:val="99"/>
    <w:rsid w:val="008C2D53"/>
    <w:rPr>
      <w:i/>
    </w:rPr>
  </w:style>
  <w:style w:type="paragraph" w:customStyle="1" w:styleId="bib">
    <w:name w:val="§bib"/>
    <w:basedOn w:val="Normal"/>
    <w:autoRedefine/>
    <w:uiPriority w:val="99"/>
    <w:rsid w:val="008C2D53"/>
    <w:pPr>
      <w:spacing w:before="120" w:after="120" w:line="360" w:lineRule="auto"/>
      <w:ind w:left="720" w:hanging="720"/>
    </w:pPr>
    <w:rPr>
      <w:rFonts w:ascii="Times New Roman" w:eastAsia="Times New Roman" w:hAnsi="Times New Roman" w:cs="Times New Roman"/>
      <w:sz w:val="22"/>
    </w:rPr>
  </w:style>
  <w:style w:type="character" w:customStyle="1" w:styleId="date">
    <w:name w:val="§date"/>
    <w:basedOn w:val="DefaultParagraphFont"/>
    <w:uiPriority w:val="99"/>
    <w:rsid w:val="008C2D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c.com.gh/info/faq.html"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moireonline.com/01/07/322/m_efficacite-privatisations-camerounaises-analyse-theorie-gouvernance-partenariale8.html" TargetMode="External"/><Relationship Id="rId17" Type="http://schemas.openxmlformats.org/officeDocument/2006/relationships/footer" Target="footer1.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ne.com/rwanda/images/brd-old/to20.html" TargetMode="External"/><Relationship Id="rId24" Type="http://schemas.openxmlformats.org/officeDocument/2006/relationships/image" Target="media/image8.emf"/><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hyperlink" Target="http://www.dpe.gov.za" TargetMode="Externa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yperlink" Target="http://www.privatisationmalawi.org" TargetMode="Externa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http://www.fdi.net/documents/WorldBank/databases/plink/lesotho/pprogram.htm" TargetMode="External"/><Relationship Id="rId14" Type="http://schemas.openxmlformats.org/officeDocument/2006/relationships/hyperlink" Target="http://www.winne.com/rwanda/images/brd-old/to20.html"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8" Type="http://schemas.openxmlformats.org/officeDocument/2006/relationships/hyperlink" Target="http://www.dic.com.gh/info/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01E616-9A8B-46BA-B52B-02928931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Pitcher</dc:creator>
  <cp:keywords/>
  <dc:description/>
  <cp:lastModifiedBy>Teodoro, Manuel P</cp:lastModifiedBy>
  <cp:revision>40</cp:revision>
  <cp:lastPrinted>2016-03-11T00:05:00Z</cp:lastPrinted>
  <dcterms:created xsi:type="dcterms:W3CDTF">2016-09-18T14:08:00Z</dcterms:created>
  <dcterms:modified xsi:type="dcterms:W3CDTF">2016-09-27T18:23:00Z</dcterms:modified>
</cp:coreProperties>
</file>