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10B1" w14:textId="7A67EC05" w:rsidR="00DB2DBC" w:rsidRDefault="00AC49F9" w:rsidP="0098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49F9">
        <w:rPr>
          <w:rFonts w:ascii="Times New Roman" w:hAnsi="Times New Roman" w:cs="Times New Roman"/>
          <w:b/>
          <w:sz w:val="24"/>
          <w:szCs w:val="24"/>
        </w:rPr>
        <w:t>App</w:t>
      </w:r>
      <w:r w:rsidR="0062392C">
        <w:rPr>
          <w:rFonts w:ascii="Times New Roman" w:hAnsi="Times New Roman" w:cs="Times New Roman"/>
          <w:b/>
          <w:sz w:val="24"/>
          <w:szCs w:val="24"/>
        </w:rPr>
        <w:t>endix</w:t>
      </w:r>
      <w:r w:rsidR="00BC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4D3">
        <w:rPr>
          <w:rFonts w:ascii="Times New Roman" w:hAnsi="Times New Roman" w:cs="Times New Roman"/>
          <w:b/>
          <w:sz w:val="24"/>
          <w:szCs w:val="24"/>
        </w:rPr>
        <w:t>B</w:t>
      </w:r>
    </w:p>
    <w:p w14:paraId="5E9DA8D0" w14:textId="12EB1F10" w:rsidR="00F444D3" w:rsidRDefault="00F444D3" w:rsidP="00F44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appendix contains three alternative analyses to supplement the mixed-effect model analysis reported in the manuscript. Two of the analyses (Correct/Incorrect and Arcsine</w:t>
      </w:r>
      <w:r w:rsidR="00493300">
        <w:rPr>
          <w:rFonts w:ascii="Times New Roman" w:hAnsi="Times New Roman" w:cs="Times New Roman"/>
          <w:sz w:val="24"/>
          <w:szCs w:val="24"/>
        </w:rPr>
        <w:t xml:space="preserve"> Transformation</w:t>
      </w:r>
      <w:r>
        <w:rPr>
          <w:rFonts w:ascii="Times New Roman" w:hAnsi="Times New Roman" w:cs="Times New Roman"/>
          <w:sz w:val="24"/>
          <w:szCs w:val="24"/>
        </w:rPr>
        <w:t>) involve transformations of the dependent variable. A third analysis (Multinomial) uses an alternative statistical test, namely, a multinomial logistic regression. The important take-away from all three analyses is that, for their respective alternative models, they all find a significant interaction of experiment order and experimental frequency. Furthermore, the alternative models are all significantly better at describing the data compared to a baseline model without the experiment order × experimental frequency interaction.</w:t>
      </w:r>
    </w:p>
    <w:p w14:paraId="2AB265A4" w14:textId="77777777" w:rsidR="00F444D3" w:rsidRDefault="00F4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A9CDFF" w14:textId="77777777" w:rsidR="00F444D3" w:rsidRDefault="00F444D3" w:rsidP="00F44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Correct/Incorrect Analysis</w:t>
      </w:r>
    </w:p>
    <w:p w14:paraId="0FE1342F" w14:textId="3BBC4D0A" w:rsidR="00F444D3" w:rsidRDefault="00F444D3" w:rsidP="00F44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 xml:space="preserve"> – The results of the model comparison for the </w:t>
      </w:r>
      <w:r>
        <w:rPr>
          <w:rFonts w:ascii="Times New Roman" w:hAnsi="Times New Roman" w:cs="Times New Roman"/>
          <w:sz w:val="24"/>
          <w:szCs w:val="24"/>
        </w:rPr>
        <w:t>correct/incorrect (C/I) coding of children’s production accuracy</w:t>
      </w:r>
      <w:r>
        <w:rPr>
          <w:rFonts w:ascii="Times New Roman" w:hAnsi="Times New Roman" w:cs="Times New Roman"/>
          <w:sz w:val="24"/>
          <w:szCs w:val="24"/>
        </w:rPr>
        <w:t>. The baseline model with main effects was compared to an alternative model in which experiment order and experimental frequency were allowed to interact.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615"/>
        <w:gridCol w:w="1233"/>
        <w:gridCol w:w="1233"/>
        <w:gridCol w:w="1836"/>
        <w:gridCol w:w="756"/>
        <w:gridCol w:w="531"/>
        <w:gridCol w:w="1058"/>
      </w:tblGrid>
      <w:tr w:rsidR="00F444D3" w:rsidRPr="00265733" w14:paraId="32BDE299" w14:textId="77777777" w:rsidTr="006D08A9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985C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DE7B" w14:textId="77777777" w:rsidR="00F444D3" w:rsidRPr="00113F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7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0574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F4C7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54A0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7243" w14:textId="77777777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6303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286E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F444D3" w:rsidRPr="00265733" w14:paraId="34A0189B" w14:textId="77777777" w:rsidTr="006D08A9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9AACADE" w14:textId="41E44848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C/I </w:t>
            </w: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83584D5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835C594" w14:textId="1CF2233C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2595.1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1E9B5AD" w14:textId="1FA67BBB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2634.5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DEB91CE" w14:textId="5A083AC1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2581.1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41454B4D" w14:textId="779AD70B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1A669D0B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DA38131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F444D3" w:rsidRPr="00265733" w14:paraId="23A9E67F" w14:textId="77777777" w:rsidTr="006D08A9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CDCCA0C" w14:textId="271AC83F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402319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8F4FEB" w14:textId="707DCFDC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F9E267" w14:textId="534E767E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16F892C" w14:textId="74CBF69C" w:rsidR="00F444D3" w:rsidRPr="00D124B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2560.2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EEE2B49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1FF623E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D68AC62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C6722" w14:textId="77777777" w:rsidR="00F444D3" w:rsidRDefault="00F444D3" w:rsidP="00F44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0D6AC1" w14:textId="77777777" w:rsidR="00F444D3" w:rsidRDefault="00F444D3" w:rsidP="00F444D3">
      <w:pPr>
        <w:rPr>
          <w:rFonts w:ascii="Times New Roman" w:hAnsi="Times New Roman" w:cs="Times New Roman"/>
          <w:sz w:val="24"/>
          <w:szCs w:val="24"/>
        </w:rPr>
      </w:pPr>
    </w:p>
    <w:p w14:paraId="52C53B10" w14:textId="77777777" w:rsidR="00F444D3" w:rsidRDefault="00F444D3" w:rsidP="00F4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77C38E" w14:textId="2649AFB6" w:rsidR="00F444D3" w:rsidRDefault="00F444D3" w:rsidP="00F444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the alternative model was significantly better at explaining the data, it is summarized in Table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933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here was no significant effect of session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= 0.</w:t>
      </w:r>
      <w:r w:rsidR="007C43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7C43CC">
        <w:rPr>
          <w:rFonts w:ascii="Times New Roman" w:hAnsi="Times New Roman" w:cs="Times New Roman"/>
          <w:sz w:val="24"/>
          <w:szCs w:val="24"/>
        </w:rPr>
        <w:t>908)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3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lthough there was a main effect of experimental frequency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7C43C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7C43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C43CC">
        <w:rPr>
          <w:rFonts w:ascii="Times New Roman" w:hAnsi="Times New Roman" w:cs="Times New Roman"/>
          <w:sz w:val="24"/>
          <w:szCs w:val="24"/>
        </w:rPr>
        <w:t>2.60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3C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7C43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the experiment order × experimental frequency interaction was significant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-.</w:t>
      </w:r>
      <w:r w:rsidR="007C43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7C43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= -</w:t>
      </w:r>
      <w:r w:rsidR="007C43CC">
        <w:rPr>
          <w:rFonts w:ascii="Times New Roman" w:hAnsi="Times New Roman" w:cs="Times New Roman"/>
          <w:sz w:val="24"/>
          <w:szCs w:val="24"/>
        </w:rPr>
        <w:t>4.58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.001).</w:t>
      </w:r>
    </w:p>
    <w:p w14:paraId="54960A42" w14:textId="77777777" w:rsidR="00F444D3" w:rsidRDefault="00F444D3" w:rsidP="00F444D3">
      <w:pPr>
        <w:rPr>
          <w:rFonts w:ascii="Times New Roman" w:hAnsi="Times New Roman" w:cs="Times New Roman"/>
          <w:sz w:val="24"/>
          <w:szCs w:val="24"/>
        </w:rPr>
      </w:pPr>
    </w:p>
    <w:p w14:paraId="1B146091" w14:textId="77777777" w:rsidR="00F444D3" w:rsidRDefault="00F444D3" w:rsidP="00F4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C9654D" w14:textId="09FF2F63" w:rsidR="00F444D3" w:rsidRPr="00265733" w:rsidRDefault="00F444D3" w:rsidP="00F44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C43CC">
        <w:rPr>
          <w:rFonts w:ascii="Times New Roman" w:hAnsi="Times New Roman" w:cs="Times New Roman"/>
          <w:sz w:val="24"/>
          <w:szCs w:val="24"/>
        </w:rPr>
        <w:t>B3</w:t>
      </w:r>
      <w:r w:rsidRPr="00265733">
        <w:rPr>
          <w:rFonts w:ascii="Times New Roman" w:hAnsi="Times New Roman" w:cs="Times New Roman"/>
          <w:sz w:val="24"/>
          <w:szCs w:val="24"/>
        </w:rPr>
        <w:t xml:space="preserve"> – Summary of the </w:t>
      </w:r>
      <w:r>
        <w:rPr>
          <w:rFonts w:ascii="Times New Roman" w:hAnsi="Times New Roman" w:cs="Times New Roman"/>
          <w:sz w:val="24"/>
          <w:szCs w:val="24"/>
        </w:rPr>
        <w:t>alternative</w:t>
      </w:r>
      <w:r w:rsidRPr="00265733">
        <w:rPr>
          <w:rFonts w:ascii="Times New Roman" w:hAnsi="Times New Roman" w:cs="Times New Roman"/>
          <w:sz w:val="24"/>
          <w:szCs w:val="24"/>
        </w:rPr>
        <w:t xml:space="preserve"> mixed </w:t>
      </w:r>
      <w:r>
        <w:rPr>
          <w:rFonts w:ascii="Times New Roman" w:hAnsi="Times New Roman" w:cs="Times New Roman"/>
          <w:sz w:val="24"/>
          <w:szCs w:val="24"/>
        </w:rPr>
        <w:t xml:space="preserve">effects </w:t>
      </w:r>
      <w:r w:rsidRPr="00265733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3CC">
        <w:rPr>
          <w:rFonts w:ascii="Times New Roman" w:hAnsi="Times New Roman" w:cs="Times New Roman"/>
          <w:sz w:val="24"/>
          <w:szCs w:val="24"/>
        </w:rPr>
        <w:t>for the correct/incorrect (C/I) coding of children’s production accuracy</w:t>
      </w:r>
      <w:r w:rsidRPr="00265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Statistically significant fixed effects are shown in bold. The number of observations was 2068.</w:t>
      </w:r>
      <w:r w:rsidRPr="002657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260"/>
        <w:gridCol w:w="1260"/>
        <w:gridCol w:w="1080"/>
        <w:gridCol w:w="900"/>
        <w:gridCol w:w="900"/>
      </w:tblGrid>
      <w:tr w:rsidR="00F444D3" w:rsidRPr="00265733" w14:paraId="01639BC1" w14:textId="77777777" w:rsidTr="006D08A9">
        <w:tc>
          <w:tcPr>
            <w:tcW w:w="3960" w:type="dxa"/>
            <w:tcBorders>
              <w:top w:val="single" w:sz="4" w:space="0" w:color="auto"/>
            </w:tcBorders>
          </w:tcPr>
          <w:p w14:paraId="044037E2" w14:textId="77777777" w:rsidR="00F444D3" w:rsidRPr="00265733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EAC84C9" w14:textId="77777777" w:rsidR="00F444D3" w:rsidRPr="0070252A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52A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B6EE8E4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92C72" w14:textId="77777777" w:rsidR="00F444D3" w:rsidRPr="0070252A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5B0568" w14:textId="77777777" w:rsidR="00F444D3" w:rsidRPr="00CE0657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EB2127" w14:textId="77777777" w:rsidR="00F444D3" w:rsidRPr="0070252A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(&gt;|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|)</w:t>
            </w:r>
          </w:p>
        </w:tc>
      </w:tr>
      <w:tr w:rsidR="00F444D3" w:rsidRPr="00265733" w14:paraId="288344CA" w14:textId="77777777" w:rsidTr="006D08A9">
        <w:tc>
          <w:tcPr>
            <w:tcW w:w="3960" w:type="dxa"/>
          </w:tcPr>
          <w:p w14:paraId="655AF2A2" w14:textId="77777777" w:rsidR="00F444D3" w:rsidRPr="005A0D90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260" w:type="dxa"/>
            <w:vAlign w:val="center"/>
          </w:tcPr>
          <w:p w14:paraId="6D1B218B" w14:textId="67FAC49F" w:rsidR="00F444D3" w:rsidRPr="005A0D90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1.71</w:t>
            </w:r>
          </w:p>
        </w:tc>
        <w:tc>
          <w:tcPr>
            <w:tcW w:w="1260" w:type="dxa"/>
            <w:vAlign w:val="center"/>
          </w:tcPr>
          <w:p w14:paraId="44E2BDFE" w14:textId="2E10BB18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499F93B6" w14:textId="775C0A43" w:rsidR="00F444D3" w:rsidRPr="005A0D90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900" w:type="dxa"/>
            <w:vAlign w:val="center"/>
          </w:tcPr>
          <w:p w14:paraId="09F2902D" w14:textId="337E7CEF" w:rsidR="00F444D3" w:rsidRPr="005A0D90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17.42</w:t>
            </w:r>
          </w:p>
        </w:tc>
        <w:tc>
          <w:tcPr>
            <w:tcW w:w="900" w:type="dxa"/>
            <w:vAlign w:val="center"/>
          </w:tcPr>
          <w:p w14:paraId="3991C6C5" w14:textId="77777777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F444D3" w:rsidRPr="00265733" w14:paraId="558DF0C7" w14:textId="77777777" w:rsidTr="006D08A9">
        <w:tc>
          <w:tcPr>
            <w:tcW w:w="3960" w:type="dxa"/>
          </w:tcPr>
          <w:p w14:paraId="4EF2CF53" w14:textId="77777777" w:rsidR="00F444D3" w:rsidRPr="00265733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Order</w:t>
            </w:r>
          </w:p>
        </w:tc>
        <w:tc>
          <w:tcPr>
            <w:tcW w:w="1260" w:type="dxa"/>
            <w:vAlign w:val="center"/>
          </w:tcPr>
          <w:p w14:paraId="54088A1A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60" w:type="dxa"/>
            <w:vAlign w:val="center"/>
          </w:tcPr>
          <w:p w14:paraId="66A6F750" w14:textId="1EF120E3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14:paraId="2E6A992C" w14:textId="2EE23F76" w:rsidR="00F444D3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31.46</w:t>
            </w:r>
          </w:p>
        </w:tc>
        <w:tc>
          <w:tcPr>
            <w:tcW w:w="900" w:type="dxa"/>
            <w:vAlign w:val="center"/>
          </w:tcPr>
          <w:p w14:paraId="4A82F00B" w14:textId="057E001B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vAlign w:val="center"/>
          </w:tcPr>
          <w:p w14:paraId="1C3FC5A4" w14:textId="55F81F64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F444D3" w:rsidRPr="00265733" w14:paraId="2B742141" w14:textId="77777777" w:rsidTr="006D08A9">
        <w:tc>
          <w:tcPr>
            <w:tcW w:w="3960" w:type="dxa"/>
          </w:tcPr>
          <w:p w14:paraId="415AF815" w14:textId="77777777" w:rsidR="00F444D3" w:rsidRPr="005A0D90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Experimental Frequency</w:t>
            </w:r>
          </w:p>
        </w:tc>
        <w:tc>
          <w:tcPr>
            <w:tcW w:w="1260" w:type="dxa"/>
            <w:vAlign w:val="center"/>
          </w:tcPr>
          <w:p w14:paraId="59EC05C9" w14:textId="79DC87C2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14:paraId="4EA6C6C9" w14:textId="708D3B21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6F24F3E5" w14:textId="7F5E4812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2038</w:t>
            </w:r>
          </w:p>
        </w:tc>
        <w:tc>
          <w:tcPr>
            <w:tcW w:w="900" w:type="dxa"/>
            <w:vAlign w:val="center"/>
          </w:tcPr>
          <w:p w14:paraId="77AD8117" w14:textId="798F0015" w:rsidR="00F444D3" w:rsidRPr="005A0D90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2.60</w:t>
            </w:r>
          </w:p>
        </w:tc>
        <w:tc>
          <w:tcPr>
            <w:tcW w:w="900" w:type="dxa"/>
            <w:vAlign w:val="center"/>
          </w:tcPr>
          <w:p w14:paraId="563E3495" w14:textId="3AED6308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44D3" w:rsidRPr="00265733" w14:paraId="2EC564F4" w14:textId="77777777" w:rsidTr="006D08A9">
        <w:tc>
          <w:tcPr>
            <w:tcW w:w="3960" w:type="dxa"/>
          </w:tcPr>
          <w:p w14:paraId="212C8E63" w14:textId="77777777" w:rsidR="00F444D3" w:rsidRPr="00265733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1260" w:type="dxa"/>
            <w:vAlign w:val="center"/>
          </w:tcPr>
          <w:p w14:paraId="455F224A" w14:textId="237459FD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vAlign w:val="center"/>
          </w:tcPr>
          <w:p w14:paraId="6DB33ECE" w14:textId="246DFF88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107D6172" w14:textId="3B721969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14:paraId="35100897" w14:textId="5EE99E35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14:paraId="432648D8" w14:textId="52F85F24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F444D3" w:rsidRPr="00265733" w14:paraId="1525561F" w14:textId="77777777" w:rsidTr="006D08A9">
        <w:tc>
          <w:tcPr>
            <w:tcW w:w="3960" w:type="dxa"/>
          </w:tcPr>
          <w:p w14:paraId="65BEC05A" w14:textId="77777777" w:rsidR="00F444D3" w:rsidRPr="005A0D90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 Order × Experimental Frequency</w:t>
            </w:r>
          </w:p>
        </w:tc>
        <w:tc>
          <w:tcPr>
            <w:tcW w:w="1260" w:type="dxa"/>
            <w:vAlign w:val="center"/>
          </w:tcPr>
          <w:p w14:paraId="61E6231F" w14:textId="5A67C9C7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-0.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14:paraId="54DE41B7" w14:textId="64F2E95F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6D8BE112" w14:textId="6A2692B5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14:paraId="2A465658" w14:textId="3A0DB971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C43C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vAlign w:val="center"/>
          </w:tcPr>
          <w:p w14:paraId="676B2989" w14:textId="77777777" w:rsidR="00F444D3" w:rsidRPr="005A0D90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F444D3" w:rsidRPr="00265733" w14:paraId="1275FAD4" w14:textId="77777777" w:rsidTr="006D08A9">
        <w:tc>
          <w:tcPr>
            <w:tcW w:w="3960" w:type="dxa"/>
            <w:tcBorders>
              <w:top w:val="single" w:sz="4" w:space="0" w:color="auto"/>
            </w:tcBorders>
          </w:tcPr>
          <w:p w14:paraId="5465A593" w14:textId="77777777" w:rsidR="00F444D3" w:rsidRPr="00265733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A8DC8B9" w14:textId="77777777" w:rsidR="00F444D3" w:rsidRPr="00265733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C5A56A0" w14:textId="77777777" w:rsidR="00F444D3" w:rsidRPr="00265733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0B9DD72" w14:textId="77777777" w:rsidR="00F444D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70FD0F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AA90D75" w14:textId="77777777" w:rsidR="00F444D3" w:rsidRPr="00265733" w:rsidRDefault="00F444D3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3" w:rsidRPr="00265733" w14:paraId="537D6AFF" w14:textId="77777777" w:rsidTr="006D08A9">
        <w:tc>
          <w:tcPr>
            <w:tcW w:w="3960" w:type="dxa"/>
          </w:tcPr>
          <w:p w14:paraId="532448C4" w14:textId="77777777" w:rsidR="00F444D3" w:rsidRPr="00265733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(intercept)</w:t>
            </w:r>
          </w:p>
        </w:tc>
        <w:tc>
          <w:tcPr>
            <w:tcW w:w="1260" w:type="dxa"/>
            <w:vAlign w:val="center"/>
          </w:tcPr>
          <w:p w14:paraId="3208786C" w14:textId="1A42BBF8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14:paraId="0A008C52" w14:textId="23BB1D1C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14:paraId="5213EB66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3A7814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B1D70CF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3" w:rsidRPr="00265733" w14:paraId="08ED1738" w14:textId="77777777" w:rsidTr="006D08A9">
        <w:tc>
          <w:tcPr>
            <w:tcW w:w="3960" w:type="dxa"/>
            <w:tcBorders>
              <w:bottom w:val="single" w:sz="4" w:space="0" w:color="auto"/>
            </w:tcBorders>
          </w:tcPr>
          <w:p w14:paraId="0D7EA284" w14:textId="77777777" w:rsidR="00F444D3" w:rsidRDefault="00F444D3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(intercept)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2D4851" w14:textId="48AD9B90" w:rsidR="00F444D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3C2544" w14:textId="4DA963C7" w:rsidR="00F444D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4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6E7360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84D0344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D8315ED" w14:textId="77777777" w:rsidR="00F444D3" w:rsidRPr="00265733" w:rsidRDefault="00F444D3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662EA" w14:textId="4AA5108D" w:rsidR="007C43CC" w:rsidRDefault="007C43CC" w:rsidP="0098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8C428" w14:textId="77777777" w:rsidR="007C43CC" w:rsidRDefault="007C4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0A0F5D" w14:textId="51B9B493" w:rsidR="007C43CC" w:rsidRDefault="007C43CC" w:rsidP="007C4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Arcsine Transformation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41FC6503" w14:textId="6699DF59" w:rsidR="007C43CC" w:rsidRDefault="007C43CC" w:rsidP="007C4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The results of the model comparison for the</w:t>
      </w:r>
      <w:r>
        <w:rPr>
          <w:rFonts w:ascii="Times New Roman" w:hAnsi="Times New Roman" w:cs="Times New Roman"/>
          <w:sz w:val="24"/>
          <w:szCs w:val="24"/>
        </w:rPr>
        <w:t xml:space="preserve"> arcsine transformation (AT)</w:t>
      </w:r>
      <w:r>
        <w:rPr>
          <w:rFonts w:ascii="Times New Roman" w:hAnsi="Times New Roman" w:cs="Times New Roman"/>
          <w:sz w:val="24"/>
          <w:szCs w:val="24"/>
        </w:rPr>
        <w:t xml:space="preserve"> coding of children’s production accuracy. The baseline model with main effects was compared to an alternative model in which experiment order and experimental frequency were allowed to interact.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615"/>
        <w:gridCol w:w="1233"/>
        <w:gridCol w:w="1233"/>
        <w:gridCol w:w="1836"/>
        <w:gridCol w:w="756"/>
        <w:gridCol w:w="531"/>
        <w:gridCol w:w="1058"/>
      </w:tblGrid>
      <w:tr w:rsidR="007C43CC" w:rsidRPr="00265733" w14:paraId="5CEE730C" w14:textId="77777777" w:rsidTr="006D08A9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F218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33990" w14:textId="77777777" w:rsidR="007C43CC" w:rsidRPr="00113F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7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44805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A136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73B3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8720" w14:textId="77777777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9C16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BBA15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C43CC" w:rsidRPr="00265733" w14:paraId="33F7AD26" w14:textId="77777777" w:rsidTr="006D08A9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2C06EC6" w14:textId="14497A9B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B667A1E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567C915" w14:textId="7E18A55B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99A11F5" w14:textId="2F1DFC6A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1051.6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AFA9FC" w14:textId="4D22978E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4C191B69" w14:textId="5075D8FC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7A3D7683" w14:textId="54121DA1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2F88AF5" w14:textId="420EF51B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C43CC" w:rsidRPr="00265733" w14:paraId="6AE919C4" w14:textId="77777777" w:rsidTr="006D08A9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FBA63F8" w14:textId="464A340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9A00C6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CAA68" w14:textId="2A81EA05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989.67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C248FF" w14:textId="3AD6387D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1034.7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9774A29" w14:textId="0FEA0AAB" w:rsidR="007C43CC" w:rsidRPr="00D124B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973.67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0064D37A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71194DC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88895D7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E6B0B" w14:textId="77777777" w:rsidR="007C43CC" w:rsidRDefault="007C43CC" w:rsidP="007C4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AD3BC4" w14:textId="77777777" w:rsidR="007C43CC" w:rsidRDefault="007C43CC" w:rsidP="007C43CC">
      <w:pPr>
        <w:rPr>
          <w:rFonts w:ascii="Times New Roman" w:hAnsi="Times New Roman" w:cs="Times New Roman"/>
          <w:sz w:val="24"/>
          <w:szCs w:val="24"/>
        </w:rPr>
      </w:pPr>
    </w:p>
    <w:p w14:paraId="1DDAC5F1" w14:textId="77777777" w:rsidR="007C43CC" w:rsidRDefault="007C43CC" w:rsidP="007C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E86C37" w14:textId="5E5F25CD" w:rsidR="007C43CC" w:rsidRDefault="007C43CC" w:rsidP="007C43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the alternative model was significantly better at explaining the data, it is summarized in Table B</w:t>
      </w:r>
      <w:r w:rsidR="004933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below. There was no significant effect of session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.00</w:t>
      </w:r>
      <w:r w:rsidR="004933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4933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= 0.12,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.90</w:t>
      </w:r>
      <w:r w:rsidR="004933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 Although there was a main effect of experimental frequency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.08,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4933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93300">
        <w:rPr>
          <w:rFonts w:ascii="Times New Roman" w:hAnsi="Times New Roman" w:cs="Times New Roman"/>
          <w:sz w:val="24"/>
          <w:szCs w:val="24"/>
        </w:rPr>
        <w:t>4.25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00">
        <w:rPr>
          <w:rFonts w:ascii="Times New Roman" w:hAnsi="Times New Roman" w:cs="Times New Roman"/>
          <w:sz w:val="24"/>
          <w:szCs w:val="24"/>
        </w:rPr>
        <w:t>&lt; .001</w:t>
      </w:r>
      <w:r>
        <w:rPr>
          <w:rFonts w:ascii="Times New Roman" w:hAnsi="Times New Roman" w:cs="Times New Roman"/>
          <w:sz w:val="24"/>
          <w:szCs w:val="24"/>
        </w:rPr>
        <w:t>), the experiment order × experimental frequency interaction was significant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-.</w:t>
      </w:r>
      <w:r w:rsidR="0049330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4933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= -4.</w:t>
      </w:r>
      <w:r w:rsidR="00493300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.001).</w:t>
      </w:r>
    </w:p>
    <w:p w14:paraId="2B8C66A1" w14:textId="77777777" w:rsidR="007C43CC" w:rsidRDefault="007C43CC" w:rsidP="007C43CC">
      <w:pPr>
        <w:rPr>
          <w:rFonts w:ascii="Times New Roman" w:hAnsi="Times New Roman" w:cs="Times New Roman"/>
          <w:sz w:val="24"/>
          <w:szCs w:val="24"/>
        </w:rPr>
      </w:pPr>
    </w:p>
    <w:p w14:paraId="4449F0A6" w14:textId="77777777" w:rsidR="007C43CC" w:rsidRDefault="007C43CC" w:rsidP="007C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A1F90D" w14:textId="384E292D" w:rsidR="007C43CC" w:rsidRPr="00265733" w:rsidRDefault="007C43CC" w:rsidP="007C4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B</w:t>
      </w:r>
      <w:r w:rsidR="00493300">
        <w:rPr>
          <w:rFonts w:ascii="Times New Roman" w:hAnsi="Times New Roman" w:cs="Times New Roman"/>
          <w:sz w:val="24"/>
          <w:szCs w:val="24"/>
        </w:rPr>
        <w:t>5</w:t>
      </w:r>
      <w:r w:rsidRPr="00265733">
        <w:rPr>
          <w:rFonts w:ascii="Times New Roman" w:hAnsi="Times New Roman" w:cs="Times New Roman"/>
          <w:sz w:val="24"/>
          <w:szCs w:val="24"/>
        </w:rPr>
        <w:t xml:space="preserve"> – Summary of the </w:t>
      </w:r>
      <w:r>
        <w:rPr>
          <w:rFonts w:ascii="Times New Roman" w:hAnsi="Times New Roman" w:cs="Times New Roman"/>
          <w:sz w:val="24"/>
          <w:szCs w:val="24"/>
        </w:rPr>
        <w:t>alternative</w:t>
      </w:r>
      <w:r w:rsidRPr="00265733">
        <w:rPr>
          <w:rFonts w:ascii="Times New Roman" w:hAnsi="Times New Roman" w:cs="Times New Roman"/>
          <w:sz w:val="24"/>
          <w:szCs w:val="24"/>
        </w:rPr>
        <w:t xml:space="preserve"> mixed </w:t>
      </w:r>
      <w:r>
        <w:rPr>
          <w:rFonts w:ascii="Times New Roman" w:hAnsi="Times New Roman" w:cs="Times New Roman"/>
          <w:sz w:val="24"/>
          <w:szCs w:val="24"/>
        </w:rPr>
        <w:t xml:space="preserve">effects </w:t>
      </w:r>
      <w:r w:rsidRPr="00265733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for the correct/incorrect (C/I) coding of children’s production accuracy</w:t>
      </w:r>
      <w:r w:rsidRPr="00265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Statistically significant fixed effects are shown in bold. The number of observations was 2068.</w:t>
      </w:r>
      <w:r w:rsidRPr="002657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260"/>
        <w:gridCol w:w="1260"/>
        <w:gridCol w:w="1080"/>
        <w:gridCol w:w="900"/>
        <w:gridCol w:w="900"/>
      </w:tblGrid>
      <w:tr w:rsidR="007C43CC" w:rsidRPr="00265733" w14:paraId="56293923" w14:textId="77777777" w:rsidTr="006D08A9">
        <w:tc>
          <w:tcPr>
            <w:tcW w:w="3960" w:type="dxa"/>
            <w:tcBorders>
              <w:top w:val="single" w:sz="4" w:space="0" w:color="auto"/>
            </w:tcBorders>
          </w:tcPr>
          <w:p w14:paraId="57DC6560" w14:textId="77777777" w:rsidR="007C43CC" w:rsidRPr="00265733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D2A052B" w14:textId="77777777" w:rsidR="007C43CC" w:rsidRPr="0070252A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52A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0150EAD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E0C457" w14:textId="77777777" w:rsidR="007C43CC" w:rsidRPr="0070252A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D8E7A4" w14:textId="77777777" w:rsidR="007C43CC" w:rsidRPr="00CE0657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3B5499" w14:textId="77777777" w:rsidR="007C43CC" w:rsidRPr="0070252A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(&gt;|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|)</w:t>
            </w:r>
          </w:p>
        </w:tc>
      </w:tr>
      <w:tr w:rsidR="007C43CC" w:rsidRPr="00265733" w14:paraId="20A8E008" w14:textId="77777777" w:rsidTr="006D08A9">
        <w:tc>
          <w:tcPr>
            <w:tcW w:w="3960" w:type="dxa"/>
          </w:tcPr>
          <w:p w14:paraId="0681DF77" w14:textId="77777777" w:rsidR="007C43CC" w:rsidRPr="005A0D90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260" w:type="dxa"/>
            <w:vAlign w:val="center"/>
          </w:tcPr>
          <w:p w14:paraId="3F669359" w14:textId="28E79602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</w:p>
        </w:tc>
        <w:tc>
          <w:tcPr>
            <w:tcW w:w="1260" w:type="dxa"/>
            <w:vAlign w:val="center"/>
          </w:tcPr>
          <w:p w14:paraId="5D2FA33C" w14:textId="088DB43A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</w:p>
        </w:tc>
        <w:tc>
          <w:tcPr>
            <w:tcW w:w="1080" w:type="dxa"/>
            <w:vAlign w:val="center"/>
          </w:tcPr>
          <w:p w14:paraId="07960FD7" w14:textId="36B50CB8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19.42</w:t>
            </w:r>
          </w:p>
        </w:tc>
        <w:tc>
          <w:tcPr>
            <w:tcW w:w="900" w:type="dxa"/>
            <w:vAlign w:val="center"/>
          </w:tcPr>
          <w:p w14:paraId="22EA52D2" w14:textId="7A5741C9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00" w:type="dxa"/>
            <w:vAlign w:val="center"/>
          </w:tcPr>
          <w:p w14:paraId="1278001C" w14:textId="4B68665C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7C43CC" w:rsidRPr="00265733" w14:paraId="155DE4FF" w14:textId="77777777" w:rsidTr="006D08A9">
        <w:tc>
          <w:tcPr>
            <w:tcW w:w="3960" w:type="dxa"/>
          </w:tcPr>
          <w:p w14:paraId="09A74CAE" w14:textId="77777777" w:rsidR="007C43CC" w:rsidRPr="00265733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Order</w:t>
            </w:r>
          </w:p>
        </w:tc>
        <w:tc>
          <w:tcPr>
            <w:tcW w:w="1260" w:type="dxa"/>
            <w:vAlign w:val="center"/>
          </w:tcPr>
          <w:p w14:paraId="72356468" w14:textId="5A407942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260" w:type="dxa"/>
            <w:vAlign w:val="center"/>
          </w:tcPr>
          <w:p w14:paraId="0559E8A4" w14:textId="202E5019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80" w:type="dxa"/>
            <w:vAlign w:val="center"/>
          </w:tcPr>
          <w:p w14:paraId="653E7C9F" w14:textId="23725BBC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31.69</w:t>
            </w:r>
          </w:p>
        </w:tc>
        <w:tc>
          <w:tcPr>
            <w:tcW w:w="900" w:type="dxa"/>
            <w:vAlign w:val="center"/>
          </w:tcPr>
          <w:p w14:paraId="293FBD93" w14:textId="5CCAE14F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900" w:type="dxa"/>
            <w:vAlign w:val="center"/>
          </w:tcPr>
          <w:p w14:paraId="0D5873C4" w14:textId="7AE1E554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</w:tr>
      <w:tr w:rsidR="007C43CC" w:rsidRPr="00265733" w14:paraId="0C0EBA12" w14:textId="77777777" w:rsidTr="006D08A9">
        <w:tc>
          <w:tcPr>
            <w:tcW w:w="3960" w:type="dxa"/>
          </w:tcPr>
          <w:p w14:paraId="4E26C65B" w14:textId="77777777" w:rsidR="007C43CC" w:rsidRPr="005A0D90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Experimental Frequency</w:t>
            </w:r>
          </w:p>
        </w:tc>
        <w:tc>
          <w:tcPr>
            <w:tcW w:w="1260" w:type="dxa"/>
            <w:vAlign w:val="center"/>
          </w:tcPr>
          <w:p w14:paraId="409461FB" w14:textId="3804D476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1260" w:type="dxa"/>
            <w:vAlign w:val="center"/>
          </w:tcPr>
          <w:p w14:paraId="177FBA9E" w14:textId="5B7ACFB5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80" w:type="dxa"/>
            <w:vAlign w:val="center"/>
          </w:tcPr>
          <w:p w14:paraId="1A271079" w14:textId="454770EB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</w:t>
            </w:r>
          </w:p>
        </w:tc>
        <w:tc>
          <w:tcPr>
            <w:tcW w:w="900" w:type="dxa"/>
            <w:vAlign w:val="center"/>
          </w:tcPr>
          <w:p w14:paraId="67AFB9F6" w14:textId="7A2DE999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900" w:type="dxa"/>
            <w:vAlign w:val="center"/>
          </w:tcPr>
          <w:p w14:paraId="5B7E018F" w14:textId="69756D4C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7C43CC" w:rsidRPr="00265733" w14:paraId="4EA84807" w14:textId="77777777" w:rsidTr="006D08A9">
        <w:tc>
          <w:tcPr>
            <w:tcW w:w="3960" w:type="dxa"/>
          </w:tcPr>
          <w:p w14:paraId="2C050654" w14:textId="77777777" w:rsidR="007C43CC" w:rsidRPr="00265733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1260" w:type="dxa"/>
            <w:vAlign w:val="center"/>
          </w:tcPr>
          <w:p w14:paraId="57D08A6C" w14:textId="15B910B6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60" w:type="dxa"/>
            <w:vAlign w:val="center"/>
          </w:tcPr>
          <w:p w14:paraId="765B3D21" w14:textId="7A65986F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0" w:type="dxa"/>
            <w:vAlign w:val="center"/>
          </w:tcPr>
          <w:p w14:paraId="25450A69" w14:textId="118EE3AE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00" w:type="dxa"/>
            <w:vAlign w:val="center"/>
          </w:tcPr>
          <w:p w14:paraId="64AD1584" w14:textId="6546CA6B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00" w:type="dxa"/>
            <w:vAlign w:val="center"/>
          </w:tcPr>
          <w:p w14:paraId="5F1F4BB5" w14:textId="55E4BE38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.903</w:t>
            </w:r>
          </w:p>
        </w:tc>
      </w:tr>
      <w:tr w:rsidR="007C43CC" w:rsidRPr="00265733" w14:paraId="41D0E009" w14:textId="77777777" w:rsidTr="006D08A9">
        <w:tc>
          <w:tcPr>
            <w:tcW w:w="3960" w:type="dxa"/>
          </w:tcPr>
          <w:p w14:paraId="28E01640" w14:textId="77777777" w:rsidR="007C43CC" w:rsidRPr="005A0D90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 Order × Experimental Frequency</w:t>
            </w:r>
          </w:p>
        </w:tc>
        <w:tc>
          <w:tcPr>
            <w:tcW w:w="1260" w:type="dxa"/>
            <w:vAlign w:val="center"/>
          </w:tcPr>
          <w:p w14:paraId="37C269B2" w14:textId="7F662B2D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-0.13</w:t>
            </w:r>
          </w:p>
        </w:tc>
        <w:tc>
          <w:tcPr>
            <w:tcW w:w="1260" w:type="dxa"/>
            <w:vAlign w:val="center"/>
          </w:tcPr>
          <w:p w14:paraId="385DA057" w14:textId="041DA2E8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1080" w:type="dxa"/>
            <w:vAlign w:val="center"/>
          </w:tcPr>
          <w:p w14:paraId="7ADCF8CD" w14:textId="73A71E3B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900" w:type="dxa"/>
            <w:vAlign w:val="center"/>
          </w:tcPr>
          <w:p w14:paraId="0A41D074" w14:textId="5AFEC077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-4.97</w:t>
            </w:r>
          </w:p>
        </w:tc>
        <w:tc>
          <w:tcPr>
            <w:tcW w:w="900" w:type="dxa"/>
            <w:vAlign w:val="center"/>
          </w:tcPr>
          <w:p w14:paraId="19E6AEE9" w14:textId="580B6F70" w:rsidR="007C43CC" w:rsidRPr="005A0D90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7C43CC" w:rsidRPr="00265733" w14:paraId="56C66B98" w14:textId="77777777" w:rsidTr="006D08A9">
        <w:tc>
          <w:tcPr>
            <w:tcW w:w="3960" w:type="dxa"/>
            <w:tcBorders>
              <w:top w:val="single" w:sz="4" w:space="0" w:color="auto"/>
            </w:tcBorders>
          </w:tcPr>
          <w:p w14:paraId="052F8660" w14:textId="77777777" w:rsidR="007C43CC" w:rsidRPr="00265733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42C0D5" w14:textId="77777777" w:rsidR="007C43CC" w:rsidRPr="00265733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AEC6873" w14:textId="77777777" w:rsidR="007C43CC" w:rsidRPr="00265733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A6FB8AC" w14:textId="77777777" w:rsidR="007C43CC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0CA7D4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8F47E9" w14:textId="77777777" w:rsidR="007C43CC" w:rsidRPr="00265733" w:rsidRDefault="007C43CC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CC" w:rsidRPr="00265733" w14:paraId="662CA869" w14:textId="77777777" w:rsidTr="006D08A9">
        <w:tc>
          <w:tcPr>
            <w:tcW w:w="3960" w:type="dxa"/>
          </w:tcPr>
          <w:p w14:paraId="151A77AB" w14:textId="77777777" w:rsidR="007C43CC" w:rsidRPr="00265733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(intercept)</w:t>
            </w:r>
          </w:p>
        </w:tc>
        <w:tc>
          <w:tcPr>
            <w:tcW w:w="1260" w:type="dxa"/>
            <w:vAlign w:val="center"/>
          </w:tcPr>
          <w:p w14:paraId="336D9F9B" w14:textId="5CF811E9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14:paraId="0F90D7E6" w14:textId="5A577C54" w:rsidR="007C43CC" w:rsidRPr="00265733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</w:tcPr>
          <w:p w14:paraId="42B75D2F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7EAA9F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9644160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CC" w:rsidRPr="00265733" w14:paraId="3D4974E8" w14:textId="77777777" w:rsidTr="006D08A9">
        <w:tc>
          <w:tcPr>
            <w:tcW w:w="3960" w:type="dxa"/>
            <w:tcBorders>
              <w:bottom w:val="single" w:sz="4" w:space="0" w:color="auto"/>
            </w:tcBorders>
          </w:tcPr>
          <w:p w14:paraId="5A45A83F" w14:textId="77777777" w:rsidR="007C43CC" w:rsidRDefault="007C43CC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(intercept)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546C80" w14:textId="2E38A415" w:rsidR="007C43CC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D34EC0" w14:textId="306EAF87" w:rsidR="007C43CC" w:rsidRDefault="00493300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811D4D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F4DEF0F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D8F55B" w14:textId="77777777" w:rsidR="007C43CC" w:rsidRPr="00265733" w:rsidRDefault="007C43CC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1C6D2" w14:textId="3D552BAE" w:rsidR="00493300" w:rsidRDefault="00493300" w:rsidP="0098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9883B" w14:textId="77777777" w:rsidR="00493300" w:rsidRDefault="0049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6C06FD" w14:textId="55546A0E" w:rsidR="00493300" w:rsidRDefault="00493300" w:rsidP="00493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Multinomial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375503A8" w14:textId="0DB91914" w:rsidR="00493300" w:rsidRDefault="00493300" w:rsidP="00493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The results of the model comparison for the </w:t>
      </w:r>
      <w:r>
        <w:rPr>
          <w:rFonts w:ascii="Times New Roman" w:hAnsi="Times New Roman" w:cs="Times New Roman"/>
          <w:sz w:val="24"/>
          <w:szCs w:val="24"/>
        </w:rPr>
        <w:t>multinomial logistic 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(MLR) analysis</w:t>
      </w:r>
      <w:r>
        <w:rPr>
          <w:rFonts w:ascii="Times New Roman" w:hAnsi="Times New Roman" w:cs="Times New Roman"/>
          <w:sz w:val="24"/>
          <w:szCs w:val="24"/>
        </w:rPr>
        <w:t xml:space="preserve"> of children’s production accuracy. </w:t>
      </w:r>
      <w:r>
        <w:rPr>
          <w:rFonts w:ascii="Times New Roman" w:hAnsi="Times New Roman" w:cs="Times New Roman"/>
          <w:sz w:val="24"/>
          <w:szCs w:val="24"/>
        </w:rPr>
        <w:t>Note that this analysis includes the same dependent variable as the main mixed-effects model analysis presented in the manuscript. A</w:t>
      </w:r>
      <w:r>
        <w:rPr>
          <w:rFonts w:ascii="Times New Roman" w:hAnsi="Times New Roman" w:cs="Times New Roman"/>
          <w:sz w:val="24"/>
          <w:szCs w:val="24"/>
        </w:rPr>
        <w:t xml:space="preserve"> baseline </w:t>
      </w:r>
      <w:r>
        <w:rPr>
          <w:rFonts w:ascii="Times New Roman" w:hAnsi="Times New Roman" w:cs="Times New Roman"/>
          <w:sz w:val="24"/>
          <w:szCs w:val="24"/>
        </w:rPr>
        <w:t xml:space="preserve">multinomial </w:t>
      </w:r>
      <w:r>
        <w:rPr>
          <w:rFonts w:ascii="Times New Roman" w:hAnsi="Times New Roman" w:cs="Times New Roman"/>
          <w:sz w:val="24"/>
          <w:szCs w:val="24"/>
        </w:rPr>
        <w:t xml:space="preserve">model with main effects was compared to an alternative </w:t>
      </w:r>
      <w:r>
        <w:rPr>
          <w:rFonts w:ascii="Times New Roman" w:hAnsi="Times New Roman" w:cs="Times New Roman"/>
          <w:sz w:val="24"/>
          <w:szCs w:val="24"/>
        </w:rPr>
        <w:t xml:space="preserve">multinomial </w:t>
      </w:r>
      <w:r>
        <w:rPr>
          <w:rFonts w:ascii="Times New Roman" w:hAnsi="Times New Roman" w:cs="Times New Roman"/>
          <w:sz w:val="24"/>
          <w:szCs w:val="24"/>
        </w:rPr>
        <w:t>model in which experiment order and experimental frequency were allowed to interact.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1283"/>
        <w:gridCol w:w="1242"/>
        <w:gridCol w:w="1270"/>
        <w:gridCol w:w="1845"/>
        <w:gridCol w:w="535"/>
        <w:gridCol w:w="1065"/>
      </w:tblGrid>
      <w:tr w:rsidR="001E1224" w:rsidRPr="00265733" w14:paraId="0F96450D" w14:textId="77777777" w:rsidTr="001E1224"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A2583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F87F" w14:textId="308C2E23" w:rsidR="001E1224" w:rsidRPr="00113F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D4D0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FDA3" w14:textId="6DBEE0F0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AF9F7" w14:textId="77777777" w:rsidR="001E1224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LR.stat</w:t>
            </w:r>
            <w:proofErr w:type="spellEnd"/>
            <w:proofErr w:type="gramEnd"/>
          </w:p>
          <w:p w14:paraId="20813A65" w14:textId="280B285C" w:rsidR="001E1224" w:rsidRPr="001E1224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B2C7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57DA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E1224" w:rsidRPr="00265733" w14:paraId="236219ED" w14:textId="77777777" w:rsidTr="001E1224"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14:paraId="12E3CB22" w14:textId="193471DF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47F48ECC" w14:textId="5E425FC9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C1711D6" w14:textId="38A249B2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3255.5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6C13FD88" w14:textId="21DFC80A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-1618.8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</w:tcBorders>
            <w:vAlign w:val="center"/>
          </w:tcPr>
          <w:p w14:paraId="55F22C7D" w14:textId="0F9FA9F6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36.478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3DFAE52F" w14:textId="7B4809B2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14:paraId="5D370906" w14:textId="3D7CC062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E1224" w:rsidRPr="00265733" w14:paraId="475AF60B" w14:textId="77777777" w:rsidTr="001E1224"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05895E69" w14:textId="0AF21344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01F7964C" w14:textId="2B5543A8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24DA546" w14:textId="7EEB0C39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3221.0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47CA22BB" w14:textId="74379D18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-1600.5</w:t>
            </w: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vAlign w:val="center"/>
          </w:tcPr>
          <w:p w14:paraId="30A34889" w14:textId="4FD5336B" w:rsidR="001E1224" w:rsidRPr="00D124B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5C8D93CB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14:paraId="3E6BC46A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DCE2E" w14:textId="77777777" w:rsidR="00493300" w:rsidRDefault="00493300" w:rsidP="00493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FB6771" w14:textId="77777777" w:rsidR="00493300" w:rsidRDefault="00493300" w:rsidP="00493300">
      <w:pPr>
        <w:rPr>
          <w:rFonts w:ascii="Times New Roman" w:hAnsi="Times New Roman" w:cs="Times New Roman"/>
          <w:sz w:val="24"/>
          <w:szCs w:val="24"/>
        </w:rPr>
      </w:pPr>
    </w:p>
    <w:p w14:paraId="06BC44C1" w14:textId="77777777" w:rsidR="00493300" w:rsidRDefault="00493300" w:rsidP="0049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A64666" w14:textId="1FBEB6E1" w:rsidR="00493300" w:rsidRDefault="00493300" w:rsidP="0049330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the alternative model was significantly better at explaining the data, it is summarized in Table B</w:t>
      </w:r>
      <w:r w:rsidR="001E12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below. There was no significant effect of session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.0</w:t>
      </w:r>
      <w:r w:rsidR="001E12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1E12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22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</w:t>
      </w:r>
      <w:r w:rsidR="001E122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1E1224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>). Although there was a main effect of experimental frequency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1E122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1E122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22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E1224">
        <w:rPr>
          <w:rFonts w:ascii="Times New Roman" w:hAnsi="Times New Roman" w:cs="Times New Roman"/>
          <w:sz w:val="24"/>
          <w:szCs w:val="24"/>
        </w:rPr>
        <w:t>5.38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.001), the experiment order × experimental frequency interaction was significant (</w:t>
      </w:r>
      <w:r w:rsidRPr="00040916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  <w:r w:rsidR="001E1224">
        <w:rPr>
          <w:rFonts w:ascii="Times New Roman" w:hAnsi="Times New Roman" w:cs="Times New Roman"/>
          <w:sz w:val="24"/>
          <w:szCs w:val="24"/>
        </w:rPr>
        <w:t>1.37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1E122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22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-</w:t>
      </w:r>
      <w:r w:rsidR="001E1224">
        <w:rPr>
          <w:rFonts w:ascii="Times New Roman" w:hAnsi="Times New Roman" w:cs="Times New Roman"/>
          <w:sz w:val="24"/>
          <w:szCs w:val="24"/>
        </w:rPr>
        <w:t>5.93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.001).</w:t>
      </w:r>
    </w:p>
    <w:p w14:paraId="28E7B04A" w14:textId="77777777" w:rsidR="00493300" w:rsidRDefault="00493300" w:rsidP="00493300">
      <w:pPr>
        <w:rPr>
          <w:rFonts w:ascii="Times New Roman" w:hAnsi="Times New Roman" w:cs="Times New Roman"/>
          <w:sz w:val="24"/>
          <w:szCs w:val="24"/>
        </w:rPr>
      </w:pPr>
    </w:p>
    <w:p w14:paraId="5B62DCD3" w14:textId="77777777" w:rsidR="00493300" w:rsidRDefault="00493300" w:rsidP="0049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BE719A" w14:textId="02DB13B3" w:rsidR="00493300" w:rsidRPr="00265733" w:rsidRDefault="00493300" w:rsidP="00493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B</w:t>
      </w:r>
      <w:r w:rsidR="001E1224">
        <w:rPr>
          <w:rFonts w:ascii="Times New Roman" w:hAnsi="Times New Roman" w:cs="Times New Roman"/>
          <w:sz w:val="24"/>
          <w:szCs w:val="24"/>
        </w:rPr>
        <w:t>7</w:t>
      </w:r>
      <w:r w:rsidRPr="00265733">
        <w:rPr>
          <w:rFonts w:ascii="Times New Roman" w:hAnsi="Times New Roman" w:cs="Times New Roman"/>
          <w:sz w:val="24"/>
          <w:szCs w:val="24"/>
        </w:rPr>
        <w:t xml:space="preserve"> – Summary of</w:t>
      </w:r>
      <w:r w:rsidR="001E1224">
        <w:rPr>
          <w:rFonts w:ascii="Times New Roman" w:hAnsi="Times New Roman" w:cs="Times New Roman"/>
          <w:sz w:val="24"/>
          <w:szCs w:val="24"/>
        </w:rPr>
        <w:t xml:space="preserve"> the </w:t>
      </w:r>
      <w:r w:rsidR="00A0327D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1E1224">
        <w:rPr>
          <w:rFonts w:ascii="Times New Roman" w:hAnsi="Times New Roman" w:cs="Times New Roman"/>
          <w:sz w:val="24"/>
          <w:szCs w:val="24"/>
        </w:rPr>
        <w:t>multinomial logistic regression (MLR) analysis of children’s production accuracy</w:t>
      </w:r>
      <w:r w:rsidRPr="00265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Statistically significant fixed effects are shown in bold. The number of observations was 2068.</w:t>
      </w:r>
      <w:r w:rsidRPr="002657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990"/>
        <w:gridCol w:w="270"/>
        <w:gridCol w:w="990"/>
        <w:gridCol w:w="270"/>
        <w:gridCol w:w="990"/>
        <w:gridCol w:w="90"/>
        <w:gridCol w:w="810"/>
        <w:gridCol w:w="90"/>
        <w:gridCol w:w="810"/>
        <w:gridCol w:w="90"/>
      </w:tblGrid>
      <w:tr w:rsidR="001E1224" w:rsidRPr="00265733" w14:paraId="384F9D90" w14:textId="77777777" w:rsidTr="001E1224">
        <w:trPr>
          <w:gridAfter w:val="1"/>
          <w:wAfter w:w="90" w:type="dxa"/>
        </w:trPr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771910CF" w14:textId="77777777" w:rsidR="001E1224" w:rsidRPr="00265733" w:rsidRDefault="001E1224" w:rsidP="001E12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7A6DCBF" w14:textId="77777777" w:rsidR="001E1224" w:rsidRPr="0070252A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52A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76F557D" w14:textId="77777777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0C89FC61" w14:textId="100131C7" w:rsidR="001E1224" w:rsidRPr="00CE0657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4A3BB27" w14:textId="4C3A6CEF" w:rsidR="001E1224" w:rsidRPr="0070252A" w:rsidRDefault="001E1224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(&gt;|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|)</w:t>
            </w:r>
          </w:p>
        </w:tc>
      </w:tr>
      <w:tr w:rsidR="001E1224" w:rsidRPr="00265733" w14:paraId="37B6FD70" w14:textId="77777777" w:rsidTr="001E1224">
        <w:trPr>
          <w:gridAfter w:val="1"/>
          <w:wAfter w:w="90" w:type="dxa"/>
        </w:trPr>
        <w:tc>
          <w:tcPr>
            <w:tcW w:w="4950" w:type="dxa"/>
            <w:gridSpan w:val="2"/>
          </w:tcPr>
          <w:p w14:paraId="5EF96C21" w14:textId="77777777" w:rsidR="001E1224" w:rsidRPr="00265733" w:rsidRDefault="001E1224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Order</w:t>
            </w:r>
          </w:p>
        </w:tc>
        <w:tc>
          <w:tcPr>
            <w:tcW w:w="1260" w:type="dxa"/>
            <w:gridSpan w:val="2"/>
            <w:vAlign w:val="center"/>
          </w:tcPr>
          <w:p w14:paraId="21B62487" w14:textId="455FF148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14:paraId="63A41027" w14:textId="31BE2028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gridSpan w:val="2"/>
            <w:vAlign w:val="center"/>
          </w:tcPr>
          <w:p w14:paraId="07C10067" w14:textId="1811DC99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0" w:type="dxa"/>
            <w:gridSpan w:val="2"/>
            <w:vAlign w:val="center"/>
          </w:tcPr>
          <w:p w14:paraId="1239351B" w14:textId="2568583C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1E1224" w:rsidRPr="00265733" w14:paraId="0E068DC6" w14:textId="77777777" w:rsidTr="001E1224">
        <w:trPr>
          <w:gridAfter w:val="1"/>
          <w:wAfter w:w="90" w:type="dxa"/>
        </w:trPr>
        <w:tc>
          <w:tcPr>
            <w:tcW w:w="4950" w:type="dxa"/>
            <w:gridSpan w:val="2"/>
          </w:tcPr>
          <w:p w14:paraId="0225871C" w14:textId="77777777" w:rsidR="001E1224" w:rsidRPr="005A0D90" w:rsidRDefault="001E1224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Experimental Frequency</w:t>
            </w:r>
          </w:p>
        </w:tc>
        <w:tc>
          <w:tcPr>
            <w:tcW w:w="1260" w:type="dxa"/>
            <w:gridSpan w:val="2"/>
            <w:vAlign w:val="center"/>
          </w:tcPr>
          <w:p w14:paraId="74BCF358" w14:textId="209FF041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vAlign w:val="center"/>
          </w:tcPr>
          <w:p w14:paraId="0FD05D54" w14:textId="5D319AC3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2"/>
            <w:vAlign w:val="center"/>
          </w:tcPr>
          <w:p w14:paraId="54E23E4F" w14:textId="77FFA7D3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5.38</w:t>
            </w:r>
          </w:p>
        </w:tc>
        <w:tc>
          <w:tcPr>
            <w:tcW w:w="900" w:type="dxa"/>
            <w:gridSpan w:val="2"/>
            <w:vAlign w:val="center"/>
          </w:tcPr>
          <w:p w14:paraId="067D3FD5" w14:textId="77777777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1E1224" w:rsidRPr="00265733" w14:paraId="21C7DBAF" w14:textId="77777777" w:rsidTr="001E1224">
        <w:trPr>
          <w:gridAfter w:val="1"/>
          <w:wAfter w:w="90" w:type="dxa"/>
        </w:trPr>
        <w:tc>
          <w:tcPr>
            <w:tcW w:w="4950" w:type="dxa"/>
            <w:gridSpan w:val="2"/>
          </w:tcPr>
          <w:p w14:paraId="2C798BAB" w14:textId="77777777" w:rsidR="001E1224" w:rsidRPr="00265733" w:rsidRDefault="001E1224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1260" w:type="dxa"/>
            <w:gridSpan w:val="2"/>
            <w:vAlign w:val="center"/>
          </w:tcPr>
          <w:p w14:paraId="4DEFF570" w14:textId="0FC31725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14:paraId="09A7AD1F" w14:textId="568AC6A0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14:paraId="761C8EDF" w14:textId="07B76A13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vAlign w:val="center"/>
          </w:tcPr>
          <w:p w14:paraId="40A1FF31" w14:textId="2D0723CD" w:rsidR="001E1224" w:rsidRPr="00265733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1E1224" w:rsidRPr="00265733" w14:paraId="6FB4B9A1" w14:textId="77777777" w:rsidTr="001E1224">
        <w:trPr>
          <w:gridAfter w:val="1"/>
          <w:wAfter w:w="90" w:type="dxa"/>
        </w:trPr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0B439D19" w14:textId="77777777" w:rsidR="001E1224" w:rsidRPr="005A0D90" w:rsidRDefault="001E1224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90">
              <w:rPr>
                <w:rFonts w:ascii="Times New Roman" w:hAnsi="Times New Roman" w:cs="Times New Roman"/>
                <w:b/>
                <w:sz w:val="24"/>
                <w:szCs w:val="24"/>
              </w:rPr>
              <w:t>Experiment Order × Experimental Frequency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BEE775D" w14:textId="1ECDD5E3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665F5DD" w14:textId="35823C5E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2488D20A" w14:textId="0BE448DE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2FEE9AC8" w14:textId="77777777" w:rsidR="001E1224" w:rsidRPr="005A0D90" w:rsidRDefault="001E1224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A0327D" w:rsidRPr="00265733" w14:paraId="3B635573" w14:textId="77777777" w:rsidTr="006D08A9">
        <w:tc>
          <w:tcPr>
            <w:tcW w:w="3960" w:type="dxa"/>
            <w:tcBorders>
              <w:top w:val="single" w:sz="4" w:space="0" w:color="auto"/>
            </w:tcBorders>
          </w:tcPr>
          <w:p w14:paraId="4FAB0E99" w14:textId="77777777" w:rsidR="00A0327D" w:rsidRPr="00265733" w:rsidRDefault="00A0327D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05BD39A" w14:textId="77777777" w:rsidR="00A0327D" w:rsidRPr="00265733" w:rsidRDefault="00A0327D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DD1BADA" w14:textId="77777777" w:rsidR="00A0327D" w:rsidRPr="00265733" w:rsidRDefault="00A0327D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41F9F312" w14:textId="77777777" w:rsidR="00A0327D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CEEC405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EE2BC6C" w14:textId="77777777" w:rsidR="00A0327D" w:rsidRPr="00265733" w:rsidRDefault="00A0327D" w:rsidP="006D0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7D" w:rsidRPr="00265733" w14:paraId="79671451" w14:textId="77777777" w:rsidTr="006D08A9">
        <w:tc>
          <w:tcPr>
            <w:tcW w:w="3960" w:type="dxa"/>
          </w:tcPr>
          <w:p w14:paraId="6CD1EAED" w14:textId="77777777" w:rsidR="00A0327D" w:rsidRPr="00265733" w:rsidRDefault="00A0327D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(intercept)</w:t>
            </w:r>
          </w:p>
        </w:tc>
        <w:tc>
          <w:tcPr>
            <w:tcW w:w="1260" w:type="dxa"/>
            <w:gridSpan w:val="2"/>
            <w:vAlign w:val="center"/>
          </w:tcPr>
          <w:p w14:paraId="4C2E713F" w14:textId="0F7A6310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260" w:type="dxa"/>
            <w:gridSpan w:val="2"/>
          </w:tcPr>
          <w:p w14:paraId="2CBB4E23" w14:textId="4393873D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80" w:type="dxa"/>
            <w:gridSpan w:val="2"/>
          </w:tcPr>
          <w:p w14:paraId="28B15CCC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741CDE9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852847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7D" w:rsidRPr="00265733" w14:paraId="103E3F12" w14:textId="77777777" w:rsidTr="006D08A9">
        <w:tc>
          <w:tcPr>
            <w:tcW w:w="3960" w:type="dxa"/>
            <w:tcBorders>
              <w:bottom w:val="single" w:sz="4" w:space="0" w:color="auto"/>
            </w:tcBorders>
          </w:tcPr>
          <w:p w14:paraId="02835041" w14:textId="77777777" w:rsidR="00A0327D" w:rsidRDefault="00A0327D" w:rsidP="006D08A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(intercept)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2AA8597" w14:textId="0FCBECCD" w:rsidR="00A0327D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D39945" w14:textId="49C21DE4" w:rsidR="00A0327D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AABCB5E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BA5CF81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3167975" w14:textId="77777777" w:rsidR="00A0327D" w:rsidRPr="00265733" w:rsidRDefault="00A0327D" w:rsidP="006D08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483E7" w14:textId="77777777" w:rsidR="00F444D3" w:rsidRDefault="00F444D3" w:rsidP="0098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F9"/>
    <w:rsid w:val="00050837"/>
    <w:rsid w:val="0006652B"/>
    <w:rsid w:val="00184606"/>
    <w:rsid w:val="001E1224"/>
    <w:rsid w:val="001E1ED7"/>
    <w:rsid w:val="002C2FA3"/>
    <w:rsid w:val="002D6F04"/>
    <w:rsid w:val="002D7BF3"/>
    <w:rsid w:val="00316A80"/>
    <w:rsid w:val="0033485C"/>
    <w:rsid w:val="003963B6"/>
    <w:rsid w:val="003C01BE"/>
    <w:rsid w:val="00493300"/>
    <w:rsid w:val="00525C3E"/>
    <w:rsid w:val="0056071E"/>
    <w:rsid w:val="005F2C93"/>
    <w:rsid w:val="0062392C"/>
    <w:rsid w:val="00644982"/>
    <w:rsid w:val="006A4B20"/>
    <w:rsid w:val="006F6920"/>
    <w:rsid w:val="007C43CC"/>
    <w:rsid w:val="007D2626"/>
    <w:rsid w:val="00844842"/>
    <w:rsid w:val="008B3939"/>
    <w:rsid w:val="00987317"/>
    <w:rsid w:val="009F2520"/>
    <w:rsid w:val="00A0327D"/>
    <w:rsid w:val="00AA5AE1"/>
    <w:rsid w:val="00AC49F9"/>
    <w:rsid w:val="00BC0D0B"/>
    <w:rsid w:val="00BC37FC"/>
    <w:rsid w:val="00C81BF0"/>
    <w:rsid w:val="00D24A8F"/>
    <w:rsid w:val="00D82700"/>
    <w:rsid w:val="00DB2DBC"/>
    <w:rsid w:val="00DB6D4A"/>
    <w:rsid w:val="00E71A50"/>
    <w:rsid w:val="00E96858"/>
    <w:rsid w:val="00EB0A18"/>
    <w:rsid w:val="00F444D3"/>
    <w:rsid w:val="00F676CA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AE5"/>
  <w15:chartTrackingRefBased/>
  <w15:docId w15:val="{284E72B3-0A4D-47E9-9823-75AF25E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Richtsmeier, Peter</dc:creator>
  <cp:keywords/>
  <dc:description/>
  <cp:lastModifiedBy>Richtsmeier, Peter</cp:lastModifiedBy>
  <cp:revision>3</cp:revision>
  <dcterms:created xsi:type="dcterms:W3CDTF">2023-01-03T20:57:00Z</dcterms:created>
  <dcterms:modified xsi:type="dcterms:W3CDTF">2023-01-03T21:46:00Z</dcterms:modified>
</cp:coreProperties>
</file>