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B203" w14:textId="0D811342" w:rsidR="009054C0" w:rsidRDefault="009054C0"/>
    <w:p w14:paraId="3810FD00" w14:textId="7B904C65" w:rsidR="009054C0" w:rsidRDefault="006F3A8E">
      <w:pPr>
        <w:jc w:val="center"/>
        <w:rPr>
          <w:sz w:val="28"/>
          <w:szCs w:val="28"/>
        </w:rPr>
      </w:pPr>
      <w:r>
        <w:rPr>
          <w:b/>
          <w:sz w:val="28"/>
          <w:szCs w:val="28"/>
        </w:rPr>
        <w:t xml:space="preserve">The psychology and policy of overcoming </w:t>
      </w:r>
      <w:r w:rsidR="0075442A">
        <w:rPr>
          <w:b/>
          <w:sz w:val="28"/>
          <w:szCs w:val="28"/>
        </w:rPr>
        <w:t>economic inequality</w:t>
      </w:r>
      <w:r w:rsidR="002A0493">
        <w:rPr>
          <w:b/>
          <w:sz w:val="28"/>
          <w:szCs w:val="28"/>
        </w:rPr>
        <w:t xml:space="preserve">: Supplementary </w:t>
      </w:r>
      <w:r w:rsidR="00BD3253">
        <w:rPr>
          <w:b/>
          <w:sz w:val="28"/>
          <w:szCs w:val="28"/>
        </w:rPr>
        <w:t>Information</w:t>
      </w:r>
    </w:p>
    <w:p w14:paraId="7EC6AFA7" w14:textId="77777777" w:rsidR="009054C0" w:rsidRDefault="009054C0">
      <w:pPr>
        <w:jc w:val="center"/>
        <w:rPr>
          <w:sz w:val="28"/>
          <w:szCs w:val="28"/>
        </w:rPr>
      </w:pPr>
    </w:p>
    <w:p w14:paraId="274DA4E3" w14:textId="0F8171E1" w:rsidR="009054C0" w:rsidRDefault="006F3A8E">
      <w:pPr>
        <w:jc w:val="center"/>
        <w:rPr>
          <w:vertAlign w:val="superscript"/>
        </w:rPr>
      </w:pPr>
      <w:r>
        <w:t>Kai Ruggeri</w:t>
      </w:r>
      <w:r>
        <w:rPr>
          <w:vertAlign w:val="superscript"/>
        </w:rPr>
        <w:t>1, 2</w:t>
      </w:r>
      <w:r>
        <w:t>*, Olivia Symone Tutuska</w:t>
      </w:r>
      <w:r>
        <w:rPr>
          <w:vertAlign w:val="superscript"/>
        </w:rPr>
        <w:t>3</w:t>
      </w:r>
      <w:r>
        <w:t>, Giampaolo Abate Romero La</w:t>
      </w:r>
      <w:r w:rsidR="00CB6947">
        <w:t>n</w:t>
      </w:r>
      <w:r>
        <w:t>dini</w:t>
      </w:r>
      <w:r>
        <w:rPr>
          <w:vertAlign w:val="superscript"/>
        </w:rPr>
        <w:t>4</w:t>
      </w:r>
      <w:r>
        <w:t xml:space="preserve">, </w:t>
      </w:r>
      <w:proofErr w:type="spellStart"/>
      <w:r>
        <w:t>Narjes</w:t>
      </w:r>
      <w:proofErr w:type="spellEnd"/>
      <w:r>
        <w:t xml:space="preserve"> Al-Zahli</w:t>
      </w:r>
      <w:r>
        <w:rPr>
          <w:vertAlign w:val="superscript"/>
        </w:rPr>
        <w:t>5</w:t>
      </w:r>
      <w:r>
        <w:t>, Natalia Alexander</w:t>
      </w:r>
      <w:r>
        <w:rPr>
          <w:vertAlign w:val="superscript"/>
        </w:rPr>
        <w:t>6</w:t>
      </w:r>
      <w:r>
        <w:t xml:space="preserve">, Mathias </w:t>
      </w:r>
      <w:proofErr w:type="spellStart"/>
      <w:r>
        <w:t>Houe</w:t>
      </w:r>
      <w:proofErr w:type="spellEnd"/>
      <w:r>
        <w:t xml:space="preserve"> Andersen</w:t>
      </w:r>
      <w:r>
        <w:rPr>
          <w:vertAlign w:val="superscript"/>
        </w:rPr>
        <w:t>7</w:t>
      </w:r>
      <w:r>
        <w:t>, Katherine Bibilouri</w:t>
      </w:r>
      <w:r>
        <w:rPr>
          <w:vertAlign w:val="superscript"/>
        </w:rPr>
        <w:t>8</w:t>
      </w:r>
      <w:r>
        <w:t>,</w:t>
      </w:r>
      <w:r>
        <w:rPr>
          <w:vertAlign w:val="superscript"/>
        </w:rPr>
        <w:t xml:space="preserve"> </w:t>
      </w:r>
      <w:r>
        <w:t>Jennifer Chen</w:t>
      </w:r>
      <w:r>
        <w:rPr>
          <w:vertAlign w:val="superscript"/>
        </w:rPr>
        <w:t>9</w:t>
      </w:r>
      <w:r>
        <w:t xml:space="preserve">, </w:t>
      </w:r>
      <w:proofErr w:type="spellStart"/>
      <w:r>
        <w:t>Barbora</w:t>
      </w:r>
      <w:proofErr w:type="spellEnd"/>
      <w:r>
        <w:t xml:space="preserve"> Doubravová</w:t>
      </w:r>
      <w:r>
        <w:rPr>
          <w:vertAlign w:val="superscript"/>
        </w:rPr>
        <w:t>10</w:t>
      </w:r>
      <w:r>
        <w:t>, Tatianna Dugué</w:t>
      </w:r>
      <w:r>
        <w:rPr>
          <w:vertAlign w:val="superscript"/>
        </w:rPr>
        <w:t>8</w:t>
      </w:r>
      <w:r>
        <w:t xml:space="preserve">, Aleena </w:t>
      </w:r>
      <w:proofErr w:type="spellStart"/>
      <w:r>
        <w:t>Asfa</w:t>
      </w:r>
      <w:proofErr w:type="spellEnd"/>
      <w:r>
        <w:t xml:space="preserve"> Durrani</w:t>
      </w:r>
      <w:r>
        <w:rPr>
          <w:vertAlign w:val="superscript"/>
        </w:rPr>
        <w:t>1</w:t>
      </w:r>
      <w:r>
        <w:t>, Nicholas Dutra</w:t>
      </w:r>
      <w:r>
        <w:rPr>
          <w:vertAlign w:val="superscript"/>
        </w:rPr>
        <w:t>8</w:t>
      </w:r>
      <w:r>
        <w:t>, R.A. Farrokhnia</w:t>
      </w:r>
      <w:r>
        <w:rPr>
          <w:vertAlign w:val="superscript"/>
        </w:rPr>
        <w:t>11</w:t>
      </w:r>
      <w:r>
        <w:t>, Tomas Folke</w:t>
      </w:r>
      <w:r>
        <w:rPr>
          <w:vertAlign w:val="superscript"/>
        </w:rPr>
        <w:t>12</w:t>
      </w:r>
      <w:r>
        <w:t xml:space="preserve">, </w:t>
      </w:r>
      <w:proofErr w:type="spellStart"/>
      <w:r>
        <w:t>Suwen</w:t>
      </w:r>
      <w:proofErr w:type="spellEnd"/>
      <w:r>
        <w:t xml:space="preserve"> Ge</w:t>
      </w:r>
      <w:r>
        <w:rPr>
          <w:vertAlign w:val="superscript"/>
        </w:rPr>
        <w:t>13</w:t>
      </w:r>
      <w:r>
        <w:t>, Christian Gomes</w:t>
      </w:r>
      <w:r>
        <w:rPr>
          <w:vertAlign w:val="superscript"/>
        </w:rPr>
        <w:t>8</w:t>
      </w:r>
      <w:r>
        <w:t>, Aleksandra Gracheva</w:t>
      </w:r>
      <w:r>
        <w:rPr>
          <w:vertAlign w:val="superscript"/>
        </w:rPr>
        <w:t>14</w:t>
      </w:r>
      <w:r>
        <w:t xml:space="preserve">, </w:t>
      </w:r>
      <w:proofErr w:type="spellStart"/>
      <w:r>
        <w:t>Neža</w:t>
      </w:r>
      <w:proofErr w:type="spellEnd"/>
      <w:r>
        <w:t xml:space="preserve"> Grilc</w:t>
      </w:r>
      <w:r>
        <w:rPr>
          <w:vertAlign w:val="superscript"/>
        </w:rPr>
        <w:t>15</w:t>
      </w:r>
      <w:r>
        <w:t xml:space="preserve">, Deniz </w:t>
      </w:r>
      <w:proofErr w:type="spellStart"/>
      <w:r>
        <w:t>Mısra</w:t>
      </w:r>
      <w:proofErr w:type="spellEnd"/>
      <w:r>
        <w:t xml:space="preserve"> Gürol</w:t>
      </w:r>
      <w:r>
        <w:rPr>
          <w:vertAlign w:val="superscript"/>
        </w:rPr>
        <w:t>16</w:t>
      </w:r>
      <w:r>
        <w:t>, Zoe Heidenry</w:t>
      </w:r>
      <w:r>
        <w:rPr>
          <w:vertAlign w:val="superscript"/>
        </w:rPr>
        <w:t>8</w:t>
      </w:r>
      <w:r>
        <w:t>, Clara Hu</w:t>
      </w:r>
      <w:r>
        <w:rPr>
          <w:vertAlign w:val="superscript"/>
        </w:rPr>
        <w:t>8</w:t>
      </w:r>
      <w:r>
        <w:t>, Rachel Krasner</w:t>
      </w:r>
      <w:r>
        <w:rPr>
          <w:vertAlign w:val="superscript"/>
        </w:rPr>
        <w:t>8</w:t>
      </w:r>
      <w:r>
        <w:t>, Romy Levin</w:t>
      </w:r>
      <w:r>
        <w:rPr>
          <w:vertAlign w:val="superscript"/>
        </w:rPr>
        <w:t>8</w:t>
      </w:r>
      <w:r>
        <w:t>, Justine Li</w:t>
      </w:r>
      <w:r>
        <w:rPr>
          <w:vertAlign w:val="superscript"/>
        </w:rPr>
        <w:t>17</w:t>
      </w:r>
      <w:r>
        <w:t>, Ashleigh Marie Elizabeth Messenger</w:t>
      </w:r>
      <w:r>
        <w:rPr>
          <w:vertAlign w:val="superscript"/>
        </w:rPr>
        <w:t>18</w:t>
      </w:r>
      <w:r>
        <w:t>, Fredrik Nilsson</w:t>
      </w:r>
      <w:r>
        <w:rPr>
          <w:vertAlign w:val="superscript"/>
        </w:rPr>
        <w:t>19</w:t>
      </w:r>
      <w:r>
        <w:t>, Julia Marie Oberschulte</w:t>
      </w:r>
      <w:r>
        <w:rPr>
          <w:vertAlign w:val="superscript"/>
        </w:rPr>
        <w:t>20</w:t>
      </w:r>
      <w:r>
        <w:t>, Takashi Obi</w:t>
      </w:r>
      <w:r>
        <w:rPr>
          <w:vertAlign w:val="superscript"/>
        </w:rPr>
        <w:t>21</w:t>
      </w:r>
      <w:r>
        <w:t>, Anastasia Pan</w:t>
      </w:r>
      <w:r>
        <w:rPr>
          <w:vertAlign w:val="superscript"/>
        </w:rPr>
        <w:t>8</w:t>
      </w:r>
      <w:r>
        <w:t>, Sun Young Park</w:t>
      </w:r>
      <w:r>
        <w:rPr>
          <w:vertAlign w:val="superscript"/>
        </w:rPr>
        <w:t>8</w:t>
      </w:r>
      <w:r>
        <w:t>, Sofia Pelica</w:t>
      </w:r>
      <w:r>
        <w:rPr>
          <w:vertAlign w:val="superscript"/>
        </w:rPr>
        <w:t>22</w:t>
      </w:r>
      <w:r>
        <w:t xml:space="preserve">, </w:t>
      </w:r>
      <w:proofErr w:type="spellStart"/>
      <w:r>
        <w:t>Maksymilian</w:t>
      </w:r>
      <w:proofErr w:type="spellEnd"/>
      <w:r>
        <w:t xml:space="preserve"> Pyrkowski</w:t>
      </w:r>
      <w:r>
        <w:rPr>
          <w:vertAlign w:val="superscript"/>
        </w:rPr>
        <w:t>23</w:t>
      </w:r>
      <w:r>
        <w:t xml:space="preserve">, </w:t>
      </w:r>
      <w:proofErr w:type="spellStart"/>
      <w:r>
        <w:t>Katherinne</w:t>
      </w:r>
      <w:proofErr w:type="spellEnd"/>
      <w:r>
        <w:t xml:space="preserve"> Rabanal</w:t>
      </w:r>
      <w:r>
        <w:rPr>
          <w:vertAlign w:val="superscript"/>
        </w:rPr>
        <w:t>24</w:t>
      </w:r>
      <w:r>
        <w:t>, Pika Ranc</w:t>
      </w:r>
      <w:r>
        <w:rPr>
          <w:vertAlign w:val="superscript"/>
        </w:rPr>
        <w:t>25</w:t>
      </w:r>
      <w:r>
        <w:t xml:space="preserve">, </w:t>
      </w:r>
      <w:proofErr w:type="spellStart"/>
      <w:r>
        <w:t>Žiga</w:t>
      </w:r>
      <w:proofErr w:type="spellEnd"/>
      <w:r>
        <w:t xml:space="preserve"> </w:t>
      </w:r>
      <w:proofErr w:type="spellStart"/>
      <w:r>
        <w:t>Mekiš</w:t>
      </w:r>
      <w:proofErr w:type="spellEnd"/>
      <w:r>
        <w:t xml:space="preserve"> Recek</w:t>
      </w:r>
      <w:r>
        <w:rPr>
          <w:vertAlign w:val="superscript"/>
        </w:rPr>
        <w:t>25</w:t>
      </w:r>
      <w:r>
        <w:t>, Daria Stefania Pascu</w:t>
      </w:r>
      <w:r>
        <w:rPr>
          <w:vertAlign w:val="superscript"/>
        </w:rPr>
        <w:t>26</w:t>
      </w:r>
      <w:r>
        <w:t>, Alexandra Symeonidou</w:t>
      </w:r>
      <w:r>
        <w:rPr>
          <w:vertAlign w:val="superscript"/>
        </w:rPr>
        <w:t>27</w:t>
      </w:r>
      <w:r>
        <w:t>, Milica Vdovic</w:t>
      </w:r>
      <w:r>
        <w:rPr>
          <w:vertAlign w:val="superscript"/>
        </w:rPr>
        <w:t>28</w:t>
      </w:r>
      <w:r>
        <w:t xml:space="preserve">, </w:t>
      </w:r>
      <w:proofErr w:type="spellStart"/>
      <w:r>
        <w:t>Qihang</w:t>
      </w:r>
      <w:proofErr w:type="spellEnd"/>
      <w:r>
        <w:t xml:space="preserve"> Yuan</w:t>
      </w:r>
      <w:r>
        <w:rPr>
          <w:vertAlign w:val="superscript"/>
        </w:rPr>
        <w:t>8</w:t>
      </w:r>
      <w:r>
        <w:t>, Eduardo Garcia-Garzon</w:t>
      </w:r>
      <w:r>
        <w:rPr>
          <w:vertAlign w:val="superscript"/>
        </w:rPr>
        <w:t>29</w:t>
      </w:r>
      <w:r>
        <w:t>, Sarah Ashcroft-Jones</w:t>
      </w:r>
      <w:r>
        <w:rPr>
          <w:vertAlign w:val="superscript"/>
        </w:rPr>
        <w:t>30</w:t>
      </w:r>
    </w:p>
    <w:p w14:paraId="68BB5ED2" w14:textId="77777777" w:rsidR="009054C0" w:rsidRDefault="009054C0">
      <w:pPr>
        <w:jc w:val="center"/>
      </w:pPr>
    </w:p>
    <w:p w14:paraId="77318DA1" w14:textId="77777777" w:rsidR="009054C0" w:rsidRDefault="006F3A8E">
      <w:pPr>
        <w:jc w:val="center"/>
      </w:pPr>
      <w:r>
        <w:t xml:space="preserve">Correspondence to: kai.ruggeri@columbia.edu </w:t>
      </w:r>
    </w:p>
    <w:p w14:paraId="4313568B" w14:textId="77777777" w:rsidR="009054C0" w:rsidRDefault="009054C0">
      <w:pPr>
        <w:rPr>
          <w:b/>
        </w:rPr>
      </w:pPr>
    </w:p>
    <w:p w14:paraId="57EBF27A" w14:textId="153A4D05" w:rsidR="009054C0" w:rsidRDefault="002A0493">
      <w:pPr>
        <w:rPr>
          <w:b/>
        </w:rPr>
      </w:pPr>
      <w:r>
        <w:rPr>
          <w:b/>
        </w:rPr>
        <w:t>Sections</w:t>
      </w:r>
      <w:r w:rsidR="006F3A8E">
        <w:rPr>
          <w:b/>
        </w:rPr>
        <w:t>:</w:t>
      </w:r>
    </w:p>
    <w:p w14:paraId="11C22650" w14:textId="77777777" w:rsidR="009054C0" w:rsidRDefault="009054C0"/>
    <w:p w14:paraId="6044856E" w14:textId="77777777" w:rsidR="009054C0" w:rsidRDefault="006F3A8E">
      <w:pPr>
        <w:ind w:left="720"/>
      </w:pPr>
      <w:r>
        <w:t>Materials and Methods</w:t>
      </w:r>
    </w:p>
    <w:p w14:paraId="3FBFB9E8" w14:textId="77777777" w:rsidR="009054C0" w:rsidRDefault="006F3A8E">
      <w:pPr>
        <w:ind w:left="720"/>
      </w:pPr>
      <w:r>
        <w:t>Figs. S1 to S2</w:t>
      </w:r>
    </w:p>
    <w:p w14:paraId="394BD72B" w14:textId="77777777" w:rsidR="009054C0" w:rsidRDefault="006F3A8E">
      <w:pPr>
        <w:ind w:left="720"/>
      </w:pPr>
      <w:r>
        <w:t>Tables S1 to S5</w:t>
      </w:r>
    </w:p>
    <w:p w14:paraId="2D8A56F4" w14:textId="77777777" w:rsidR="009054C0" w:rsidRDefault="009054C0">
      <w:pPr>
        <w:ind w:left="720"/>
      </w:pPr>
    </w:p>
    <w:p w14:paraId="2F368950" w14:textId="77777777" w:rsidR="009054C0" w:rsidRDefault="009054C0">
      <w:pPr>
        <w:sectPr w:rsidR="009054C0">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pPr>
    </w:p>
    <w:p w14:paraId="5A3E7E27" w14:textId="77777777" w:rsidR="009054C0" w:rsidRDefault="006F3A8E">
      <w:pPr>
        <w:keepNext/>
        <w:pBdr>
          <w:top w:val="nil"/>
          <w:left w:val="nil"/>
          <w:bottom w:val="nil"/>
          <w:right w:val="nil"/>
          <w:between w:val="nil"/>
        </w:pBdr>
        <w:spacing w:before="240" w:after="60"/>
        <w:rPr>
          <w:color w:val="000000"/>
        </w:rPr>
      </w:pPr>
      <w:bookmarkStart w:id="0" w:name="30j0zll" w:colFirst="0" w:colLast="0"/>
      <w:bookmarkStart w:id="1" w:name="gjdgxs" w:colFirst="0" w:colLast="0"/>
      <w:bookmarkEnd w:id="0"/>
      <w:bookmarkEnd w:id="1"/>
      <w:r>
        <w:rPr>
          <w:b/>
          <w:color w:val="000000"/>
        </w:rPr>
        <w:lastRenderedPageBreak/>
        <w:t>Materials and Methods</w:t>
      </w:r>
      <w:r>
        <w:rPr>
          <w:b/>
        </w:rPr>
        <w:t xml:space="preserve"> </w:t>
      </w:r>
      <w:r>
        <w:rPr>
          <w:color w:val="000000"/>
        </w:rPr>
        <w:t>Data pulled from Ruggeri et al.</w:t>
      </w:r>
      <w:r>
        <w:t>, 2022</w:t>
      </w:r>
      <w:r>
        <w:rPr>
          <w:color w:val="000000"/>
        </w:rPr>
        <w:t xml:space="preserve"> (10). The data used for the analysis is from a 202</w:t>
      </w:r>
      <w:r>
        <w:t>2</w:t>
      </w:r>
      <w:r>
        <w:rPr>
          <w:color w:val="000000"/>
        </w:rPr>
        <w:t xml:space="preserve"> 30-item temporal discounting international survey (https://osf.io/njd62/). We used R 4.2.1 with RStudio 2022.07.1. List of packages we used: brms v. 2.17.0; </w:t>
      </w:r>
      <w:proofErr w:type="spellStart"/>
      <w:r>
        <w:rPr>
          <w:color w:val="000000"/>
        </w:rPr>
        <w:t>dplyr</w:t>
      </w:r>
      <w:proofErr w:type="spellEnd"/>
      <w:r>
        <w:rPr>
          <w:color w:val="000000"/>
        </w:rPr>
        <w:t xml:space="preserve"> v. 1.0.9; </w:t>
      </w:r>
      <w:proofErr w:type="spellStart"/>
      <w:r>
        <w:rPr>
          <w:color w:val="000000"/>
        </w:rPr>
        <w:t>forcats</w:t>
      </w:r>
      <w:proofErr w:type="spellEnd"/>
      <w:r>
        <w:rPr>
          <w:color w:val="000000"/>
        </w:rPr>
        <w:t xml:space="preserve"> v. 0.501; foreign v. 0.8-82; ggplot2 v. 3.3.6; MASS v. 7.3-57; Matrix v. 1.4-1; </w:t>
      </w:r>
      <w:proofErr w:type="spellStart"/>
      <w:r>
        <w:rPr>
          <w:color w:val="000000"/>
        </w:rPr>
        <w:t>matrixStats</w:t>
      </w:r>
      <w:proofErr w:type="spellEnd"/>
      <w:r>
        <w:rPr>
          <w:color w:val="000000"/>
        </w:rPr>
        <w:t xml:space="preserve"> v. 0.62.0; mediation v. 4.5.0; </w:t>
      </w:r>
      <w:proofErr w:type="spellStart"/>
      <w:r>
        <w:rPr>
          <w:color w:val="000000"/>
        </w:rPr>
        <w:t>mvtnorm</w:t>
      </w:r>
      <w:proofErr w:type="spellEnd"/>
      <w:r>
        <w:rPr>
          <w:color w:val="000000"/>
        </w:rPr>
        <w:t xml:space="preserve"> v. 1.1-3; </w:t>
      </w:r>
      <w:proofErr w:type="spellStart"/>
      <w:r>
        <w:rPr>
          <w:color w:val="000000"/>
        </w:rPr>
        <w:t>purrr</w:t>
      </w:r>
      <w:proofErr w:type="spellEnd"/>
      <w:r>
        <w:rPr>
          <w:color w:val="000000"/>
        </w:rPr>
        <w:t xml:space="preserve"> v. 0.3.4; </w:t>
      </w:r>
      <w:proofErr w:type="spellStart"/>
      <w:r>
        <w:rPr>
          <w:color w:val="000000"/>
        </w:rPr>
        <w:t>Rcpp</w:t>
      </w:r>
      <w:proofErr w:type="spellEnd"/>
      <w:r>
        <w:rPr>
          <w:color w:val="000000"/>
        </w:rPr>
        <w:t xml:space="preserve"> v. 1.0.9; </w:t>
      </w:r>
      <w:proofErr w:type="spellStart"/>
      <w:r>
        <w:rPr>
          <w:color w:val="000000"/>
        </w:rPr>
        <w:t>readr</w:t>
      </w:r>
      <w:proofErr w:type="spellEnd"/>
      <w:r>
        <w:rPr>
          <w:color w:val="000000"/>
        </w:rPr>
        <w:t xml:space="preserve"> v. 2.1.2; </w:t>
      </w:r>
      <w:proofErr w:type="spellStart"/>
      <w:r>
        <w:rPr>
          <w:color w:val="000000"/>
        </w:rPr>
        <w:t>RNOmni</w:t>
      </w:r>
      <w:proofErr w:type="spellEnd"/>
      <w:r>
        <w:rPr>
          <w:color w:val="000000"/>
        </w:rPr>
        <w:t xml:space="preserve"> v. 1.0.0; sandwich v. 3.0-2; </w:t>
      </w:r>
      <w:proofErr w:type="spellStart"/>
      <w:r>
        <w:rPr>
          <w:color w:val="000000"/>
        </w:rPr>
        <w:t>stringr</w:t>
      </w:r>
      <w:proofErr w:type="spellEnd"/>
      <w:r>
        <w:rPr>
          <w:color w:val="000000"/>
        </w:rPr>
        <w:t xml:space="preserve"> v. 1.4.0; </w:t>
      </w:r>
      <w:proofErr w:type="spellStart"/>
      <w:r>
        <w:rPr>
          <w:color w:val="000000"/>
        </w:rPr>
        <w:t>tibble</w:t>
      </w:r>
      <w:proofErr w:type="spellEnd"/>
      <w:r>
        <w:rPr>
          <w:color w:val="000000"/>
        </w:rPr>
        <w:t xml:space="preserve"> v. 3.1.8; </w:t>
      </w:r>
      <w:proofErr w:type="spellStart"/>
      <w:r>
        <w:rPr>
          <w:color w:val="000000"/>
        </w:rPr>
        <w:t>tidyr</w:t>
      </w:r>
      <w:proofErr w:type="spellEnd"/>
      <w:r>
        <w:rPr>
          <w:color w:val="000000"/>
        </w:rPr>
        <w:t xml:space="preserve"> v. 1.2.0; </w:t>
      </w:r>
      <w:proofErr w:type="spellStart"/>
      <w:r>
        <w:rPr>
          <w:color w:val="000000"/>
        </w:rPr>
        <w:t>tidyverse</w:t>
      </w:r>
      <w:proofErr w:type="spellEnd"/>
      <w:r>
        <w:rPr>
          <w:color w:val="000000"/>
        </w:rPr>
        <w:t xml:space="preserve"> v. 1.3.2; zoo v. 1.8-10). All accessed July 28th of 2022. </w:t>
      </w:r>
    </w:p>
    <w:p w14:paraId="2A7A91EF" w14:textId="77777777" w:rsidR="009054C0" w:rsidRDefault="006F3A8E">
      <w:pPr>
        <w:pBdr>
          <w:top w:val="nil"/>
          <w:left w:val="nil"/>
          <w:bottom w:val="nil"/>
          <w:right w:val="nil"/>
          <w:between w:val="nil"/>
        </w:pBdr>
        <w:ind w:firstLine="480"/>
        <w:rPr>
          <w:color w:val="000000"/>
        </w:rPr>
      </w:pPr>
      <w:r>
        <w:rPr>
          <w:color w:val="000000"/>
        </w:rPr>
        <w:tab/>
        <w:t xml:space="preserve">We conducted a </w:t>
      </w:r>
      <w:r>
        <w:t>c</w:t>
      </w:r>
      <w:r>
        <w:rPr>
          <w:color w:val="000000"/>
        </w:rPr>
        <w:t>hi-</w:t>
      </w:r>
      <w:r>
        <w:t>s</w:t>
      </w:r>
      <w:r>
        <w:rPr>
          <w:color w:val="000000"/>
        </w:rPr>
        <w:t xml:space="preserve">quared test to </w:t>
      </w:r>
      <w:r>
        <w:t>evaluate</w:t>
      </w:r>
      <w:r>
        <w:rPr>
          <w:color w:val="000000"/>
        </w:rPr>
        <w:t xml:space="preserve"> whether there was a difference between positive deviance across countries. We found a difference in each category (</w:t>
      </w:r>
      <w:r>
        <w:rPr>
          <w:color w:val="212529"/>
        </w:rPr>
        <w:t>greater financial well-being</w:t>
      </w:r>
      <w:r>
        <w:rPr>
          <w:color w:val="000000"/>
        </w:rPr>
        <w:t xml:space="preserve">, </w:t>
      </w:r>
      <w:r>
        <w:t>lower financial well-being</w:t>
      </w:r>
      <w:r>
        <w:rPr>
          <w:color w:val="000000"/>
        </w:rPr>
        <w:t>, and positive deviance) across all 60 countries (</w:t>
      </w:r>
      <w:r>
        <w:rPr>
          <w:i/>
          <w:color w:val="000000"/>
        </w:rPr>
        <w:t>P</w:t>
      </w:r>
      <w:r>
        <w:rPr>
          <w:color w:val="000000"/>
        </w:rPr>
        <w:t xml:space="preserve"> &lt; 0.001, </w:t>
      </w:r>
      <w:r>
        <w:rPr>
          <w:i/>
          <w:color w:val="000000"/>
        </w:rPr>
        <w:t>X</w:t>
      </w:r>
      <w:r>
        <w:rPr>
          <w:i/>
          <w:color w:val="000000"/>
          <w:vertAlign w:val="superscript"/>
        </w:rPr>
        <w:t xml:space="preserve">2 </w:t>
      </w:r>
      <w:r>
        <w:rPr>
          <w:color w:val="000000"/>
        </w:rPr>
        <w:t xml:space="preserve">= 882.55, </w:t>
      </w:r>
      <w:proofErr w:type="spellStart"/>
      <w:r>
        <w:rPr>
          <w:i/>
          <w:color w:val="000000"/>
        </w:rPr>
        <w:t>df</w:t>
      </w:r>
      <w:proofErr w:type="spellEnd"/>
      <w:r>
        <w:rPr>
          <w:color w:val="000000"/>
        </w:rPr>
        <w:t xml:space="preserve"> = 118).  </w:t>
      </w:r>
    </w:p>
    <w:p w14:paraId="3B3D49A7" w14:textId="61B4BF1F" w:rsidR="009054C0" w:rsidRDefault="006F3A8E">
      <w:pPr>
        <w:pBdr>
          <w:top w:val="nil"/>
          <w:left w:val="nil"/>
          <w:bottom w:val="nil"/>
          <w:right w:val="nil"/>
          <w:between w:val="nil"/>
        </w:pBdr>
        <w:ind w:firstLine="480"/>
        <w:rPr>
          <w:color w:val="000000"/>
        </w:rPr>
      </w:pPr>
      <w:r>
        <w:rPr>
          <w:i/>
          <w:color w:val="000000"/>
        </w:rPr>
        <w:tab/>
      </w:r>
      <w:r>
        <w:rPr>
          <w:color w:val="000000"/>
        </w:rPr>
        <w:t>To test whether gender inequality is correlated to differences in positive deviance patterns, we conducted a Pearson’s correlation test between the Gender Inequality Index (29) (GII) and the number or percentages of positive deviants (PDs) in each country. The percentages of PDs across countries were normally distributed while the GII scores were not. This is partly due to one group being clustered around a higher GII score, while more than half of the included countries were clustered around low GII scores. We checked homoscedasticity by running the Breusch-</w:t>
      </w:r>
      <w:proofErr w:type="spellStart"/>
      <w:r>
        <w:rPr>
          <w:color w:val="000000"/>
        </w:rPr>
        <w:t>Paganov</w:t>
      </w:r>
      <w:proofErr w:type="spellEnd"/>
      <w:r>
        <w:rPr>
          <w:color w:val="000000"/>
        </w:rPr>
        <w:t xml:space="preserve"> Non-Constant Variance Score Test. We found that the distribution of residuals given by the linear model were characterized by homoscedasticity, </w:t>
      </w:r>
      <w:r>
        <w:rPr>
          <w:i/>
          <w:color w:val="000000"/>
        </w:rPr>
        <w:t>X</w:t>
      </w:r>
      <w:r>
        <w:rPr>
          <w:i/>
          <w:color w:val="000000"/>
          <w:vertAlign w:val="superscript"/>
        </w:rPr>
        <w:t>2</w:t>
      </w:r>
      <w:r>
        <w:rPr>
          <w:color w:val="000000"/>
        </w:rPr>
        <w:t xml:space="preserve"> = 0.07 (</w:t>
      </w:r>
      <w:proofErr w:type="spellStart"/>
      <w:r>
        <w:rPr>
          <w:i/>
          <w:color w:val="000000"/>
        </w:rPr>
        <w:t>df</w:t>
      </w:r>
      <w:proofErr w:type="spellEnd"/>
      <w:r>
        <w:rPr>
          <w:color w:val="000000"/>
        </w:rPr>
        <w:t xml:space="preserve"> = 1, </w:t>
      </w:r>
      <w:r>
        <w:rPr>
          <w:i/>
          <w:color w:val="000000"/>
        </w:rPr>
        <w:t>N</w:t>
      </w:r>
      <w:r>
        <w:rPr>
          <w:color w:val="000000"/>
        </w:rPr>
        <w:t xml:space="preserve">=59); </w:t>
      </w:r>
      <w:r>
        <w:rPr>
          <w:i/>
          <w:color w:val="000000"/>
        </w:rPr>
        <w:t xml:space="preserve">P </w:t>
      </w:r>
      <w:r>
        <w:rPr>
          <w:color w:val="000000"/>
        </w:rPr>
        <w:t xml:space="preserve">= 0.79. Considering the bimodal nature of the GII distribution, we decided to apply a Rank-Based Inverse Normal transformation (RIN) and run a Pearson’s correlation test between the </w:t>
      </w:r>
      <w:r>
        <w:rPr>
          <w:i/>
          <w:color w:val="000000"/>
        </w:rPr>
        <w:t>Z</w:t>
      </w:r>
      <w:r>
        <w:rPr>
          <w:color w:val="000000"/>
        </w:rPr>
        <w:t>-scores and the percentage of PDs in each country; we did not find a significant correlation (</w:t>
      </w:r>
      <w:r>
        <w:rPr>
          <w:i/>
          <w:color w:val="000000"/>
        </w:rPr>
        <w:t xml:space="preserve">r </w:t>
      </w:r>
      <w:r>
        <w:rPr>
          <w:color w:val="000000"/>
        </w:rPr>
        <w:t xml:space="preserve">= -0.20; </w:t>
      </w:r>
      <w:r>
        <w:rPr>
          <w:i/>
          <w:color w:val="000000"/>
        </w:rPr>
        <w:t>P</w:t>
      </w:r>
      <w:r>
        <w:rPr>
          <w:color w:val="000000"/>
        </w:rPr>
        <w:t xml:space="preserve"> = 0.13; 95% CI [-0.435; 0.058] presumably due to the limits of our sample. We conducted a linear model analysis using the Z-scores of the GII and the percentage of PDs. Our findings show that the GII scores do not predict the percentage of PDs (GII estimate: -1.143, </w:t>
      </w:r>
      <w:r>
        <w:rPr>
          <w:i/>
          <w:color w:val="000000"/>
        </w:rPr>
        <w:t>P</w:t>
      </w:r>
      <w:r>
        <w:rPr>
          <w:color w:val="000000"/>
        </w:rPr>
        <w:t xml:space="preserve"> = 0.127; </w:t>
      </w:r>
      <w:r>
        <w:rPr>
          <w:i/>
          <w:color w:val="000000"/>
        </w:rPr>
        <w:t>R</w:t>
      </w:r>
      <w:r>
        <w:rPr>
          <w:i/>
          <w:color w:val="000000"/>
          <w:vertAlign w:val="superscript"/>
        </w:rPr>
        <w:t>2</w:t>
      </w:r>
      <w:r>
        <w:rPr>
          <w:color w:val="000000"/>
        </w:rPr>
        <w:t xml:space="preserve"> = 0.024; 95% CI [-2.619; 0.334].</w:t>
      </w:r>
    </w:p>
    <w:p w14:paraId="393F5E9D" w14:textId="77777777" w:rsidR="009054C0" w:rsidRDefault="006F3A8E">
      <w:pPr>
        <w:pBdr>
          <w:top w:val="nil"/>
          <w:left w:val="nil"/>
          <w:bottom w:val="nil"/>
          <w:right w:val="nil"/>
          <w:between w:val="nil"/>
        </w:pBdr>
        <w:ind w:firstLine="720"/>
        <w:rPr>
          <w:color w:val="000000"/>
        </w:rPr>
      </w:pPr>
      <w:r>
        <w:rPr>
          <w:color w:val="000000"/>
        </w:rPr>
        <w:t>We excluded Nigeria because the GII score was missing in the database (29), reducing the analysis to include 59 countries. Though the data does not support this, we found a general trend in the data visualization showing that countries with higher gender equality (lower GII scores) had a higher percentage of PDs (</w:t>
      </w:r>
      <w:r>
        <w:t>Figure 3</w:t>
      </w:r>
      <w:r>
        <w:rPr>
          <w:color w:val="000000"/>
        </w:rPr>
        <w:t>). Because of this, we tested for gender differences by country between males and females (we excluded ‘other’ as a gender category because of the low sample size; Egypt was excluded in the female sample due to the absence of positive deviants; Furthermore, we excluded 5 countries from the male sample due to the same reason: Bosnia and Herzegovina, Jordan, L</w:t>
      </w:r>
      <w:r>
        <w:t>e</w:t>
      </w:r>
      <w:r>
        <w:rPr>
          <w:color w:val="000000"/>
        </w:rPr>
        <w:t>banon, Moldova, Pakistan). We found a significant negative correlation between GII (</w:t>
      </w:r>
      <w:r>
        <w:rPr>
          <w:i/>
          <w:color w:val="000000"/>
        </w:rPr>
        <w:t>Z</w:t>
      </w:r>
      <w:r>
        <w:rPr>
          <w:color w:val="000000"/>
        </w:rPr>
        <w:t>-scores) and the percentage of female PDs (</w:t>
      </w:r>
      <w:r>
        <w:rPr>
          <w:i/>
          <w:color w:val="000000"/>
        </w:rPr>
        <w:t>N</w:t>
      </w:r>
      <w:r>
        <w:rPr>
          <w:color w:val="000000"/>
        </w:rPr>
        <w:t xml:space="preserve"> = 58) of </w:t>
      </w:r>
      <w:r>
        <w:rPr>
          <w:i/>
          <w:color w:val="000000"/>
        </w:rPr>
        <w:t xml:space="preserve">r </w:t>
      </w:r>
      <w:r>
        <w:rPr>
          <w:color w:val="000000"/>
        </w:rPr>
        <w:t>= -0.312 (</w:t>
      </w:r>
      <w:r>
        <w:rPr>
          <w:i/>
          <w:color w:val="000000"/>
        </w:rPr>
        <w:t>P</w:t>
      </w:r>
      <w:r>
        <w:rPr>
          <w:color w:val="000000"/>
        </w:rPr>
        <w:t xml:space="preserve"> = 0.017,</w:t>
      </w:r>
      <w:r>
        <w:t xml:space="preserve"> </w:t>
      </w:r>
      <w:r>
        <w:rPr>
          <w:color w:val="000000"/>
        </w:rPr>
        <w:t>95% CI [-0</w:t>
      </w:r>
      <w:r>
        <w:t>.</w:t>
      </w:r>
      <w:r>
        <w:rPr>
          <w:color w:val="000000"/>
        </w:rPr>
        <w:t>528; -0</w:t>
      </w:r>
      <w:r>
        <w:t>.</w:t>
      </w:r>
      <w:r>
        <w:rPr>
          <w:color w:val="000000"/>
        </w:rPr>
        <w:t>058]. We did not find a significant correlation for the male PDs (</w:t>
      </w:r>
      <w:r>
        <w:rPr>
          <w:i/>
          <w:color w:val="000000"/>
        </w:rPr>
        <w:t>N</w:t>
      </w:r>
      <w:r>
        <w:rPr>
          <w:color w:val="000000"/>
        </w:rPr>
        <w:t xml:space="preserve"> = 54). This could imply that GII has an important impact on the presence of female PDs in a country while the male population is not affected by the GII score.</w:t>
      </w:r>
    </w:p>
    <w:p w14:paraId="4F1D89CC" w14:textId="77777777" w:rsidR="009054C0" w:rsidRDefault="006F3A8E">
      <w:pPr>
        <w:pBdr>
          <w:top w:val="nil"/>
          <w:left w:val="nil"/>
          <w:bottom w:val="nil"/>
          <w:right w:val="nil"/>
          <w:between w:val="nil"/>
        </w:pBdr>
        <w:ind w:firstLine="720"/>
        <w:rPr>
          <w:color w:val="000000"/>
        </w:rPr>
      </w:pPr>
      <w:r>
        <w:rPr>
          <w:color w:val="000000"/>
        </w:rPr>
        <w:t>Next, we investigated two variables: the Gini index coefficient (30) and the inflation in each country. Using a Pearson’s correlation test between the Gini index and GII (</w:t>
      </w:r>
      <w:r>
        <w:rPr>
          <w:i/>
          <w:color w:val="000000"/>
        </w:rPr>
        <w:t>Z</w:t>
      </w:r>
      <w:r>
        <w:rPr>
          <w:color w:val="000000"/>
        </w:rPr>
        <w:t>-scores), we found that there is a positive correlation of 0.447 (</w:t>
      </w:r>
      <w:r>
        <w:rPr>
          <w:i/>
          <w:color w:val="000000"/>
        </w:rPr>
        <w:t>P</w:t>
      </w:r>
      <w:r>
        <w:rPr>
          <w:color w:val="000000"/>
        </w:rPr>
        <w:t xml:space="preserve"> &lt; 0.001, 95% </w:t>
      </w:r>
      <w:r>
        <w:t>CI</w:t>
      </w:r>
      <w:r>
        <w:rPr>
          <w:color w:val="000000"/>
        </w:rPr>
        <w:t xml:space="preserve"> [0</w:t>
      </w:r>
      <w:r>
        <w:t>.</w:t>
      </w:r>
      <w:r>
        <w:rPr>
          <w:color w:val="000000"/>
        </w:rPr>
        <w:t>215; 0</w:t>
      </w:r>
      <w:r>
        <w:t>.</w:t>
      </w:r>
      <w:r>
        <w:rPr>
          <w:color w:val="000000"/>
        </w:rPr>
        <w:t>631]. Following this, we created two linear models, the first including the Gini index and GII (</w:t>
      </w:r>
      <w:r>
        <w:rPr>
          <w:i/>
          <w:color w:val="000000"/>
        </w:rPr>
        <w:t>Z</w:t>
      </w:r>
      <w:r>
        <w:rPr>
          <w:color w:val="000000"/>
        </w:rPr>
        <w:t xml:space="preserve">-scores) as independent variables and the percentage of PDs </w:t>
      </w:r>
      <w:r>
        <w:t>as a dependent variable</w:t>
      </w:r>
      <w:r>
        <w:rPr>
          <w:color w:val="000000"/>
        </w:rPr>
        <w:t xml:space="preserve">. The model predicted the percentage of PDs (GII estimate: -2.25, </w:t>
      </w:r>
      <w:r>
        <w:rPr>
          <w:i/>
          <w:color w:val="000000"/>
        </w:rPr>
        <w:t>P</w:t>
      </w:r>
      <w:r>
        <w:rPr>
          <w:color w:val="000000"/>
        </w:rPr>
        <w:t xml:space="preserve"> = 0.005, 95% CI [-3</w:t>
      </w:r>
      <w:r>
        <w:t>.</w:t>
      </w:r>
      <w:r>
        <w:rPr>
          <w:color w:val="000000"/>
        </w:rPr>
        <w:t>780; -0</w:t>
      </w:r>
      <w:r>
        <w:t>.</w:t>
      </w:r>
      <w:r>
        <w:rPr>
          <w:color w:val="000000"/>
        </w:rPr>
        <w:t xml:space="preserve">727] and Gini index estimate: 0.341, </w:t>
      </w:r>
      <w:r>
        <w:rPr>
          <w:i/>
          <w:color w:val="000000"/>
        </w:rPr>
        <w:t>P</w:t>
      </w:r>
      <w:r>
        <w:rPr>
          <w:color w:val="000000"/>
        </w:rPr>
        <w:t xml:space="preserve"> = 0.002, 95% </w:t>
      </w:r>
      <w:r>
        <w:t xml:space="preserve">CI </w:t>
      </w:r>
      <w:r>
        <w:rPr>
          <w:color w:val="000000"/>
        </w:rPr>
        <w:t>[0</w:t>
      </w:r>
      <w:r>
        <w:t>.</w:t>
      </w:r>
      <w:r>
        <w:rPr>
          <w:color w:val="000000"/>
        </w:rPr>
        <w:t>131; 0</w:t>
      </w:r>
      <w:r>
        <w:t>.</w:t>
      </w:r>
      <w:r>
        <w:rPr>
          <w:color w:val="000000"/>
        </w:rPr>
        <w:t>545]</w:t>
      </w:r>
      <w:r>
        <w:rPr>
          <w:i/>
          <w:color w:val="000000"/>
        </w:rPr>
        <w:t>,</w:t>
      </w:r>
      <w:r>
        <w:rPr>
          <w:color w:val="000000"/>
        </w:rPr>
        <w:t xml:space="preserve"> </w:t>
      </w:r>
      <w:r>
        <w:rPr>
          <w:i/>
          <w:color w:val="000000"/>
        </w:rPr>
        <w:t>R</w:t>
      </w:r>
      <w:r>
        <w:rPr>
          <w:i/>
          <w:color w:val="000000"/>
          <w:vertAlign w:val="superscript"/>
        </w:rPr>
        <w:t>2</w:t>
      </w:r>
      <w:r>
        <w:rPr>
          <w:color w:val="000000"/>
        </w:rPr>
        <w:t xml:space="preserve"> = 0.165 (</w:t>
      </w:r>
      <w:r>
        <w:rPr>
          <w:i/>
          <w:color w:val="000000"/>
        </w:rPr>
        <w:t>P</w:t>
      </w:r>
      <w:r>
        <w:rPr>
          <w:color w:val="000000"/>
        </w:rPr>
        <w:t xml:space="preserve"> = 0.002). Before creating the </w:t>
      </w:r>
      <w:r>
        <w:rPr>
          <w:color w:val="000000"/>
        </w:rPr>
        <w:lastRenderedPageBreak/>
        <w:t xml:space="preserve">second linear model, we conducted a Pearson’s correlation test between inflation and GII. We found a positive correlation of </w:t>
      </w:r>
      <w:r>
        <w:rPr>
          <w:i/>
          <w:color w:val="000000"/>
        </w:rPr>
        <w:t>r</w:t>
      </w:r>
      <w:r>
        <w:rPr>
          <w:color w:val="000000"/>
        </w:rPr>
        <w:t xml:space="preserve"> = 0.348 (</w:t>
      </w:r>
      <w:r>
        <w:rPr>
          <w:i/>
          <w:color w:val="000000"/>
        </w:rPr>
        <w:t>P</w:t>
      </w:r>
      <w:r>
        <w:rPr>
          <w:color w:val="000000"/>
        </w:rPr>
        <w:t xml:space="preserve"> = 0.007, 95% </w:t>
      </w:r>
      <w:r>
        <w:t xml:space="preserve">CI </w:t>
      </w:r>
      <w:r>
        <w:rPr>
          <w:color w:val="000000"/>
        </w:rPr>
        <w:t>[0</w:t>
      </w:r>
      <w:r>
        <w:t>.</w:t>
      </w:r>
      <w:r>
        <w:rPr>
          <w:color w:val="000000"/>
        </w:rPr>
        <w:t>101; 0</w:t>
      </w:r>
      <w:r>
        <w:t>.</w:t>
      </w:r>
      <w:r>
        <w:rPr>
          <w:color w:val="000000"/>
        </w:rPr>
        <w:t>555]). The second linear model we created used inflation and GII, and the percentage of PDs. The results showed that inflation and GII did not significantly predict the percentage of PDs.</w:t>
      </w:r>
    </w:p>
    <w:p w14:paraId="3B3C2C01" w14:textId="6E14E9D1" w:rsidR="009054C0" w:rsidRDefault="006F3A8E">
      <w:pPr>
        <w:pBdr>
          <w:top w:val="nil"/>
          <w:left w:val="nil"/>
          <w:bottom w:val="nil"/>
          <w:right w:val="nil"/>
          <w:between w:val="nil"/>
        </w:pBdr>
        <w:ind w:firstLine="720"/>
        <w:rPr>
          <w:color w:val="000000"/>
        </w:rPr>
      </w:pPr>
      <w:r>
        <w:rPr>
          <w:color w:val="000000"/>
        </w:rPr>
        <w:t xml:space="preserve">We conducted a multinomial logistic regression analysis to evaluate the predictive power of individual differences. We used the </w:t>
      </w:r>
      <w:proofErr w:type="spellStart"/>
      <w:r>
        <w:rPr>
          <w:i/>
          <w:color w:val="000000"/>
        </w:rPr>
        <w:t>nnet</w:t>
      </w:r>
      <w:proofErr w:type="spellEnd"/>
      <w:r>
        <w:rPr>
          <w:color w:val="000000"/>
        </w:rPr>
        <w:t xml:space="preserve"> package version 7.3-17 (5. 8. 2022). We predicted the membership in the positive deviant, </w:t>
      </w:r>
      <w:r>
        <w:rPr>
          <w:color w:val="212529"/>
        </w:rPr>
        <w:t>greater financial well-being</w:t>
      </w:r>
      <w:r>
        <w:rPr>
          <w:color w:val="000000"/>
        </w:rPr>
        <w:t xml:space="preserve">, and </w:t>
      </w:r>
      <w:r>
        <w:t>lower financial well-being</w:t>
      </w:r>
      <w:r>
        <w:rPr>
          <w:color w:val="000000"/>
        </w:rPr>
        <w:t xml:space="preserve"> by</w:t>
      </w:r>
      <w:r>
        <w:t xml:space="preserve"> </w:t>
      </w:r>
      <w:r>
        <w:rPr>
          <w:color w:val="000000"/>
        </w:rPr>
        <w:t>individual-level variables (gender, optimism, risk preference, education, and employment) and country-level variables (standardized GDP, standardized Gini index, GII, and standardized inflation) (</w:t>
      </w:r>
      <w:r>
        <w:rPr>
          <w:i/>
          <w:color w:val="000000"/>
        </w:rPr>
        <w:t>pseudo-R</w:t>
      </w:r>
      <w:r>
        <w:rPr>
          <w:i/>
          <w:color w:val="000000"/>
          <w:vertAlign w:val="superscript"/>
        </w:rPr>
        <w:t>2</w:t>
      </w:r>
      <w:r>
        <w:rPr>
          <w:color w:val="000000"/>
        </w:rPr>
        <w:t xml:space="preserve"> = 0.047). In this model, the </w:t>
      </w:r>
      <w:r>
        <w:t>lower financial well-being</w:t>
      </w:r>
      <w:r>
        <w:rPr>
          <w:color w:val="000000"/>
        </w:rPr>
        <w:t xml:space="preserve"> gro</w:t>
      </w:r>
      <w:r>
        <w:t xml:space="preserve">up </w:t>
      </w:r>
      <w:r>
        <w:rPr>
          <w:color w:val="000000"/>
        </w:rPr>
        <w:t>was the reference group. At the country level, there was an effect of GII, which was a negative predictor of the membership to the PDs group (</w:t>
      </w:r>
      <w:r>
        <w:rPr>
          <w:i/>
          <w:color w:val="000000"/>
        </w:rPr>
        <w:t>b</w:t>
      </w:r>
      <w:r>
        <w:rPr>
          <w:color w:val="000000"/>
        </w:rPr>
        <w:t xml:space="preserve"> = -1.657; </w:t>
      </w:r>
      <w:r>
        <w:rPr>
          <w:i/>
          <w:color w:val="000000"/>
        </w:rPr>
        <w:t>P</w:t>
      </w:r>
      <w:r>
        <w:rPr>
          <w:color w:val="000000"/>
        </w:rPr>
        <w:t xml:space="preserve"> &lt; .001), but not for the </w:t>
      </w:r>
      <w:r>
        <w:rPr>
          <w:color w:val="212529"/>
        </w:rPr>
        <w:t>greater financial well-being</w:t>
      </w:r>
      <w:r>
        <w:rPr>
          <w:color w:val="000000"/>
        </w:rPr>
        <w:t xml:space="preserve"> group (</w:t>
      </w:r>
      <w:r>
        <w:rPr>
          <w:i/>
          <w:color w:val="000000"/>
        </w:rPr>
        <w:t>b</w:t>
      </w:r>
      <w:r>
        <w:rPr>
          <w:color w:val="000000"/>
        </w:rPr>
        <w:t xml:space="preserve"> = -0.335; </w:t>
      </w:r>
      <w:r>
        <w:rPr>
          <w:i/>
          <w:color w:val="000000"/>
        </w:rPr>
        <w:t>P</w:t>
      </w:r>
      <w:r>
        <w:rPr>
          <w:color w:val="000000"/>
        </w:rPr>
        <w:t xml:space="preserve"> = 0.111) in comparison to </w:t>
      </w:r>
      <w:r>
        <w:t>lower financial well-being group</w:t>
      </w:r>
      <w:r>
        <w:rPr>
          <w:color w:val="000000"/>
        </w:rPr>
        <w:t xml:space="preserve">. Risk preference was not a significant predictor for any of the membership categories. There was a significant effect of education on predicting the membership to the </w:t>
      </w:r>
      <w:r>
        <w:rPr>
          <w:color w:val="212529"/>
        </w:rPr>
        <w:t>greater financial well-being group</w:t>
      </w:r>
      <w:r>
        <w:rPr>
          <w:color w:val="000000"/>
        </w:rPr>
        <w:t xml:space="preserve"> (</w:t>
      </w:r>
      <w:r>
        <w:rPr>
          <w:i/>
          <w:color w:val="000000"/>
        </w:rPr>
        <w:t>b</w:t>
      </w:r>
      <w:r>
        <w:rPr>
          <w:color w:val="000000"/>
        </w:rPr>
        <w:t xml:space="preserve"> = 0.207; </w:t>
      </w:r>
      <w:r>
        <w:rPr>
          <w:i/>
          <w:color w:val="000000"/>
        </w:rPr>
        <w:t>P</w:t>
      </w:r>
      <w:r>
        <w:rPr>
          <w:color w:val="000000"/>
        </w:rPr>
        <w:t xml:space="preserve"> &lt; .001) and PDs group (</w:t>
      </w:r>
      <w:r>
        <w:rPr>
          <w:i/>
          <w:color w:val="000000"/>
        </w:rPr>
        <w:t>b</w:t>
      </w:r>
      <w:r>
        <w:rPr>
          <w:color w:val="000000"/>
        </w:rPr>
        <w:t xml:space="preserve"> = 0.096; </w:t>
      </w:r>
      <w:r>
        <w:rPr>
          <w:i/>
          <w:color w:val="000000"/>
        </w:rPr>
        <w:t>P</w:t>
      </w:r>
      <w:r>
        <w:rPr>
          <w:color w:val="000000"/>
        </w:rPr>
        <w:t xml:space="preserve"> = 0.002). There are differences in the effect of different employment categories on predicting the outcome variable</w:t>
      </w:r>
      <w:r>
        <w:t>. For further details, refer</w:t>
      </w:r>
      <w:r>
        <w:rPr>
          <w:color w:val="000000"/>
        </w:rPr>
        <w:t xml:space="preserve"> to Fig S1, Table S</w:t>
      </w:r>
      <w:r>
        <w:t xml:space="preserve">1. </w:t>
      </w:r>
    </w:p>
    <w:p w14:paraId="0E70F47D" w14:textId="77777777" w:rsidR="009054C0" w:rsidRDefault="006F3A8E">
      <w:pPr>
        <w:pBdr>
          <w:top w:val="nil"/>
          <w:left w:val="nil"/>
          <w:bottom w:val="nil"/>
          <w:right w:val="nil"/>
          <w:between w:val="nil"/>
        </w:pBdr>
        <w:ind w:firstLine="480"/>
        <w:rPr>
          <w:color w:val="000000"/>
        </w:rPr>
      </w:pPr>
      <w:r>
        <w:rPr>
          <w:color w:val="000000"/>
        </w:rPr>
        <w:t>Then, we used a chi-squared distribution to evaluate the change in predictive power of each predictor by comparing the deviance of the full model to each reduced one. We found that with the exclusion of GDP (</w:t>
      </w:r>
      <w:r>
        <w:rPr>
          <w:i/>
          <w:color w:val="000000"/>
        </w:rPr>
        <w:t>P</w:t>
      </w:r>
      <w:r>
        <w:rPr>
          <w:color w:val="000000"/>
        </w:rPr>
        <w:t xml:space="preserve"> &lt; 0.001), GINI (</w:t>
      </w:r>
      <w:r>
        <w:rPr>
          <w:i/>
          <w:color w:val="000000"/>
        </w:rPr>
        <w:t>P</w:t>
      </w:r>
      <w:r>
        <w:rPr>
          <w:color w:val="000000"/>
        </w:rPr>
        <w:t xml:space="preserve"> &lt; 0.001), GII (</w:t>
      </w:r>
      <w:r>
        <w:rPr>
          <w:i/>
          <w:color w:val="000000"/>
        </w:rPr>
        <w:t>P</w:t>
      </w:r>
      <w:r>
        <w:rPr>
          <w:color w:val="000000"/>
        </w:rPr>
        <w:t xml:space="preserve"> &lt; 0.001), inflation (</w:t>
      </w:r>
      <w:r>
        <w:rPr>
          <w:i/>
          <w:color w:val="000000"/>
        </w:rPr>
        <w:t>P</w:t>
      </w:r>
      <w:r>
        <w:rPr>
          <w:color w:val="000000"/>
        </w:rPr>
        <w:t xml:space="preserve"> &lt; 0.001), education (</w:t>
      </w:r>
      <w:r>
        <w:rPr>
          <w:i/>
          <w:color w:val="000000"/>
        </w:rPr>
        <w:t>P</w:t>
      </w:r>
      <w:r>
        <w:rPr>
          <w:color w:val="000000"/>
        </w:rPr>
        <w:t xml:space="preserve"> &lt; 0.001), gender (</w:t>
      </w:r>
      <w:r>
        <w:rPr>
          <w:i/>
          <w:color w:val="000000"/>
        </w:rPr>
        <w:t>P</w:t>
      </w:r>
      <w:r>
        <w:rPr>
          <w:color w:val="000000"/>
        </w:rPr>
        <w:t xml:space="preserve"> &lt; 0.001), employment (</w:t>
      </w:r>
      <w:r>
        <w:rPr>
          <w:i/>
          <w:color w:val="000000"/>
        </w:rPr>
        <w:t>P</w:t>
      </w:r>
      <w:r>
        <w:rPr>
          <w:color w:val="000000"/>
        </w:rPr>
        <w:t xml:space="preserve"> &lt; 0.001) in each step, the fit of the model changed significantly</w:t>
      </w:r>
      <w:r>
        <w:t>, which indicates an explanatory value of these predictors.</w:t>
      </w:r>
    </w:p>
    <w:p w14:paraId="1E6015E3" w14:textId="77777777" w:rsidR="009054C0" w:rsidRDefault="006F3A8E">
      <w:pPr>
        <w:pBdr>
          <w:top w:val="nil"/>
          <w:left w:val="nil"/>
          <w:bottom w:val="nil"/>
          <w:right w:val="nil"/>
          <w:between w:val="nil"/>
        </w:pBdr>
        <w:ind w:firstLine="480"/>
        <w:rPr>
          <w:color w:val="000000"/>
        </w:rPr>
      </w:pPr>
      <w:r>
        <w:rPr>
          <w:color w:val="000000"/>
        </w:rPr>
        <w:t xml:space="preserve">We explored if behavioral differences can predict positive deviance within countries and on an aggregate level by conducting a multinomial logistic regression analysis to estimate the predictive effect of behavioral, individual-level variables (risk preference, time poverty, lump sum preference, debt allocation, and investment ratio) and country-level variables (as </w:t>
      </w:r>
      <w:r>
        <w:t>in</w:t>
      </w:r>
      <w:r>
        <w:rPr>
          <w:color w:val="000000"/>
        </w:rPr>
        <w:t xml:space="preserve"> previous analysis) on the categorization of respondents into </w:t>
      </w:r>
      <w:r>
        <w:t>lower financial well-being</w:t>
      </w:r>
      <w:r>
        <w:rPr>
          <w:color w:val="000000"/>
        </w:rPr>
        <w:t xml:space="preserve">, </w:t>
      </w:r>
      <w:r>
        <w:rPr>
          <w:color w:val="212529"/>
        </w:rPr>
        <w:t>greater financial well-being</w:t>
      </w:r>
      <w:r>
        <w:rPr>
          <w:color w:val="000000"/>
        </w:rPr>
        <w:t xml:space="preserve"> and positive deviant groups (in which the </w:t>
      </w:r>
      <w:r>
        <w:t>lower financial well-being</w:t>
      </w:r>
      <w:r>
        <w:rPr>
          <w:color w:val="000000"/>
        </w:rPr>
        <w:t xml:space="preserve"> group was the reference group). We built a classification table to predict and validate our model and calculated a 100% model accuracy (McFadden’s </w:t>
      </w:r>
      <w:r>
        <w:rPr>
          <w:i/>
          <w:color w:val="000000"/>
        </w:rPr>
        <w:t>pseudo-R</w:t>
      </w:r>
      <w:r>
        <w:rPr>
          <w:i/>
          <w:color w:val="000000"/>
          <w:vertAlign w:val="superscript"/>
        </w:rPr>
        <w:t>2</w:t>
      </w:r>
      <w:r>
        <w:rPr>
          <w:color w:val="000000"/>
        </w:rPr>
        <w:t xml:space="preserve"> = .087). To test for statistical significance, we calculated Wald </w:t>
      </w:r>
      <w:r>
        <w:rPr>
          <w:i/>
          <w:color w:val="000000"/>
        </w:rPr>
        <w:t>Z</w:t>
      </w:r>
      <w:r>
        <w:rPr>
          <w:color w:val="000000"/>
        </w:rPr>
        <w:t xml:space="preserve">-scores for a two-tailed </w:t>
      </w:r>
      <w:r>
        <w:rPr>
          <w:i/>
          <w:color w:val="000000"/>
        </w:rPr>
        <w:t>z</w:t>
      </w:r>
      <w:r>
        <w:rPr>
          <w:color w:val="000000"/>
        </w:rPr>
        <w:t>-test.</w:t>
      </w:r>
      <w:r>
        <w:t xml:space="preserve"> For further details, refer to Fig S2, Table S2.</w:t>
      </w:r>
    </w:p>
    <w:p w14:paraId="67345AF6" w14:textId="77777777" w:rsidR="009054C0" w:rsidRDefault="006F3A8E">
      <w:pPr>
        <w:pBdr>
          <w:top w:val="nil"/>
          <w:left w:val="nil"/>
          <w:bottom w:val="nil"/>
          <w:right w:val="nil"/>
          <w:between w:val="nil"/>
        </w:pBdr>
        <w:ind w:firstLine="720"/>
        <w:rPr>
          <w:color w:val="000000"/>
        </w:rPr>
      </w:pPr>
      <w:r>
        <w:rPr>
          <w:color w:val="000000"/>
        </w:rPr>
        <w:t>At the country level, there was a significant effect of time poverty; choosing a preference of “time poor, money rich” is a positive predictor of the membership to the PD (</w:t>
      </w:r>
      <w:r>
        <w:rPr>
          <w:i/>
          <w:color w:val="000000"/>
        </w:rPr>
        <w:t>b</w:t>
      </w:r>
      <w:r>
        <w:rPr>
          <w:color w:val="000000"/>
        </w:rPr>
        <w:t xml:space="preserve"> = 0.330; </w:t>
      </w:r>
      <w:r>
        <w:rPr>
          <w:i/>
          <w:color w:val="000000"/>
        </w:rPr>
        <w:t>P</w:t>
      </w:r>
      <w:r>
        <w:rPr>
          <w:color w:val="000000"/>
        </w:rPr>
        <w:t xml:space="preserve"> &lt; 0.001) and </w:t>
      </w:r>
      <w:r>
        <w:rPr>
          <w:color w:val="212529"/>
        </w:rPr>
        <w:t>greater financial well-being</w:t>
      </w:r>
      <w:r>
        <w:rPr>
          <w:color w:val="000000"/>
        </w:rPr>
        <w:t xml:space="preserve"> group (</w:t>
      </w:r>
      <w:r>
        <w:rPr>
          <w:i/>
          <w:color w:val="000000"/>
        </w:rPr>
        <w:t>b</w:t>
      </w:r>
      <w:r>
        <w:rPr>
          <w:color w:val="000000"/>
        </w:rPr>
        <w:t xml:space="preserve"> = 0.193; </w:t>
      </w:r>
      <w:r>
        <w:rPr>
          <w:i/>
          <w:color w:val="000000"/>
        </w:rPr>
        <w:t>P</w:t>
      </w:r>
      <w:r>
        <w:rPr>
          <w:color w:val="000000"/>
        </w:rPr>
        <w:t xml:space="preserve"> &lt; 0.001) groups. We also found a significant effect of lump sum preference; choosing a preference of “lump sum payment” is a negative predictor of the membership to the PD (</w:t>
      </w:r>
      <w:r>
        <w:rPr>
          <w:i/>
          <w:color w:val="000000"/>
        </w:rPr>
        <w:t xml:space="preserve">b </w:t>
      </w:r>
      <w:r>
        <w:rPr>
          <w:color w:val="000000"/>
        </w:rPr>
        <w:t xml:space="preserve">= -0.242; </w:t>
      </w:r>
      <w:r>
        <w:rPr>
          <w:i/>
          <w:color w:val="000000"/>
        </w:rPr>
        <w:t xml:space="preserve">P </w:t>
      </w:r>
      <w:r>
        <w:rPr>
          <w:color w:val="000000"/>
        </w:rPr>
        <w:t xml:space="preserve">= 0.00118) and </w:t>
      </w:r>
      <w:r>
        <w:rPr>
          <w:color w:val="212529"/>
        </w:rPr>
        <w:t>greater financial well-being group</w:t>
      </w:r>
      <w:r>
        <w:rPr>
          <w:color w:val="000000"/>
        </w:rPr>
        <w:t xml:space="preserve"> (</w:t>
      </w:r>
      <w:r>
        <w:rPr>
          <w:i/>
          <w:color w:val="000000"/>
        </w:rPr>
        <w:t xml:space="preserve">b </w:t>
      </w:r>
      <w:r>
        <w:rPr>
          <w:color w:val="000000"/>
        </w:rPr>
        <w:t xml:space="preserve">= -0.126; </w:t>
      </w:r>
      <w:r>
        <w:rPr>
          <w:i/>
          <w:color w:val="000000"/>
        </w:rPr>
        <w:t xml:space="preserve">P </w:t>
      </w:r>
      <w:r>
        <w:rPr>
          <w:color w:val="000000"/>
        </w:rPr>
        <w:t xml:space="preserve">= 0.02425) groups. Risk preference was a significant negative predictor for the membership of the </w:t>
      </w:r>
      <w:r>
        <w:rPr>
          <w:color w:val="212529"/>
        </w:rPr>
        <w:t>greater financial well-being</w:t>
      </w:r>
      <w:r>
        <w:rPr>
          <w:color w:val="000000"/>
        </w:rPr>
        <w:t xml:space="preserve"> group (</w:t>
      </w:r>
      <w:r>
        <w:rPr>
          <w:i/>
          <w:color w:val="000000"/>
        </w:rPr>
        <w:t>b</w:t>
      </w:r>
      <w:r>
        <w:rPr>
          <w:color w:val="000000"/>
        </w:rPr>
        <w:t xml:space="preserve"> = -0.0439, </w:t>
      </w:r>
      <w:r>
        <w:rPr>
          <w:i/>
          <w:color w:val="000000"/>
        </w:rPr>
        <w:t>P</w:t>
      </w:r>
      <w:r>
        <w:rPr>
          <w:color w:val="000000"/>
        </w:rPr>
        <w:t xml:space="preserve"> = 0.0176), but not for PDs. Debt allocation and investment ratio did not show any significant predictive effects. </w:t>
      </w:r>
    </w:p>
    <w:p w14:paraId="5E9283BB" w14:textId="77777777" w:rsidR="009054C0" w:rsidRDefault="006F3A8E">
      <w:pPr>
        <w:pBdr>
          <w:top w:val="nil"/>
          <w:left w:val="nil"/>
          <w:bottom w:val="nil"/>
          <w:right w:val="nil"/>
          <w:between w:val="nil"/>
        </w:pBdr>
        <w:ind w:firstLine="720"/>
        <w:rPr>
          <w:color w:val="000000"/>
        </w:rPr>
      </w:pPr>
      <w:r>
        <w:rPr>
          <w:color w:val="000000"/>
        </w:rPr>
        <w:t>At the aggregate level, there was a significant predictive effect on the membership to the PD group for GDP (</w:t>
      </w:r>
      <w:r>
        <w:rPr>
          <w:i/>
          <w:color w:val="000000"/>
        </w:rPr>
        <w:t>b</w:t>
      </w:r>
      <w:r>
        <w:rPr>
          <w:color w:val="000000"/>
        </w:rPr>
        <w:t xml:space="preserve"> = 0.781; </w:t>
      </w:r>
      <w:r>
        <w:rPr>
          <w:i/>
          <w:color w:val="000000"/>
        </w:rPr>
        <w:t>P</w:t>
      </w:r>
      <w:r>
        <w:rPr>
          <w:color w:val="000000"/>
        </w:rPr>
        <w:t xml:space="preserve"> &lt; 0.001), GINI (</w:t>
      </w:r>
      <w:r>
        <w:rPr>
          <w:i/>
          <w:color w:val="000000"/>
        </w:rPr>
        <w:t>b</w:t>
      </w:r>
      <w:r>
        <w:rPr>
          <w:color w:val="000000"/>
        </w:rPr>
        <w:t xml:space="preserve"> = -0.756; </w:t>
      </w:r>
      <w:r>
        <w:rPr>
          <w:i/>
          <w:color w:val="000000"/>
        </w:rPr>
        <w:t>P</w:t>
      </w:r>
      <w:r>
        <w:rPr>
          <w:color w:val="000000"/>
        </w:rPr>
        <w:t xml:space="preserve"> &lt; 0.001), GII (</w:t>
      </w:r>
      <w:r>
        <w:rPr>
          <w:i/>
          <w:color w:val="000000"/>
        </w:rPr>
        <w:t>b</w:t>
      </w:r>
      <w:r>
        <w:rPr>
          <w:color w:val="000000"/>
        </w:rPr>
        <w:t xml:space="preserve"> = 9.41; </w:t>
      </w:r>
      <w:r>
        <w:rPr>
          <w:i/>
          <w:color w:val="000000"/>
        </w:rPr>
        <w:t>P</w:t>
      </w:r>
      <w:r>
        <w:rPr>
          <w:color w:val="000000"/>
        </w:rPr>
        <w:t xml:space="preserve"> &lt; 0.001) and inflation (b = -0.280; P &lt; 0.001). There was also a significant predictive effect on the membership to the </w:t>
      </w:r>
      <w:r>
        <w:rPr>
          <w:color w:val="212529"/>
        </w:rPr>
        <w:t>greater financial well-being</w:t>
      </w:r>
      <w:r>
        <w:rPr>
          <w:color w:val="000000"/>
        </w:rPr>
        <w:t xml:space="preserve"> group for GDP (</w:t>
      </w:r>
      <w:r>
        <w:rPr>
          <w:i/>
          <w:color w:val="000000"/>
        </w:rPr>
        <w:t>b</w:t>
      </w:r>
      <w:r>
        <w:rPr>
          <w:color w:val="000000"/>
        </w:rPr>
        <w:t xml:space="preserve"> = 0.619; </w:t>
      </w:r>
      <w:r>
        <w:rPr>
          <w:i/>
          <w:color w:val="000000"/>
        </w:rPr>
        <w:t>P</w:t>
      </w:r>
      <w:r>
        <w:rPr>
          <w:color w:val="000000"/>
        </w:rPr>
        <w:t xml:space="preserve"> &lt; 0.001), GINI (</w:t>
      </w:r>
      <w:r>
        <w:rPr>
          <w:i/>
          <w:color w:val="000000"/>
        </w:rPr>
        <w:t>b</w:t>
      </w:r>
      <w:r>
        <w:rPr>
          <w:color w:val="000000"/>
        </w:rPr>
        <w:t xml:space="preserve"> = -0.911; </w:t>
      </w:r>
      <w:r>
        <w:rPr>
          <w:i/>
          <w:color w:val="000000"/>
        </w:rPr>
        <w:t>P</w:t>
      </w:r>
      <w:r>
        <w:rPr>
          <w:color w:val="000000"/>
        </w:rPr>
        <w:t xml:space="preserve"> &lt; 0.001), GII (</w:t>
      </w:r>
      <w:r>
        <w:rPr>
          <w:i/>
          <w:color w:val="000000"/>
        </w:rPr>
        <w:t>b</w:t>
      </w:r>
      <w:r>
        <w:rPr>
          <w:color w:val="000000"/>
        </w:rPr>
        <w:t xml:space="preserve"> = 9.33; </w:t>
      </w:r>
      <w:r>
        <w:rPr>
          <w:i/>
          <w:color w:val="000000"/>
        </w:rPr>
        <w:t>P</w:t>
      </w:r>
      <w:r>
        <w:rPr>
          <w:color w:val="000000"/>
        </w:rPr>
        <w:t xml:space="preserve"> &lt; 0.001) and inflation (</w:t>
      </w:r>
      <w:r>
        <w:rPr>
          <w:i/>
          <w:color w:val="000000"/>
        </w:rPr>
        <w:t>b</w:t>
      </w:r>
      <w:r>
        <w:rPr>
          <w:color w:val="000000"/>
        </w:rPr>
        <w:t xml:space="preserve"> = 0.147; </w:t>
      </w:r>
      <w:r>
        <w:rPr>
          <w:i/>
          <w:color w:val="000000"/>
        </w:rPr>
        <w:t>P</w:t>
      </w:r>
      <w:r>
        <w:rPr>
          <w:color w:val="000000"/>
        </w:rPr>
        <w:t xml:space="preserve"> &lt; 0.001). To examine </w:t>
      </w:r>
      <w:r>
        <w:rPr>
          <w:color w:val="000000"/>
        </w:rPr>
        <w:lastRenderedPageBreak/>
        <w:t>the significance of the predictive power of each individual-level variable, we created reduced multinomial models that include all variables from the full model except for the targeted variable. Then, we used a chi-squared distribution to evaluate the change in predictive power between the full model and each reduced one. We found that GII (</w:t>
      </w:r>
      <w:r>
        <w:rPr>
          <w:i/>
          <w:color w:val="000000"/>
        </w:rPr>
        <w:t>P</w:t>
      </w:r>
      <w:r>
        <w:rPr>
          <w:color w:val="000000"/>
        </w:rPr>
        <w:t xml:space="preserve"> &lt; 0.001), risk preference (</w:t>
      </w:r>
      <w:r>
        <w:rPr>
          <w:i/>
          <w:color w:val="000000"/>
        </w:rPr>
        <w:t>P</w:t>
      </w:r>
      <w:r>
        <w:rPr>
          <w:color w:val="000000"/>
        </w:rPr>
        <w:t xml:space="preserve"> = 0.0455), time poverty (</w:t>
      </w:r>
      <w:r>
        <w:rPr>
          <w:i/>
          <w:color w:val="000000"/>
        </w:rPr>
        <w:t>P</w:t>
      </w:r>
      <w:r>
        <w:rPr>
          <w:color w:val="000000"/>
        </w:rPr>
        <w:t xml:space="preserve"> &lt; 0.001) and lump sum (</w:t>
      </w:r>
      <w:r>
        <w:rPr>
          <w:i/>
          <w:color w:val="000000"/>
        </w:rPr>
        <w:t>P</w:t>
      </w:r>
      <w:r>
        <w:rPr>
          <w:color w:val="000000"/>
        </w:rPr>
        <w:t xml:space="preserve"> = 0.00487) were significant predictors of categorical placement relative to the full model.</w:t>
      </w:r>
    </w:p>
    <w:p w14:paraId="35D47A25" w14:textId="77777777" w:rsidR="009054C0" w:rsidRDefault="006F3A8E">
      <w:pPr>
        <w:pBdr>
          <w:top w:val="nil"/>
          <w:left w:val="nil"/>
          <w:bottom w:val="nil"/>
          <w:right w:val="nil"/>
          <w:between w:val="nil"/>
        </w:pBdr>
        <w:ind w:firstLine="480"/>
        <w:rPr>
          <w:color w:val="000000"/>
        </w:rPr>
      </w:pPr>
      <w:r>
        <w:rPr>
          <w:color w:val="000000"/>
        </w:rPr>
        <w:t>We used a one-way analysis of variance (ANOVA) to evaluate if the 2020 pandemic financially impacted positive deviants (</w:t>
      </w:r>
      <w:r>
        <w:rPr>
          <w:i/>
          <w:color w:val="000000"/>
        </w:rPr>
        <w:t>Residual SE</w:t>
      </w:r>
      <w:r>
        <w:rPr>
          <w:color w:val="000000"/>
        </w:rPr>
        <w:t xml:space="preserve">: 1.302, </w:t>
      </w:r>
      <w:r>
        <w:rPr>
          <w:i/>
          <w:color w:val="000000"/>
        </w:rPr>
        <w:t>M</w:t>
      </w:r>
      <w:r>
        <w:rPr>
          <w:color w:val="000000"/>
        </w:rPr>
        <w:t xml:space="preserve"> = 3.90). This signifies that the average response for the financial 2020 question was between “no impact” and “somewhat better” on finances. We found the differences across means were negligible when utilizing confidence intervals (</w:t>
      </w:r>
      <w:r>
        <w:rPr>
          <w:color w:val="212529"/>
        </w:rPr>
        <w:t>greater financial well-being</w:t>
      </w:r>
      <w:r>
        <w:rPr>
          <w:color w:val="000000"/>
        </w:rPr>
        <w:t xml:space="preserve">: 3.84 ± 0.027, </w:t>
      </w:r>
      <w:r>
        <w:t>lower financial well-being</w:t>
      </w:r>
      <w:r>
        <w:rPr>
          <w:color w:val="000000"/>
        </w:rPr>
        <w:t xml:space="preserve">: 3.64 ± 0.056, positive deviant: 3.75 ± 0.065). </w:t>
      </w:r>
      <w:r>
        <w:t xml:space="preserve">Although there were modest numerical differences, positive deviants were less likely to be negatively affected financially. </w:t>
      </w:r>
      <w:r>
        <w:rPr>
          <w:color w:val="000000"/>
        </w:rPr>
        <w:t>Alternatively, we standardized our financial variable into binary groups (‘negative impact’ or ‘no negative impact’ (including the neutral response)). After creating a table to compare means across groups for our positive deviant variable, we found the differences across means were also negligible (</w:t>
      </w:r>
      <w:r>
        <w:rPr>
          <w:color w:val="212529"/>
        </w:rPr>
        <w:t>greater financial well-being:</w:t>
      </w:r>
      <w:r>
        <w:rPr>
          <w:color w:val="000000"/>
        </w:rPr>
        <w:t xml:space="preserve"> 1.27, </w:t>
      </w:r>
      <w:r>
        <w:t>lower financial well-being</w:t>
      </w:r>
      <w:r>
        <w:rPr>
          <w:color w:val="000000"/>
        </w:rPr>
        <w:t>: 1.40, positive deviant: 1.29). This indicates that the COVID-19 pandemic did not financially affect any groups (</w:t>
      </w:r>
      <w:r>
        <w:rPr>
          <w:color w:val="212529"/>
        </w:rPr>
        <w:t>greater financial well-being</w:t>
      </w:r>
      <w:r>
        <w:rPr>
          <w:color w:val="000000"/>
        </w:rPr>
        <w:t xml:space="preserve">, </w:t>
      </w:r>
      <w:r>
        <w:t>lower financial well-being</w:t>
      </w:r>
      <w:r>
        <w:rPr>
          <w:color w:val="000000"/>
        </w:rPr>
        <w:t>, and positive deviants). </w:t>
      </w:r>
    </w:p>
    <w:p w14:paraId="335EB5C8" w14:textId="77777777" w:rsidR="009054C0" w:rsidRDefault="006F3A8E">
      <w:pPr>
        <w:ind w:firstLine="720"/>
      </w:pPr>
      <w:r>
        <w:t xml:space="preserve">Next, we used a </w:t>
      </w:r>
      <w:proofErr w:type="spellStart"/>
      <w:r>
        <w:t>McNemar</w:t>
      </w:r>
      <w:proofErr w:type="spellEnd"/>
      <w:r>
        <w:t xml:space="preserve"> chi-squared test for dependent samples to explore the differences between countries in positive deviants and lower financial well-being populations in their financial outcomes after the pandemic. There were more countries where positive deviants in comparison to lower financial well-being populations felt more financially stable after COVID-19 (</w:t>
      </w:r>
      <w:r>
        <w:rPr>
          <w:i/>
        </w:rPr>
        <w:t>P</w:t>
      </w:r>
      <w:r>
        <w:t xml:space="preserve"> &lt; 0.001, </w:t>
      </w:r>
      <w:r>
        <w:rPr>
          <w:i/>
        </w:rPr>
        <w:t>X</w:t>
      </w:r>
      <w:r>
        <w:rPr>
          <w:i/>
          <w:vertAlign w:val="superscript"/>
        </w:rPr>
        <w:t xml:space="preserve">2 </w:t>
      </w:r>
      <w:r>
        <w:t xml:space="preserve">= 12.37, </w:t>
      </w:r>
      <w:proofErr w:type="spellStart"/>
      <w:r>
        <w:rPr>
          <w:i/>
        </w:rPr>
        <w:t>df</w:t>
      </w:r>
      <w:proofErr w:type="spellEnd"/>
      <w:r>
        <w:t xml:space="preserve"> = 1).  We also calculated the average marginal difference between the rate of difference of positive deviants (between those experiencing positive/neutral impacts and those experiencing negative impacts) and rate of difference in the lower financial well-being population (</w:t>
      </w:r>
      <w:r>
        <w:rPr>
          <w:i/>
        </w:rPr>
        <w:t>M</w:t>
      </w:r>
      <w:r>
        <w:t xml:space="preserve"> = 14.06 %, </w:t>
      </w:r>
      <w:r>
        <w:rPr>
          <w:i/>
        </w:rPr>
        <w:t>SD</w:t>
      </w:r>
      <w:r>
        <w:t xml:space="preserve"> = 37.65 %). Pakistan, Lebanon, and Egypt had only one positive deviant, so they were excluded from this calculation.</w:t>
      </w:r>
    </w:p>
    <w:p w14:paraId="5370996A" w14:textId="39824FA0" w:rsidR="009054C0" w:rsidRDefault="006F3A8E">
      <w:pPr>
        <w:pBdr>
          <w:top w:val="nil"/>
          <w:left w:val="nil"/>
          <w:bottom w:val="nil"/>
          <w:right w:val="nil"/>
          <w:between w:val="nil"/>
        </w:pBdr>
        <w:ind w:firstLine="480"/>
      </w:pPr>
      <w:r>
        <w:t>For detailed explanations on methods and other materials, please refer to Ruggeri et al., 2022.</w:t>
      </w:r>
    </w:p>
    <w:p w14:paraId="35B30AE9" w14:textId="30B65F4B" w:rsidR="009F4F85" w:rsidRDefault="009F4F85" w:rsidP="009F4F85">
      <w:pPr>
        <w:pBdr>
          <w:top w:val="nil"/>
          <w:left w:val="nil"/>
          <w:bottom w:val="nil"/>
          <w:right w:val="nil"/>
          <w:between w:val="nil"/>
        </w:pBdr>
      </w:pPr>
    </w:p>
    <w:p w14:paraId="5F728122" w14:textId="77777777" w:rsidR="009F4F85" w:rsidRDefault="009F4F85" w:rsidP="009F4F85">
      <w:pPr>
        <w:pBdr>
          <w:top w:val="nil"/>
          <w:left w:val="nil"/>
          <w:bottom w:val="nil"/>
          <w:right w:val="nil"/>
          <w:between w:val="nil"/>
        </w:pBdr>
      </w:pPr>
    </w:p>
    <w:p w14:paraId="16ABC0B4" w14:textId="77777777" w:rsidR="009F4F85" w:rsidRPr="00D671A8" w:rsidRDefault="009F4F85" w:rsidP="009F4F85">
      <w:pPr>
        <w:jc w:val="both"/>
        <w:rPr>
          <w:i/>
          <w:iCs/>
          <w:color w:val="212529"/>
          <w:lang w:eastAsia="en-GB"/>
        </w:rPr>
      </w:pPr>
      <w:r w:rsidRPr="00D671A8">
        <w:rPr>
          <w:i/>
          <w:iCs/>
          <w:color w:val="212529"/>
          <w:lang w:eastAsia="en-GB"/>
        </w:rPr>
        <w:t>Limitations</w:t>
      </w:r>
    </w:p>
    <w:p w14:paraId="560C7F99" w14:textId="77777777" w:rsidR="009F4F85" w:rsidRPr="00D671A8" w:rsidRDefault="009F4F85" w:rsidP="009F4F85">
      <w:pPr>
        <w:rPr>
          <w:color w:val="212529"/>
          <w:sz w:val="20"/>
          <w:szCs w:val="20"/>
          <w:lang w:eastAsia="en-GB"/>
        </w:rPr>
      </w:pPr>
    </w:p>
    <w:p w14:paraId="3887F1FD" w14:textId="77777777" w:rsidR="009F4F85" w:rsidRPr="00D671A8" w:rsidRDefault="009F4F85" w:rsidP="009F4F85">
      <w:pPr>
        <w:jc w:val="both"/>
        <w:rPr>
          <w:color w:val="212529"/>
          <w:lang w:eastAsia="en-GB"/>
        </w:rPr>
      </w:pPr>
      <w:r w:rsidRPr="00D671A8">
        <w:rPr>
          <w:color w:val="212529"/>
          <w:lang w:eastAsia="en-GB"/>
        </w:rPr>
        <w:t xml:space="preserve">The data we use here only provide limited insight into human behaviors outside of the context of our measures, which are narrow by design. We strongly encourage future research to invest into observing true behaviors (e.g., from financial institutions, healthcare, schools, tax agencies, and insurance companies) rather than repetitive surveying. Direct observation will also support assessment that incorporates pre-existing financial and legal restrictions and provide a clearer picture of what behavioral patterns may enable or secure upward economic mobility, better informing high impact policies. This also extends to having more indicative measures of wealth rather than relying only on income, given income does little to account for costs of living (i.e., wealth would indicate ability to save), debt, or prior economic circumstances with longer-term effects on individuals that grew up poor (such as costs of caring for low-income parents) </w:t>
      </w:r>
      <w:r w:rsidRPr="00D671A8">
        <w:rPr>
          <w:color w:val="212529"/>
          <w:lang w:eastAsia="en-GB"/>
        </w:rPr>
        <w:fldChar w:fldCharType="begin"/>
      </w:r>
      <w:r>
        <w:rPr>
          <w:color w:val="212529"/>
          <w:lang w:eastAsia="en-GB"/>
        </w:rPr>
        <w:instrText xml:space="preserve"> ADDIN ZOTERO_ITEM CSL_CITATION {"citationID":"UyfLax6K","properties":{"formattedCitation":"(Desilver, n.d.)","plainCitation":"(Desilver, n.d.)","noteIndex":0},"citationItems":[{"id":"w8vaqCf7/31BWNsc8","uris":["http://zotero.org/users/9502908/items/IP76CBV9"],"itemData":{"id":1055,"type":"post-weblog","abstract":"Just what is \"economic inequality\"? Depends on whom you ask.","container-title":"Pew Research Center","language":"en-US","title":"The many ways to measure economic inequality","URL":"https://www.pewresearch.org/fact-tank/2015/09/22/the-many-ways-to-measure-economic-inequality/","author":[{"family":"Desilver","given":"Drew"}],"accessed":{"date-parts":[["2022",10,3]]}}}],"schema":"https://github.com/citation-style-language/schema/raw/master/csl-citation.json"} </w:instrText>
      </w:r>
      <w:r w:rsidRPr="00D671A8">
        <w:rPr>
          <w:color w:val="212529"/>
          <w:lang w:eastAsia="en-GB"/>
        </w:rPr>
        <w:fldChar w:fldCharType="separate"/>
      </w:r>
      <w:r w:rsidRPr="00937D79">
        <w:t>(Desilver, n.d.)</w:t>
      </w:r>
      <w:r w:rsidRPr="00D671A8">
        <w:rPr>
          <w:color w:val="212529"/>
          <w:lang w:eastAsia="en-GB"/>
        </w:rPr>
        <w:fldChar w:fldCharType="end"/>
      </w:r>
      <w:r w:rsidRPr="00D671A8">
        <w:rPr>
          <w:color w:val="212529"/>
          <w:lang w:eastAsia="en-GB"/>
        </w:rPr>
        <w:t>.</w:t>
      </w:r>
    </w:p>
    <w:p w14:paraId="525B55D8" w14:textId="77777777" w:rsidR="009F4F85" w:rsidRPr="00D671A8" w:rsidRDefault="009F4F85" w:rsidP="009F4F85">
      <w:pPr>
        <w:jc w:val="both"/>
        <w:rPr>
          <w:color w:val="212529"/>
          <w:lang w:eastAsia="en-GB"/>
        </w:rPr>
      </w:pPr>
    </w:p>
    <w:p w14:paraId="14F91EA1" w14:textId="77777777" w:rsidR="009F4F85" w:rsidRPr="00D671A8" w:rsidRDefault="009F4F85" w:rsidP="009F4F85">
      <w:pPr>
        <w:jc w:val="both"/>
        <w:rPr>
          <w:color w:val="212529"/>
          <w:lang w:eastAsia="en-GB"/>
        </w:rPr>
      </w:pPr>
      <w:r w:rsidRPr="00D671A8">
        <w:rPr>
          <w:color w:val="212529"/>
          <w:lang w:eastAsia="en-GB"/>
        </w:rPr>
        <w:lastRenderedPageBreak/>
        <w:t xml:space="preserve">We also recommend more focus into the makeup of positive deviants, specifically in terms of migration. While immigrants comprise a small minority in the </w:t>
      </w:r>
      <w:proofErr w:type="gramStart"/>
      <w:r w:rsidRPr="00D671A8">
        <w:rPr>
          <w:color w:val="212529"/>
          <w:lang w:eastAsia="en-GB"/>
        </w:rPr>
        <w:t>data</w:t>
      </w:r>
      <w:proofErr w:type="gramEnd"/>
      <w:r w:rsidRPr="00D671A8">
        <w:rPr>
          <w:color w:val="212529"/>
          <w:lang w:eastAsia="en-GB"/>
        </w:rPr>
        <w:t xml:space="preserve"> we use to identify positive deviants, our classification may slightly inflate rates of deviance due to the comparison standard. This can be easily resolved by shifting the baseline to the standard in country of birth, not of current residence. However, it may also provide greater insight into how immigration may be a major factor in addressing economic inequality within and between countries.</w:t>
      </w:r>
    </w:p>
    <w:p w14:paraId="21BA5698" w14:textId="77777777" w:rsidR="009054C0" w:rsidRDefault="009054C0">
      <w:pPr>
        <w:pBdr>
          <w:top w:val="nil"/>
          <w:left w:val="nil"/>
          <w:bottom w:val="nil"/>
          <w:right w:val="nil"/>
          <w:between w:val="nil"/>
        </w:pBdr>
        <w:ind w:firstLine="480"/>
      </w:pPr>
    </w:p>
    <w:p w14:paraId="0498CBF4" w14:textId="77777777" w:rsidR="009054C0" w:rsidRDefault="009054C0">
      <w:pPr>
        <w:pBdr>
          <w:top w:val="nil"/>
          <w:left w:val="nil"/>
          <w:bottom w:val="nil"/>
          <w:right w:val="nil"/>
          <w:between w:val="nil"/>
        </w:pBdr>
      </w:pPr>
    </w:p>
    <w:p w14:paraId="74D51519" w14:textId="77777777" w:rsidR="009054C0" w:rsidRDefault="009054C0"/>
    <w:p w14:paraId="2D974889" w14:textId="77777777" w:rsidR="009054C0" w:rsidRDefault="006F3A8E">
      <w:pPr>
        <w:jc w:val="both"/>
        <w:rPr>
          <w:b/>
        </w:rPr>
      </w:pPr>
      <w:r>
        <w:rPr>
          <w:b/>
        </w:rPr>
        <w:t xml:space="preserve">Definition of variables </w:t>
      </w:r>
    </w:p>
    <w:p w14:paraId="1FC66B57" w14:textId="77777777" w:rsidR="009054C0" w:rsidRDefault="006F3A8E">
      <w:pPr>
        <w:jc w:val="both"/>
      </w:pPr>
      <w:r>
        <w:rPr>
          <w:i/>
        </w:rPr>
        <w:t>Individual-level</w:t>
      </w:r>
      <w:r>
        <w:t xml:space="preserve"> variables</w:t>
      </w:r>
    </w:p>
    <w:p w14:paraId="1A10AB98" w14:textId="77777777" w:rsidR="009054C0" w:rsidRDefault="009054C0">
      <w:pPr>
        <w:jc w:val="both"/>
      </w:pPr>
    </w:p>
    <w:p w14:paraId="0C93A889" w14:textId="77777777" w:rsidR="009054C0" w:rsidRDefault="006F3A8E">
      <w:pPr>
        <w:jc w:val="both"/>
      </w:pPr>
      <w:proofErr w:type="spellStart"/>
      <w:r>
        <w:rPr>
          <w:b/>
        </w:rPr>
        <w:t>pdevB</w:t>
      </w:r>
      <w:proofErr w:type="spellEnd"/>
      <w:r>
        <w:rPr>
          <w:b/>
        </w:rPr>
        <w:t>:</w:t>
      </w:r>
      <w:r>
        <w:t xml:space="preserve"> Variable representing positive deviants based on behavior, defined through adult debt behavior and childhood income.</w:t>
      </w:r>
    </w:p>
    <w:p w14:paraId="17B539BB" w14:textId="77777777" w:rsidR="009054C0" w:rsidRDefault="009054C0">
      <w:pPr>
        <w:jc w:val="both"/>
      </w:pPr>
    </w:p>
    <w:p w14:paraId="1E7489FC" w14:textId="77777777" w:rsidR="009054C0" w:rsidRDefault="006F3A8E">
      <w:pPr>
        <w:jc w:val="both"/>
      </w:pPr>
      <w:r>
        <w:rPr>
          <w:b/>
        </w:rPr>
        <w:t>Residence:</w:t>
      </w:r>
      <w:r>
        <w:t xml:space="preserve"> Variable representing the country in that individual respondents are living.</w:t>
      </w:r>
    </w:p>
    <w:p w14:paraId="77DE5439" w14:textId="77777777" w:rsidR="009054C0" w:rsidRDefault="009054C0">
      <w:pPr>
        <w:jc w:val="both"/>
      </w:pPr>
    </w:p>
    <w:p w14:paraId="2751FA15" w14:textId="77777777" w:rsidR="009054C0" w:rsidRDefault="006F3A8E">
      <w:pPr>
        <w:jc w:val="both"/>
      </w:pPr>
      <w:r>
        <w:rPr>
          <w:b/>
        </w:rPr>
        <w:t xml:space="preserve">Optimism: </w:t>
      </w:r>
      <w:r>
        <w:t xml:space="preserve">A categorical variable of five levels representing an individual’s positive anticipation about their future finances. Categories follow, respectively, “Things will be much worse,” “Things will be somewhat worse,” “Things will be about the same,” “Things will be somewhat better,” and “Things will be much better.” </w:t>
      </w:r>
    </w:p>
    <w:p w14:paraId="0EF3B659" w14:textId="77777777" w:rsidR="009054C0" w:rsidRDefault="009054C0">
      <w:pPr>
        <w:jc w:val="both"/>
        <w:rPr>
          <w:b/>
        </w:rPr>
      </w:pPr>
    </w:p>
    <w:p w14:paraId="36A72915" w14:textId="77777777" w:rsidR="009054C0" w:rsidRDefault="006F3A8E">
      <w:pPr>
        <w:jc w:val="both"/>
      </w:pPr>
      <w:r>
        <w:rPr>
          <w:b/>
        </w:rPr>
        <w:t>Risk preference:</w:t>
      </w:r>
      <w:r>
        <w:t xml:space="preserve"> A categorical variable of five levels representing an individual’s tendency to choose an action with a higher variance in potential monetary outcomes relative to another action with a lower variance but equal expected value. Levels 0-4 respectively represent 100% (guaranteed), 75%, 67%, 50% and 25% chances of outcome. </w:t>
      </w:r>
    </w:p>
    <w:p w14:paraId="45DFDFAC" w14:textId="77777777" w:rsidR="009054C0" w:rsidRDefault="006F3A8E">
      <w:pPr>
        <w:numPr>
          <w:ilvl w:val="1"/>
          <w:numId w:val="2"/>
        </w:numPr>
        <w:jc w:val="both"/>
      </w:pPr>
      <w:r>
        <w:t>Level 0: guarantee chance of outcome</w:t>
      </w:r>
    </w:p>
    <w:p w14:paraId="3894A98B" w14:textId="77777777" w:rsidR="009054C0" w:rsidRDefault="006F3A8E">
      <w:pPr>
        <w:numPr>
          <w:ilvl w:val="1"/>
          <w:numId w:val="2"/>
        </w:numPr>
        <w:jc w:val="both"/>
      </w:pPr>
      <w:r>
        <w:t>Level 1: 75% chance of outcome</w:t>
      </w:r>
    </w:p>
    <w:p w14:paraId="3A390E17" w14:textId="77777777" w:rsidR="009054C0" w:rsidRDefault="006F3A8E">
      <w:pPr>
        <w:numPr>
          <w:ilvl w:val="1"/>
          <w:numId w:val="2"/>
        </w:numPr>
        <w:jc w:val="both"/>
      </w:pPr>
      <w:r>
        <w:t>Level 2: 67% chance of outcome</w:t>
      </w:r>
    </w:p>
    <w:p w14:paraId="39DE64F8" w14:textId="77777777" w:rsidR="009054C0" w:rsidRDefault="006F3A8E">
      <w:pPr>
        <w:numPr>
          <w:ilvl w:val="1"/>
          <w:numId w:val="2"/>
        </w:numPr>
        <w:jc w:val="both"/>
      </w:pPr>
      <w:r>
        <w:t>Level 3: 50% chance of outcome</w:t>
      </w:r>
    </w:p>
    <w:p w14:paraId="23D4450E" w14:textId="77777777" w:rsidR="009054C0" w:rsidRDefault="006F3A8E">
      <w:pPr>
        <w:numPr>
          <w:ilvl w:val="1"/>
          <w:numId w:val="2"/>
        </w:numPr>
        <w:jc w:val="both"/>
      </w:pPr>
      <w:r>
        <w:t>Level 4: 25% chance of outcome</w:t>
      </w:r>
    </w:p>
    <w:p w14:paraId="2169DE17" w14:textId="77777777" w:rsidR="009054C0" w:rsidRDefault="009054C0">
      <w:pPr>
        <w:jc w:val="both"/>
      </w:pPr>
    </w:p>
    <w:p w14:paraId="7579CE13" w14:textId="77777777" w:rsidR="009054C0" w:rsidRDefault="006F3A8E">
      <w:pPr>
        <w:jc w:val="both"/>
        <w:rPr>
          <w:highlight w:val="white"/>
        </w:rPr>
      </w:pPr>
      <w:r>
        <w:rPr>
          <w:b/>
          <w:highlight w:val="white"/>
        </w:rPr>
        <w:t>Country income:</w:t>
      </w:r>
      <w:r>
        <w:rPr>
          <w:highlight w:val="white"/>
        </w:rPr>
        <w:t xml:space="preserve"> A numeric value gathered from the World Bank coded to 3 categorical values: “Upper-middle,” “High-Income,” and “Lower-middle.”</w:t>
      </w:r>
    </w:p>
    <w:p w14:paraId="5CE3B82B" w14:textId="77777777" w:rsidR="009054C0" w:rsidRDefault="009054C0">
      <w:pPr>
        <w:jc w:val="both"/>
        <w:rPr>
          <w:highlight w:val="white"/>
        </w:rPr>
      </w:pPr>
    </w:p>
    <w:p w14:paraId="271D40D5" w14:textId="43A272DE" w:rsidR="009054C0" w:rsidRDefault="006F3A8E">
      <w:r>
        <w:rPr>
          <w:b/>
        </w:rPr>
        <w:t xml:space="preserve">GII (Gender Inequality Index): </w:t>
      </w:r>
      <w:r>
        <w:rPr>
          <w:highlight w:val="white"/>
        </w:rPr>
        <w:t xml:space="preserve">Variable representing the GII, which is composed of three dimensions to reflect gender inequality in a country based on reproductive health, </w:t>
      </w:r>
      <w:proofErr w:type="gramStart"/>
      <w:r>
        <w:rPr>
          <w:highlight w:val="white"/>
        </w:rPr>
        <w:t>empowerment</w:t>
      </w:r>
      <w:proofErr w:type="gramEnd"/>
      <w:r>
        <w:rPr>
          <w:highlight w:val="white"/>
        </w:rPr>
        <w:t xml:space="preserve"> and the labor market (lower GII means lower inequality). Retrieved from: </w:t>
      </w:r>
      <w:r w:rsidR="00712CC6">
        <w:t>(</w:t>
      </w:r>
      <w:r w:rsidR="00712CC6" w:rsidRPr="00712CC6">
        <w:rPr>
          <w:i/>
          <w:iCs/>
        </w:rPr>
        <w:t>30</w:t>
      </w:r>
      <w:r w:rsidR="00712CC6">
        <w:t>)</w:t>
      </w:r>
    </w:p>
    <w:p w14:paraId="284D04D8" w14:textId="77777777" w:rsidR="009054C0" w:rsidRDefault="009054C0">
      <w:pPr>
        <w:jc w:val="both"/>
      </w:pPr>
    </w:p>
    <w:p w14:paraId="2DBFA7AA" w14:textId="77777777" w:rsidR="009054C0" w:rsidRDefault="006F3A8E">
      <w:pPr>
        <w:jc w:val="both"/>
      </w:pPr>
      <w:proofErr w:type="spellStart"/>
      <w:r>
        <w:rPr>
          <w:b/>
        </w:rPr>
        <w:t>Disc_debt</w:t>
      </w:r>
      <w:proofErr w:type="spellEnd"/>
      <w:r>
        <w:rPr>
          <w:b/>
        </w:rPr>
        <w:t>:</w:t>
      </w:r>
      <w:r>
        <w:t xml:space="preserve"> a continuous variable representing discretionary spend in debt </w:t>
      </w:r>
      <w:proofErr w:type="gramStart"/>
      <w:r>
        <w:t>allocation</w:t>
      </w:r>
      <w:proofErr w:type="gramEnd"/>
    </w:p>
    <w:p w14:paraId="2C8FEC64" w14:textId="77777777" w:rsidR="009054C0" w:rsidRDefault="009054C0">
      <w:pPr>
        <w:jc w:val="both"/>
      </w:pPr>
    </w:p>
    <w:p w14:paraId="286C84AF" w14:textId="77777777" w:rsidR="009054C0" w:rsidRDefault="006F3A8E">
      <w:pPr>
        <w:jc w:val="both"/>
      </w:pPr>
      <w:proofErr w:type="spellStart"/>
      <w:r>
        <w:rPr>
          <w:b/>
        </w:rPr>
        <w:t>Disc_savings</w:t>
      </w:r>
      <w:proofErr w:type="spellEnd"/>
      <w:r>
        <w:rPr>
          <w:b/>
        </w:rPr>
        <w:t xml:space="preserve">: </w:t>
      </w:r>
      <w:r>
        <w:t xml:space="preserve">a continuous variable representing discretionary spend in savings </w:t>
      </w:r>
      <w:proofErr w:type="gramStart"/>
      <w:r>
        <w:t>allocation</w:t>
      </w:r>
      <w:proofErr w:type="gramEnd"/>
    </w:p>
    <w:p w14:paraId="662AE492" w14:textId="77777777" w:rsidR="009054C0" w:rsidRDefault="009054C0">
      <w:pPr>
        <w:jc w:val="both"/>
      </w:pPr>
    </w:p>
    <w:p w14:paraId="168F9B52" w14:textId="77777777" w:rsidR="009054C0" w:rsidRDefault="006F3A8E">
      <w:pPr>
        <w:jc w:val="both"/>
      </w:pPr>
      <w:proofErr w:type="spellStart"/>
      <w:r>
        <w:rPr>
          <w:b/>
        </w:rPr>
        <w:t>Disc_investment</w:t>
      </w:r>
      <w:proofErr w:type="spellEnd"/>
      <w:r>
        <w:rPr>
          <w:b/>
        </w:rPr>
        <w:t xml:space="preserve">: </w:t>
      </w:r>
      <w:r>
        <w:t xml:space="preserve">a continuous variable representing discretionary spend in investment </w:t>
      </w:r>
      <w:proofErr w:type="gramStart"/>
      <w:r>
        <w:t>allocation</w:t>
      </w:r>
      <w:proofErr w:type="gramEnd"/>
    </w:p>
    <w:p w14:paraId="1E4649F2" w14:textId="77777777" w:rsidR="009054C0" w:rsidRDefault="009054C0">
      <w:pPr>
        <w:jc w:val="both"/>
      </w:pPr>
    </w:p>
    <w:p w14:paraId="098F8263" w14:textId="77777777" w:rsidR="009054C0" w:rsidRDefault="006F3A8E">
      <w:pPr>
        <w:jc w:val="both"/>
      </w:pPr>
      <w:proofErr w:type="spellStart"/>
      <w:r>
        <w:rPr>
          <w:b/>
        </w:rPr>
        <w:lastRenderedPageBreak/>
        <w:t>Time_vs_money</w:t>
      </w:r>
      <w:proofErr w:type="spellEnd"/>
      <w:r>
        <w:rPr>
          <w:b/>
        </w:rPr>
        <w:t>/time-poverty:</w:t>
      </w:r>
      <w:r>
        <w:t xml:space="preserve"> a categorical variable of 2 levels representing time poverty (an individual’s preference to choose “rich time and poor money” or “poor time and rich money”).</w:t>
      </w:r>
    </w:p>
    <w:p w14:paraId="6189CFA7" w14:textId="77777777" w:rsidR="009054C0" w:rsidRDefault="009054C0">
      <w:pPr>
        <w:jc w:val="both"/>
      </w:pPr>
    </w:p>
    <w:p w14:paraId="7EF022A4" w14:textId="77777777" w:rsidR="009054C0" w:rsidRDefault="006F3A8E">
      <w:pPr>
        <w:jc w:val="both"/>
      </w:pPr>
      <w:proofErr w:type="spellStart"/>
      <w:r>
        <w:rPr>
          <w:b/>
        </w:rPr>
        <w:t>Interval_markup</w:t>
      </w:r>
      <w:proofErr w:type="spellEnd"/>
      <w:r>
        <w:rPr>
          <w:b/>
        </w:rPr>
        <w:t>/lump sum:</w:t>
      </w:r>
      <w:r>
        <w:t xml:space="preserve"> a categorical variable of 2 levels representing an individual’s preference for lump sum payment (either immediate or future) or interval payment.</w:t>
      </w:r>
    </w:p>
    <w:p w14:paraId="5D6DD9C6" w14:textId="77777777" w:rsidR="009054C0" w:rsidRDefault="009054C0">
      <w:pPr>
        <w:jc w:val="both"/>
        <w:rPr>
          <w:highlight w:val="white"/>
        </w:rPr>
      </w:pPr>
    </w:p>
    <w:p w14:paraId="5A4865DB" w14:textId="77777777" w:rsidR="009054C0" w:rsidRDefault="006F3A8E">
      <w:pPr>
        <w:rPr>
          <w:highlight w:val="white"/>
        </w:rPr>
      </w:pPr>
      <w:r>
        <w:rPr>
          <w:b/>
          <w:highlight w:val="white"/>
        </w:rPr>
        <w:t>Financial_2020:</w:t>
      </w:r>
      <w:r>
        <w:rPr>
          <w:highlight w:val="white"/>
        </w:rPr>
        <w:t xml:space="preserve"> a categorical variable representing an individual’s financial impacts after the 2020 pandemic. A category value of 0-5, respectively, were “My financial situation became much worse,” “My financial situation became somewhat worse,” “There were no major impacts on my financial situation,” “My financial situation became somewhat better,” and “My financial situation became much better.”</w:t>
      </w:r>
    </w:p>
    <w:p w14:paraId="2678761A" w14:textId="77777777" w:rsidR="009054C0" w:rsidRDefault="009054C0"/>
    <w:p w14:paraId="76577A5D" w14:textId="77777777" w:rsidR="009054C0" w:rsidRDefault="006F3A8E">
      <w:pPr>
        <w:rPr>
          <w:color w:val="000000"/>
        </w:rPr>
      </w:pPr>
      <w:r>
        <w:t>For a list of other variables, refer to Ruggeri et al., 2022 (10).</w:t>
      </w:r>
      <w:r>
        <w:br w:type="page"/>
      </w:r>
    </w:p>
    <w:p w14:paraId="14FE4776" w14:textId="77777777" w:rsidR="009054C0" w:rsidRDefault="006F3A8E">
      <w:pPr>
        <w:keepNext/>
        <w:spacing w:before="240" w:after="60"/>
      </w:pPr>
      <w:r>
        <w:rPr>
          <w:b/>
        </w:rPr>
        <w:lastRenderedPageBreak/>
        <w:t xml:space="preserve">Fig. S1. Individual Differences as Predictors of Positive Deviance Using </w:t>
      </w:r>
      <w:proofErr w:type="gramStart"/>
      <w:r>
        <w:rPr>
          <w:b/>
        </w:rPr>
        <w:t>A</w:t>
      </w:r>
      <w:proofErr w:type="gramEnd"/>
      <w:r>
        <w:rPr>
          <w:b/>
        </w:rPr>
        <w:t xml:space="preserve"> Logistic Regression </w:t>
      </w:r>
    </w:p>
    <w:p w14:paraId="7A082F23" w14:textId="77777777" w:rsidR="009054C0" w:rsidRDefault="006F3A8E">
      <w:pPr>
        <w:keepNext/>
        <w:pBdr>
          <w:top w:val="nil"/>
          <w:left w:val="nil"/>
          <w:bottom w:val="nil"/>
          <w:right w:val="nil"/>
          <w:between w:val="nil"/>
        </w:pBdr>
        <w:spacing w:before="240" w:after="60"/>
        <w:rPr>
          <w:b/>
        </w:rPr>
      </w:pPr>
      <w:r>
        <w:rPr>
          <w:noProof/>
        </w:rPr>
        <w:drawing>
          <wp:anchor distT="0" distB="0" distL="114300" distR="114300" simplePos="0" relativeHeight="251658240" behindDoc="0" locked="0" layoutInCell="1" hidden="0" allowOverlap="1" wp14:anchorId="289D83A7" wp14:editId="3DD0562A">
            <wp:simplePos x="0" y="0"/>
            <wp:positionH relativeFrom="column">
              <wp:posOffset>1</wp:posOffset>
            </wp:positionH>
            <wp:positionV relativeFrom="paragraph">
              <wp:posOffset>0</wp:posOffset>
            </wp:positionV>
            <wp:extent cx="5795158" cy="4245290"/>
            <wp:effectExtent l="0" t="0" r="0" b="0"/>
            <wp:wrapSquare wrapText="bothSides" distT="0" distB="0" distL="114300" distR="114300"/>
            <wp:docPr id="3" name="image2.png" descr="Chart, scatt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Chart, scatter chart&#10;&#10;Description automatically generated"/>
                    <pic:cNvPicPr preferRelativeResize="0"/>
                  </pic:nvPicPr>
                  <pic:blipFill>
                    <a:blip r:embed="rId12"/>
                    <a:srcRect/>
                    <a:stretch>
                      <a:fillRect/>
                    </a:stretch>
                  </pic:blipFill>
                  <pic:spPr>
                    <a:xfrm>
                      <a:off x="0" y="0"/>
                      <a:ext cx="5795158" cy="4245290"/>
                    </a:xfrm>
                    <a:prstGeom prst="rect">
                      <a:avLst/>
                    </a:prstGeom>
                    <a:ln/>
                  </pic:spPr>
                </pic:pic>
              </a:graphicData>
            </a:graphic>
          </wp:anchor>
        </w:drawing>
      </w:r>
    </w:p>
    <w:p w14:paraId="2705578A" w14:textId="77777777" w:rsidR="009054C0" w:rsidRDefault="009054C0">
      <w:pPr>
        <w:keepNext/>
        <w:pBdr>
          <w:top w:val="nil"/>
          <w:left w:val="nil"/>
          <w:bottom w:val="nil"/>
          <w:right w:val="nil"/>
          <w:between w:val="nil"/>
        </w:pBdr>
        <w:spacing w:before="240" w:after="60"/>
        <w:rPr>
          <w:b/>
        </w:rPr>
      </w:pPr>
    </w:p>
    <w:p w14:paraId="12FC0C7F" w14:textId="77777777" w:rsidR="009054C0" w:rsidRDefault="006F3A8E">
      <w:pPr>
        <w:keepNext/>
        <w:pBdr>
          <w:top w:val="nil"/>
          <w:left w:val="nil"/>
          <w:bottom w:val="nil"/>
          <w:right w:val="nil"/>
          <w:between w:val="nil"/>
        </w:pBdr>
        <w:spacing w:before="240" w:after="60"/>
        <w:rPr>
          <w:color w:val="000000"/>
        </w:rPr>
      </w:pPr>
      <w:r>
        <w:rPr>
          <w:color w:val="000000"/>
        </w:rPr>
        <w:br/>
      </w:r>
    </w:p>
    <w:p w14:paraId="6A7822ED" w14:textId="77777777" w:rsidR="009054C0" w:rsidRDefault="006F3A8E">
      <w:r>
        <w:br w:type="page"/>
      </w:r>
    </w:p>
    <w:p w14:paraId="1DE0C02E" w14:textId="77777777" w:rsidR="009054C0" w:rsidRDefault="006F3A8E">
      <w:pPr>
        <w:keepNext/>
        <w:pBdr>
          <w:top w:val="nil"/>
          <w:left w:val="nil"/>
          <w:bottom w:val="nil"/>
          <w:right w:val="nil"/>
          <w:between w:val="nil"/>
        </w:pBdr>
        <w:spacing w:before="240" w:after="60"/>
        <w:rPr>
          <w:b/>
          <w:color w:val="000000"/>
        </w:rPr>
      </w:pPr>
      <w:r>
        <w:rPr>
          <w:b/>
          <w:color w:val="000000"/>
        </w:rPr>
        <w:lastRenderedPageBreak/>
        <w:t>Fig. S2.</w:t>
      </w:r>
      <w:r>
        <w:rPr>
          <w:b/>
        </w:rPr>
        <w:t xml:space="preserve"> Behavioral Differences as Predictors of Positive Deviance Using </w:t>
      </w:r>
      <w:proofErr w:type="gramStart"/>
      <w:r>
        <w:rPr>
          <w:b/>
        </w:rPr>
        <w:t>A</w:t>
      </w:r>
      <w:proofErr w:type="gramEnd"/>
      <w:r>
        <w:rPr>
          <w:b/>
        </w:rPr>
        <w:t xml:space="preserve"> Logistic Regression </w:t>
      </w:r>
    </w:p>
    <w:p w14:paraId="523975A2" w14:textId="77777777" w:rsidR="009054C0" w:rsidRDefault="006F3A8E">
      <w:pPr>
        <w:keepNext/>
        <w:pBdr>
          <w:top w:val="nil"/>
          <w:left w:val="nil"/>
          <w:bottom w:val="nil"/>
          <w:right w:val="nil"/>
          <w:between w:val="nil"/>
        </w:pBdr>
        <w:spacing w:before="240" w:after="60"/>
        <w:rPr>
          <w:b/>
          <w:color w:val="000000"/>
        </w:rPr>
      </w:pPr>
      <w:r>
        <w:rPr>
          <w:b/>
          <w:noProof/>
        </w:rPr>
        <w:drawing>
          <wp:inline distT="114300" distB="114300" distL="114300" distR="114300" wp14:anchorId="7C866172" wp14:editId="4A554A99">
            <wp:extent cx="5943600" cy="491110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b="845"/>
                    <a:stretch>
                      <a:fillRect/>
                    </a:stretch>
                  </pic:blipFill>
                  <pic:spPr>
                    <a:xfrm>
                      <a:off x="0" y="0"/>
                      <a:ext cx="5943600" cy="4911105"/>
                    </a:xfrm>
                    <a:prstGeom prst="rect">
                      <a:avLst/>
                    </a:prstGeom>
                    <a:ln/>
                  </pic:spPr>
                </pic:pic>
              </a:graphicData>
            </a:graphic>
          </wp:inline>
        </w:drawing>
      </w:r>
    </w:p>
    <w:p w14:paraId="0162A84A" w14:textId="77777777" w:rsidR="009054C0" w:rsidRDefault="009054C0">
      <w:pPr>
        <w:keepNext/>
        <w:pBdr>
          <w:top w:val="nil"/>
          <w:left w:val="nil"/>
          <w:bottom w:val="nil"/>
          <w:right w:val="nil"/>
          <w:between w:val="nil"/>
        </w:pBdr>
        <w:spacing w:before="240" w:after="60"/>
        <w:rPr>
          <w:color w:val="000000"/>
        </w:rPr>
      </w:pPr>
    </w:p>
    <w:p w14:paraId="40DEC998" w14:textId="77777777" w:rsidR="009054C0" w:rsidRDefault="006F3A8E">
      <w:pPr>
        <w:keepNext/>
        <w:pBdr>
          <w:top w:val="nil"/>
          <w:left w:val="nil"/>
          <w:bottom w:val="nil"/>
          <w:right w:val="nil"/>
          <w:between w:val="nil"/>
        </w:pBdr>
        <w:spacing w:before="240" w:after="60"/>
        <w:rPr>
          <w:b/>
        </w:rPr>
      </w:pPr>
      <w:r>
        <w:br w:type="page"/>
      </w:r>
    </w:p>
    <w:p w14:paraId="3DE8943A" w14:textId="77777777" w:rsidR="009054C0" w:rsidRDefault="006F3A8E">
      <w:pPr>
        <w:keepNext/>
        <w:pBdr>
          <w:top w:val="nil"/>
          <w:left w:val="nil"/>
          <w:bottom w:val="nil"/>
          <w:right w:val="nil"/>
          <w:between w:val="nil"/>
        </w:pBdr>
        <w:spacing w:before="240" w:after="60"/>
        <w:rPr>
          <w:b/>
          <w:color w:val="000000"/>
        </w:rPr>
      </w:pPr>
      <w:r>
        <w:rPr>
          <w:b/>
          <w:color w:val="000000"/>
        </w:rPr>
        <w:lastRenderedPageBreak/>
        <w:t>Table S1.</w:t>
      </w:r>
      <w:r>
        <w:rPr>
          <w:b/>
        </w:rPr>
        <w:t xml:space="preserve"> Numerical Values of </w:t>
      </w:r>
      <w:r>
        <w:rPr>
          <w:b/>
          <w:i/>
        </w:rPr>
        <w:t>b</w:t>
      </w:r>
      <w:r>
        <w:rPr>
          <w:b/>
        </w:rPr>
        <w:t xml:space="preserve">-coefficients Using Individual Differences as Predictors in A Logistic Regression </w:t>
      </w:r>
    </w:p>
    <w:tbl>
      <w:tblPr>
        <w:tblStyle w:val="a"/>
        <w:tblW w:w="9195" w:type="dxa"/>
        <w:tblLayout w:type="fixed"/>
        <w:tblLook w:val="0400" w:firstRow="0" w:lastRow="0" w:firstColumn="0" w:lastColumn="0" w:noHBand="0" w:noVBand="1"/>
      </w:tblPr>
      <w:tblGrid>
        <w:gridCol w:w="3000"/>
        <w:gridCol w:w="3150"/>
        <w:gridCol w:w="3045"/>
      </w:tblGrid>
      <w:tr w:rsidR="009054C0" w14:paraId="46879F25" w14:textId="77777777">
        <w:trPr>
          <w:trHeight w:val="626"/>
        </w:trPr>
        <w:tc>
          <w:tcPr>
            <w:tcW w:w="3000" w:type="dxa"/>
            <w:tcBorders>
              <w:top w:val="single" w:sz="8" w:space="0" w:color="7F7F7F"/>
              <w:left w:val="single" w:sz="6" w:space="0" w:color="000000"/>
              <w:bottom w:val="single" w:sz="8" w:space="0" w:color="000000"/>
              <w:right w:val="single" w:sz="6" w:space="0" w:color="000000"/>
            </w:tcBorders>
            <w:tcMar>
              <w:top w:w="100" w:type="dxa"/>
              <w:left w:w="100" w:type="dxa"/>
              <w:bottom w:w="100" w:type="dxa"/>
              <w:right w:w="100" w:type="dxa"/>
            </w:tcMar>
          </w:tcPr>
          <w:p w14:paraId="1E8B495E" w14:textId="77777777" w:rsidR="009054C0" w:rsidRDefault="006F3A8E">
            <w:pPr>
              <w:keepNext/>
              <w:pBdr>
                <w:top w:val="nil"/>
                <w:left w:val="nil"/>
                <w:bottom w:val="nil"/>
                <w:right w:val="nil"/>
                <w:between w:val="nil"/>
              </w:pBdr>
              <w:rPr>
                <w:color w:val="000000"/>
              </w:rPr>
            </w:pPr>
            <w:r>
              <w:rPr>
                <w:color w:val="000000"/>
              </w:rPr>
              <w:t>predictor</w:t>
            </w:r>
          </w:p>
        </w:tc>
        <w:tc>
          <w:tcPr>
            <w:tcW w:w="3150" w:type="dxa"/>
            <w:tcBorders>
              <w:top w:val="single" w:sz="8" w:space="0" w:color="7F7F7F"/>
              <w:left w:val="single" w:sz="6" w:space="0" w:color="000000"/>
              <w:bottom w:val="single" w:sz="8" w:space="0" w:color="000000"/>
              <w:right w:val="single" w:sz="6" w:space="0" w:color="000000"/>
            </w:tcBorders>
            <w:tcMar>
              <w:top w:w="100" w:type="dxa"/>
              <w:left w:w="100" w:type="dxa"/>
              <w:bottom w:w="100" w:type="dxa"/>
              <w:right w:w="100" w:type="dxa"/>
            </w:tcMar>
          </w:tcPr>
          <w:p w14:paraId="608A5BE3" w14:textId="77777777" w:rsidR="009054C0" w:rsidRDefault="006F3A8E">
            <w:pPr>
              <w:keepNext/>
              <w:pBdr>
                <w:top w:val="nil"/>
                <w:left w:val="nil"/>
                <w:bottom w:val="nil"/>
                <w:right w:val="nil"/>
                <w:between w:val="nil"/>
              </w:pBdr>
              <w:rPr>
                <w:color w:val="000000"/>
              </w:rPr>
            </w:pPr>
            <w:r>
              <w:rPr>
                <w:i/>
                <w:color w:val="000000"/>
              </w:rPr>
              <w:t>b</w:t>
            </w:r>
            <w:r>
              <w:rPr>
                <w:color w:val="000000"/>
              </w:rPr>
              <w:t xml:space="preserve"> </w:t>
            </w:r>
            <w:r>
              <w:rPr>
                <w:color w:val="212529"/>
              </w:rPr>
              <w:t>greater financial well-being</w:t>
            </w:r>
            <w:r>
              <w:rPr>
                <w:color w:val="000000"/>
              </w:rPr>
              <w:t xml:space="preserve"> [95 % CI]</w:t>
            </w:r>
          </w:p>
        </w:tc>
        <w:tc>
          <w:tcPr>
            <w:tcW w:w="3045" w:type="dxa"/>
            <w:tcBorders>
              <w:top w:val="single" w:sz="8" w:space="0" w:color="7F7F7F"/>
              <w:left w:val="single" w:sz="6" w:space="0" w:color="000000"/>
              <w:bottom w:val="single" w:sz="8" w:space="0" w:color="000000"/>
              <w:right w:val="single" w:sz="6" w:space="0" w:color="000000"/>
            </w:tcBorders>
            <w:tcMar>
              <w:top w:w="100" w:type="dxa"/>
              <w:left w:w="100" w:type="dxa"/>
              <w:bottom w:w="100" w:type="dxa"/>
              <w:right w:w="100" w:type="dxa"/>
            </w:tcMar>
          </w:tcPr>
          <w:p w14:paraId="36F3EAE8" w14:textId="77777777" w:rsidR="009054C0" w:rsidRDefault="006F3A8E">
            <w:pPr>
              <w:keepNext/>
              <w:pBdr>
                <w:top w:val="nil"/>
                <w:left w:val="nil"/>
                <w:bottom w:val="nil"/>
                <w:right w:val="nil"/>
                <w:between w:val="nil"/>
              </w:pBdr>
              <w:rPr>
                <w:color w:val="000000"/>
              </w:rPr>
            </w:pPr>
            <w:r>
              <w:rPr>
                <w:i/>
                <w:color w:val="000000"/>
              </w:rPr>
              <w:t>b</w:t>
            </w:r>
            <w:r>
              <w:rPr>
                <w:color w:val="000000"/>
              </w:rPr>
              <w:t xml:space="preserve"> positive deviant [95 % CI]</w:t>
            </w:r>
          </w:p>
        </w:tc>
      </w:tr>
      <w:tr w:rsidR="009054C0" w14:paraId="6BAF9135" w14:textId="77777777">
        <w:trPr>
          <w:trHeight w:val="375"/>
        </w:trPr>
        <w:tc>
          <w:tcPr>
            <w:tcW w:w="3000"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F1389D" w14:textId="77777777" w:rsidR="009054C0" w:rsidRDefault="006F3A8E">
            <w:pPr>
              <w:keepNext/>
              <w:pBdr>
                <w:top w:val="nil"/>
                <w:left w:val="nil"/>
                <w:bottom w:val="nil"/>
                <w:right w:val="nil"/>
                <w:between w:val="nil"/>
              </w:pBdr>
              <w:rPr>
                <w:color w:val="000000"/>
              </w:rPr>
            </w:pPr>
            <w:r>
              <w:rPr>
                <w:color w:val="000000"/>
              </w:rPr>
              <w:t>Intercept</w:t>
            </w:r>
          </w:p>
        </w:tc>
        <w:tc>
          <w:tcPr>
            <w:tcW w:w="3150"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15C7A2" w14:textId="77777777" w:rsidR="009054C0" w:rsidRDefault="006F3A8E">
            <w:pPr>
              <w:keepNext/>
              <w:pBdr>
                <w:top w:val="nil"/>
                <w:left w:val="nil"/>
                <w:bottom w:val="nil"/>
                <w:right w:val="nil"/>
                <w:between w:val="nil"/>
              </w:pBdr>
              <w:rPr>
                <w:color w:val="000000"/>
              </w:rPr>
            </w:pPr>
            <w:r>
              <w:rPr>
                <w:color w:val="000000"/>
              </w:rPr>
              <w:t>0.215 [0.042; 0.473]</w:t>
            </w:r>
          </w:p>
        </w:tc>
        <w:tc>
          <w:tcPr>
            <w:tcW w:w="3045"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988191" w14:textId="77777777" w:rsidR="009054C0" w:rsidRDefault="006F3A8E">
            <w:pPr>
              <w:keepNext/>
              <w:pBdr>
                <w:top w:val="nil"/>
                <w:left w:val="nil"/>
                <w:bottom w:val="nil"/>
                <w:right w:val="nil"/>
                <w:between w:val="nil"/>
              </w:pBdr>
              <w:rPr>
                <w:color w:val="000000"/>
              </w:rPr>
            </w:pPr>
            <w:r>
              <w:rPr>
                <w:color w:val="000000"/>
              </w:rPr>
              <w:t>–0.703*** [–1.063, –0.344]</w:t>
            </w:r>
          </w:p>
        </w:tc>
      </w:tr>
      <w:tr w:rsidR="009054C0" w14:paraId="5C5EFED8" w14:textId="77777777">
        <w:trPr>
          <w:trHeight w:val="405"/>
        </w:trPr>
        <w:tc>
          <w:tcPr>
            <w:tcW w:w="3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629012" w14:textId="77777777" w:rsidR="009054C0" w:rsidRDefault="006F3A8E">
            <w:pPr>
              <w:keepNext/>
              <w:pBdr>
                <w:top w:val="nil"/>
                <w:left w:val="nil"/>
                <w:bottom w:val="nil"/>
                <w:right w:val="nil"/>
                <w:between w:val="nil"/>
              </w:pBdr>
              <w:rPr>
                <w:color w:val="000000"/>
              </w:rPr>
            </w:pPr>
            <w:r>
              <w:rPr>
                <w:color w:val="000000"/>
              </w:rPr>
              <w:t>Education</w:t>
            </w:r>
          </w:p>
        </w:tc>
        <w:tc>
          <w:tcPr>
            <w:tcW w:w="31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3DD914" w14:textId="77777777" w:rsidR="009054C0" w:rsidRDefault="006F3A8E">
            <w:pPr>
              <w:keepNext/>
              <w:pBdr>
                <w:top w:val="nil"/>
                <w:left w:val="nil"/>
                <w:bottom w:val="nil"/>
                <w:right w:val="nil"/>
                <w:between w:val="nil"/>
              </w:pBdr>
              <w:rPr>
                <w:color w:val="000000"/>
              </w:rPr>
            </w:pPr>
            <w:r>
              <w:rPr>
                <w:color w:val="000000"/>
              </w:rPr>
              <w:t>0.206*** [0.162; 0.252]</w:t>
            </w:r>
          </w:p>
        </w:tc>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BDCC9B" w14:textId="77777777" w:rsidR="009054C0" w:rsidRDefault="006F3A8E">
            <w:pPr>
              <w:keepNext/>
              <w:pBdr>
                <w:top w:val="nil"/>
                <w:left w:val="nil"/>
                <w:bottom w:val="nil"/>
                <w:right w:val="nil"/>
                <w:between w:val="nil"/>
              </w:pBdr>
              <w:rPr>
                <w:color w:val="000000"/>
              </w:rPr>
            </w:pPr>
            <w:r>
              <w:rPr>
                <w:color w:val="000000"/>
              </w:rPr>
              <w:t>0.096** [0.034; 0.158]</w:t>
            </w:r>
          </w:p>
        </w:tc>
      </w:tr>
      <w:tr w:rsidR="009054C0" w14:paraId="74C056EB" w14:textId="77777777">
        <w:trPr>
          <w:trHeight w:val="255"/>
        </w:trPr>
        <w:tc>
          <w:tcPr>
            <w:tcW w:w="3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638893" w14:textId="77777777" w:rsidR="009054C0" w:rsidRDefault="006F3A8E">
            <w:pPr>
              <w:keepNext/>
              <w:pBdr>
                <w:top w:val="nil"/>
                <w:left w:val="nil"/>
                <w:bottom w:val="nil"/>
                <w:right w:val="nil"/>
                <w:between w:val="nil"/>
              </w:pBdr>
              <w:rPr>
                <w:color w:val="000000"/>
              </w:rPr>
            </w:pPr>
            <w:proofErr w:type="spellStart"/>
            <w:r>
              <w:rPr>
                <w:color w:val="000000"/>
              </w:rPr>
              <w:t>GenderMale</w:t>
            </w:r>
            <w:proofErr w:type="spellEnd"/>
          </w:p>
        </w:tc>
        <w:tc>
          <w:tcPr>
            <w:tcW w:w="31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7B3CA7" w14:textId="77777777" w:rsidR="009054C0" w:rsidRDefault="006F3A8E">
            <w:pPr>
              <w:keepNext/>
              <w:pBdr>
                <w:top w:val="nil"/>
                <w:left w:val="nil"/>
                <w:bottom w:val="nil"/>
                <w:right w:val="nil"/>
                <w:between w:val="nil"/>
              </w:pBdr>
              <w:rPr>
                <w:color w:val="000000"/>
              </w:rPr>
            </w:pPr>
            <w:r>
              <w:rPr>
                <w:color w:val="000000"/>
              </w:rPr>
              <w:t>–0.127* [-0.226; -0.028]</w:t>
            </w:r>
          </w:p>
        </w:tc>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D2B6EB" w14:textId="77777777" w:rsidR="009054C0" w:rsidRDefault="006F3A8E">
            <w:pPr>
              <w:keepNext/>
              <w:pBdr>
                <w:top w:val="nil"/>
                <w:left w:val="nil"/>
                <w:bottom w:val="nil"/>
                <w:right w:val="nil"/>
                <w:between w:val="nil"/>
              </w:pBdr>
              <w:rPr>
                <w:color w:val="000000"/>
              </w:rPr>
            </w:pPr>
            <w:r>
              <w:rPr>
                <w:color w:val="000000"/>
              </w:rPr>
              <w:t>0.086 [-0.050; 0.222]</w:t>
            </w:r>
          </w:p>
        </w:tc>
      </w:tr>
      <w:tr w:rsidR="009054C0" w14:paraId="008A2F73" w14:textId="77777777">
        <w:trPr>
          <w:trHeight w:val="360"/>
        </w:trPr>
        <w:tc>
          <w:tcPr>
            <w:tcW w:w="3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D377D3" w14:textId="77777777" w:rsidR="009054C0" w:rsidRDefault="006F3A8E">
            <w:pPr>
              <w:keepNext/>
              <w:pBdr>
                <w:top w:val="nil"/>
                <w:left w:val="nil"/>
                <w:bottom w:val="nil"/>
                <w:right w:val="nil"/>
                <w:between w:val="nil"/>
              </w:pBdr>
              <w:rPr>
                <w:color w:val="000000"/>
              </w:rPr>
            </w:pPr>
            <w:r>
              <w:rPr>
                <w:color w:val="000000"/>
              </w:rPr>
              <w:t>Expectation</w:t>
            </w:r>
          </w:p>
        </w:tc>
        <w:tc>
          <w:tcPr>
            <w:tcW w:w="31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A89644" w14:textId="77777777" w:rsidR="009054C0" w:rsidRDefault="006F3A8E">
            <w:pPr>
              <w:keepNext/>
              <w:pBdr>
                <w:top w:val="nil"/>
                <w:left w:val="nil"/>
                <w:bottom w:val="nil"/>
                <w:right w:val="nil"/>
                <w:between w:val="nil"/>
              </w:pBdr>
              <w:rPr>
                <w:color w:val="000000"/>
              </w:rPr>
            </w:pPr>
            <w:r>
              <w:rPr>
                <w:color w:val="000000"/>
              </w:rPr>
              <w:t>0.171*** [0.124; 0.219]</w:t>
            </w:r>
          </w:p>
        </w:tc>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99ACE1" w14:textId="77777777" w:rsidR="009054C0" w:rsidRDefault="006F3A8E">
            <w:pPr>
              <w:keepNext/>
              <w:pBdr>
                <w:top w:val="nil"/>
                <w:left w:val="nil"/>
                <w:bottom w:val="nil"/>
                <w:right w:val="nil"/>
                <w:between w:val="nil"/>
              </w:pBdr>
              <w:rPr>
                <w:color w:val="000000"/>
              </w:rPr>
            </w:pPr>
            <w:r>
              <w:rPr>
                <w:color w:val="000000"/>
              </w:rPr>
              <w:t>0.150*** [0.083; 0.216]</w:t>
            </w:r>
          </w:p>
        </w:tc>
      </w:tr>
      <w:tr w:rsidR="009054C0" w14:paraId="32004FBB" w14:textId="77777777">
        <w:trPr>
          <w:trHeight w:val="330"/>
        </w:trPr>
        <w:tc>
          <w:tcPr>
            <w:tcW w:w="3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4AFE0E" w14:textId="77777777" w:rsidR="009054C0" w:rsidRDefault="006F3A8E">
            <w:pPr>
              <w:keepNext/>
              <w:pBdr>
                <w:top w:val="nil"/>
                <w:left w:val="nil"/>
                <w:bottom w:val="nil"/>
                <w:right w:val="nil"/>
                <w:between w:val="nil"/>
              </w:pBdr>
              <w:rPr>
                <w:color w:val="000000"/>
              </w:rPr>
            </w:pPr>
            <w:r>
              <w:rPr>
                <w:color w:val="000000"/>
              </w:rPr>
              <w:t>Risk preference</w:t>
            </w:r>
          </w:p>
        </w:tc>
        <w:tc>
          <w:tcPr>
            <w:tcW w:w="31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015087" w14:textId="77777777" w:rsidR="009054C0" w:rsidRDefault="006F3A8E">
            <w:pPr>
              <w:keepNext/>
              <w:pBdr>
                <w:top w:val="nil"/>
                <w:left w:val="nil"/>
                <w:bottom w:val="nil"/>
                <w:right w:val="nil"/>
                <w:between w:val="nil"/>
              </w:pBdr>
              <w:rPr>
                <w:color w:val="000000"/>
              </w:rPr>
            </w:pPr>
            <w:r>
              <w:rPr>
                <w:color w:val="000000"/>
              </w:rPr>
              <w:t>0.026 [-0.01; 0.063]</w:t>
            </w:r>
          </w:p>
        </w:tc>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7B3080" w14:textId="77777777" w:rsidR="009054C0" w:rsidRDefault="006F3A8E">
            <w:pPr>
              <w:keepNext/>
              <w:pBdr>
                <w:top w:val="nil"/>
                <w:left w:val="nil"/>
                <w:bottom w:val="nil"/>
                <w:right w:val="nil"/>
                <w:between w:val="nil"/>
              </w:pBdr>
              <w:rPr>
                <w:color w:val="000000"/>
              </w:rPr>
            </w:pPr>
            <w:r>
              <w:rPr>
                <w:color w:val="000000"/>
              </w:rPr>
              <w:t>–0.006 [–0.057; 0.044]</w:t>
            </w:r>
          </w:p>
        </w:tc>
      </w:tr>
      <w:tr w:rsidR="009054C0" w14:paraId="78F994E0" w14:textId="77777777">
        <w:trPr>
          <w:trHeight w:val="525"/>
        </w:trPr>
        <w:tc>
          <w:tcPr>
            <w:tcW w:w="3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FF795F" w14:textId="77777777" w:rsidR="009054C0" w:rsidRDefault="006F3A8E">
            <w:pPr>
              <w:keepNext/>
              <w:pBdr>
                <w:top w:val="nil"/>
                <w:left w:val="nil"/>
                <w:bottom w:val="nil"/>
                <w:right w:val="nil"/>
                <w:between w:val="nil"/>
              </w:pBdr>
              <w:rPr>
                <w:color w:val="000000"/>
              </w:rPr>
            </w:pPr>
            <w:r>
              <w:rPr>
                <w:color w:val="000000"/>
              </w:rPr>
              <w:t>Not in paid employment (looking)</w:t>
            </w:r>
          </w:p>
        </w:tc>
        <w:tc>
          <w:tcPr>
            <w:tcW w:w="31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E01371" w14:textId="77777777" w:rsidR="009054C0" w:rsidRDefault="006F3A8E">
            <w:pPr>
              <w:keepNext/>
              <w:pBdr>
                <w:top w:val="nil"/>
                <w:left w:val="nil"/>
                <w:bottom w:val="nil"/>
                <w:right w:val="nil"/>
                <w:between w:val="nil"/>
              </w:pBdr>
              <w:rPr>
                <w:color w:val="000000"/>
              </w:rPr>
            </w:pPr>
            <w:r>
              <w:rPr>
                <w:color w:val="000000"/>
              </w:rPr>
              <w:t>–0.729 [–0.932; –0.526]</w:t>
            </w:r>
          </w:p>
        </w:tc>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6BF66" w14:textId="77777777" w:rsidR="009054C0" w:rsidRDefault="006F3A8E">
            <w:pPr>
              <w:keepNext/>
              <w:pBdr>
                <w:top w:val="nil"/>
                <w:left w:val="nil"/>
                <w:bottom w:val="nil"/>
                <w:right w:val="nil"/>
                <w:between w:val="nil"/>
              </w:pBdr>
              <w:rPr>
                <w:color w:val="000000"/>
              </w:rPr>
            </w:pPr>
            <w:r>
              <w:rPr>
                <w:color w:val="000000"/>
              </w:rPr>
              <w:t>–0.892 [–1.222; –0.563]</w:t>
            </w:r>
          </w:p>
        </w:tc>
      </w:tr>
      <w:tr w:rsidR="009054C0" w14:paraId="0F44BD8D" w14:textId="77777777">
        <w:trPr>
          <w:trHeight w:val="375"/>
        </w:trPr>
        <w:tc>
          <w:tcPr>
            <w:tcW w:w="3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D15A13" w14:textId="77777777" w:rsidR="009054C0" w:rsidRDefault="006F3A8E">
            <w:pPr>
              <w:keepNext/>
              <w:pBdr>
                <w:top w:val="nil"/>
                <w:left w:val="nil"/>
                <w:bottom w:val="nil"/>
                <w:right w:val="nil"/>
                <w:between w:val="nil"/>
              </w:pBdr>
              <w:rPr>
                <w:color w:val="000000"/>
              </w:rPr>
            </w:pPr>
            <w:r>
              <w:rPr>
                <w:color w:val="000000"/>
              </w:rPr>
              <w:t>Not Employed (not looking)</w:t>
            </w:r>
          </w:p>
        </w:tc>
        <w:tc>
          <w:tcPr>
            <w:tcW w:w="31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7958C2" w14:textId="77777777" w:rsidR="009054C0" w:rsidRDefault="006F3A8E">
            <w:pPr>
              <w:keepNext/>
              <w:pBdr>
                <w:top w:val="nil"/>
                <w:left w:val="nil"/>
                <w:bottom w:val="nil"/>
                <w:right w:val="nil"/>
                <w:between w:val="nil"/>
              </w:pBdr>
              <w:rPr>
                <w:color w:val="000000"/>
              </w:rPr>
            </w:pPr>
            <w:r>
              <w:rPr>
                <w:color w:val="000000"/>
              </w:rPr>
              <w:t>–0.129*** [–0.310; 0.050]</w:t>
            </w:r>
          </w:p>
        </w:tc>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4EB363" w14:textId="77777777" w:rsidR="009054C0" w:rsidRDefault="006F3A8E">
            <w:pPr>
              <w:keepNext/>
              <w:pBdr>
                <w:top w:val="nil"/>
                <w:left w:val="nil"/>
                <w:bottom w:val="nil"/>
                <w:right w:val="nil"/>
                <w:between w:val="nil"/>
              </w:pBdr>
              <w:rPr>
                <w:color w:val="000000"/>
              </w:rPr>
            </w:pPr>
            <w:r>
              <w:rPr>
                <w:color w:val="000000"/>
              </w:rPr>
              <w:t>–0.250*** [–0.506; 0.005]</w:t>
            </w:r>
          </w:p>
        </w:tc>
      </w:tr>
      <w:tr w:rsidR="009054C0" w14:paraId="22462617" w14:textId="77777777">
        <w:trPr>
          <w:trHeight w:val="150"/>
        </w:trPr>
        <w:tc>
          <w:tcPr>
            <w:tcW w:w="3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2882DE" w14:textId="77777777" w:rsidR="009054C0" w:rsidRDefault="006F3A8E">
            <w:pPr>
              <w:keepNext/>
              <w:pBdr>
                <w:top w:val="nil"/>
                <w:left w:val="nil"/>
                <w:bottom w:val="nil"/>
                <w:right w:val="nil"/>
                <w:between w:val="nil"/>
              </w:pBdr>
              <w:rPr>
                <w:color w:val="000000"/>
              </w:rPr>
            </w:pPr>
            <w:r>
              <w:rPr>
                <w:color w:val="000000"/>
              </w:rPr>
              <w:t>Full-time student</w:t>
            </w:r>
          </w:p>
        </w:tc>
        <w:tc>
          <w:tcPr>
            <w:tcW w:w="31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3164C7" w14:textId="77777777" w:rsidR="009054C0" w:rsidRDefault="006F3A8E">
            <w:pPr>
              <w:keepNext/>
              <w:pBdr>
                <w:top w:val="nil"/>
                <w:left w:val="nil"/>
                <w:bottom w:val="nil"/>
                <w:right w:val="nil"/>
                <w:between w:val="nil"/>
              </w:pBdr>
              <w:rPr>
                <w:color w:val="000000"/>
              </w:rPr>
            </w:pPr>
            <w:r>
              <w:rPr>
                <w:color w:val="000000"/>
              </w:rPr>
              <w:t>0.055 [–0.084; 0.194]</w:t>
            </w:r>
          </w:p>
        </w:tc>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F3EFDF" w14:textId="77777777" w:rsidR="009054C0" w:rsidRDefault="006F3A8E">
            <w:pPr>
              <w:keepNext/>
              <w:pBdr>
                <w:top w:val="nil"/>
                <w:left w:val="nil"/>
                <w:bottom w:val="nil"/>
                <w:right w:val="nil"/>
                <w:between w:val="nil"/>
              </w:pBdr>
              <w:rPr>
                <w:color w:val="000000"/>
              </w:rPr>
            </w:pPr>
            <w:r>
              <w:rPr>
                <w:color w:val="000000"/>
              </w:rPr>
              <w:t>–0.757*** [–0.977; –0.537]</w:t>
            </w:r>
          </w:p>
        </w:tc>
      </w:tr>
      <w:tr w:rsidR="009054C0" w14:paraId="12C935A8" w14:textId="77777777">
        <w:trPr>
          <w:trHeight w:val="60"/>
        </w:trPr>
        <w:tc>
          <w:tcPr>
            <w:tcW w:w="3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2FFF4B" w14:textId="77777777" w:rsidR="009054C0" w:rsidRDefault="006F3A8E">
            <w:pPr>
              <w:keepNext/>
              <w:pBdr>
                <w:top w:val="nil"/>
                <w:left w:val="nil"/>
                <w:bottom w:val="nil"/>
                <w:right w:val="nil"/>
                <w:between w:val="nil"/>
              </w:pBdr>
              <w:rPr>
                <w:color w:val="000000"/>
              </w:rPr>
            </w:pPr>
            <w:r>
              <w:rPr>
                <w:color w:val="000000"/>
              </w:rPr>
              <w:t>GDP</w:t>
            </w:r>
          </w:p>
        </w:tc>
        <w:tc>
          <w:tcPr>
            <w:tcW w:w="31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61D043" w14:textId="77777777" w:rsidR="009054C0" w:rsidRDefault="006F3A8E">
            <w:pPr>
              <w:keepNext/>
              <w:pBdr>
                <w:top w:val="nil"/>
                <w:left w:val="nil"/>
                <w:bottom w:val="nil"/>
                <w:right w:val="nil"/>
                <w:between w:val="nil"/>
              </w:pBdr>
              <w:rPr>
                <w:color w:val="000000"/>
              </w:rPr>
            </w:pPr>
            <w:r>
              <w:rPr>
                <w:color w:val="000000"/>
              </w:rPr>
              <w:t>0.117*** [0.0626; 0.171]</w:t>
            </w:r>
          </w:p>
        </w:tc>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7F8976" w14:textId="77777777" w:rsidR="009054C0" w:rsidRDefault="006F3A8E">
            <w:pPr>
              <w:keepNext/>
              <w:pBdr>
                <w:top w:val="nil"/>
                <w:left w:val="nil"/>
                <w:bottom w:val="nil"/>
                <w:right w:val="nil"/>
                <w:between w:val="nil"/>
              </w:pBdr>
              <w:rPr>
                <w:color w:val="000000"/>
              </w:rPr>
            </w:pPr>
            <w:r>
              <w:rPr>
                <w:color w:val="000000"/>
              </w:rPr>
              <w:t>0.224*** [0.150; 0.298]</w:t>
            </w:r>
          </w:p>
        </w:tc>
      </w:tr>
      <w:tr w:rsidR="009054C0" w14:paraId="2E628519" w14:textId="77777777">
        <w:trPr>
          <w:trHeight w:val="360"/>
        </w:trPr>
        <w:tc>
          <w:tcPr>
            <w:tcW w:w="3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1C33F0" w14:textId="77777777" w:rsidR="009054C0" w:rsidRDefault="006F3A8E">
            <w:pPr>
              <w:keepNext/>
              <w:pBdr>
                <w:top w:val="nil"/>
                <w:left w:val="nil"/>
                <w:bottom w:val="nil"/>
                <w:right w:val="nil"/>
                <w:between w:val="nil"/>
              </w:pBdr>
              <w:rPr>
                <w:color w:val="000000"/>
              </w:rPr>
            </w:pPr>
            <w:r>
              <w:rPr>
                <w:color w:val="000000"/>
              </w:rPr>
              <w:t>GINI</w:t>
            </w:r>
          </w:p>
        </w:tc>
        <w:tc>
          <w:tcPr>
            <w:tcW w:w="31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016A15" w14:textId="77777777" w:rsidR="009054C0" w:rsidRDefault="006F3A8E">
            <w:pPr>
              <w:keepNext/>
              <w:pBdr>
                <w:top w:val="nil"/>
                <w:left w:val="nil"/>
                <w:bottom w:val="nil"/>
                <w:right w:val="nil"/>
                <w:between w:val="nil"/>
              </w:pBdr>
              <w:rPr>
                <w:color w:val="000000"/>
              </w:rPr>
            </w:pPr>
            <w:r>
              <w:rPr>
                <w:color w:val="000000"/>
              </w:rPr>
              <w:t>0.117*** [0.056; 0.179]</w:t>
            </w:r>
          </w:p>
        </w:tc>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4F970C" w14:textId="77777777" w:rsidR="009054C0" w:rsidRDefault="006F3A8E">
            <w:pPr>
              <w:keepNext/>
              <w:pBdr>
                <w:top w:val="nil"/>
                <w:left w:val="nil"/>
                <w:bottom w:val="nil"/>
                <w:right w:val="nil"/>
                <w:between w:val="nil"/>
              </w:pBdr>
              <w:rPr>
                <w:color w:val="000000"/>
              </w:rPr>
            </w:pPr>
            <w:r>
              <w:rPr>
                <w:color w:val="000000"/>
              </w:rPr>
              <w:t>0.305*** [0.226; 0.386]</w:t>
            </w:r>
          </w:p>
        </w:tc>
      </w:tr>
      <w:tr w:rsidR="009054C0" w14:paraId="01470D87" w14:textId="77777777">
        <w:tc>
          <w:tcPr>
            <w:tcW w:w="3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98CC7A" w14:textId="77777777" w:rsidR="009054C0" w:rsidRDefault="006F3A8E">
            <w:pPr>
              <w:keepNext/>
              <w:pBdr>
                <w:top w:val="nil"/>
                <w:left w:val="nil"/>
                <w:bottom w:val="nil"/>
                <w:right w:val="nil"/>
                <w:between w:val="nil"/>
              </w:pBdr>
              <w:rPr>
                <w:color w:val="000000"/>
              </w:rPr>
            </w:pPr>
            <w:r>
              <w:rPr>
                <w:color w:val="000000"/>
              </w:rPr>
              <w:t>GII</w:t>
            </w:r>
          </w:p>
        </w:tc>
        <w:tc>
          <w:tcPr>
            <w:tcW w:w="31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E9273B" w14:textId="77777777" w:rsidR="009054C0" w:rsidRDefault="006F3A8E">
            <w:pPr>
              <w:keepNext/>
              <w:pBdr>
                <w:top w:val="nil"/>
                <w:left w:val="nil"/>
                <w:bottom w:val="nil"/>
                <w:right w:val="nil"/>
                <w:between w:val="nil"/>
              </w:pBdr>
              <w:rPr>
                <w:color w:val="000000"/>
              </w:rPr>
            </w:pPr>
            <w:r>
              <w:rPr>
                <w:color w:val="000000"/>
              </w:rPr>
              <w:t>–0.335 [–0.749; 0.078]</w:t>
            </w:r>
          </w:p>
        </w:tc>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92E424" w14:textId="77777777" w:rsidR="009054C0" w:rsidRDefault="006F3A8E">
            <w:pPr>
              <w:keepNext/>
              <w:pBdr>
                <w:top w:val="nil"/>
                <w:left w:val="nil"/>
                <w:bottom w:val="nil"/>
                <w:right w:val="nil"/>
                <w:between w:val="nil"/>
              </w:pBdr>
              <w:rPr>
                <w:color w:val="000000"/>
              </w:rPr>
            </w:pPr>
            <w:r>
              <w:rPr>
                <w:color w:val="000000"/>
              </w:rPr>
              <w:t>–1.657*** [–2.272; –1.042]</w:t>
            </w:r>
          </w:p>
        </w:tc>
      </w:tr>
      <w:tr w:rsidR="009054C0" w14:paraId="4353F723" w14:textId="77777777">
        <w:trPr>
          <w:trHeight w:val="605"/>
        </w:trPr>
        <w:tc>
          <w:tcPr>
            <w:tcW w:w="3000" w:type="dxa"/>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tcPr>
          <w:p w14:paraId="1DDE9C5B" w14:textId="77777777" w:rsidR="009054C0" w:rsidRDefault="006F3A8E">
            <w:pPr>
              <w:keepNext/>
              <w:pBdr>
                <w:top w:val="nil"/>
                <w:left w:val="nil"/>
                <w:bottom w:val="nil"/>
                <w:right w:val="nil"/>
                <w:between w:val="nil"/>
              </w:pBdr>
              <w:rPr>
                <w:color w:val="000000"/>
              </w:rPr>
            </w:pPr>
            <w:r>
              <w:rPr>
                <w:color w:val="000000"/>
              </w:rPr>
              <w:t>inflation</w:t>
            </w:r>
          </w:p>
        </w:tc>
        <w:tc>
          <w:tcPr>
            <w:tcW w:w="3150" w:type="dxa"/>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tcPr>
          <w:p w14:paraId="00211E43" w14:textId="77777777" w:rsidR="009054C0" w:rsidRDefault="006F3A8E">
            <w:pPr>
              <w:keepNext/>
              <w:pBdr>
                <w:top w:val="nil"/>
                <w:left w:val="nil"/>
                <w:bottom w:val="nil"/>
                <w:right w:val="nil"/>
                <w:between w:val="nil"/>
              </w:pBdr>
              <w:rPr>
                <w:color w:val="000000"/>
              </w:rPr>
            </w:pPr>
            <w:r>
              <w:rPr>
                <w:color w:val="000000"/>
              </w:rPr>
              <w:t>0.150 [0.088; 0.211]</w:t>
            </w:r>
          </w:p>
        </w:tc>
        <w:tc>
          <w:tcPr>
            <w:tcW w:w="3045" w:type="dxa"/>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tcPr>
          <w:p w14:paraId="1192AF18" w14:textId="77777777" w:rsidR="009054C0" w:rsidRDefault="006F3A8E">
            <w:pPr>
              <w:keepNext/>
              <w:pBdr>
                <w:top w:val="nil"/>
                <w:left w:val="nil"/>
                <w:bottom w:val="nil"/>
                <w:right w:val="nil"/>
                <w:between w:val="nil"/>
              </w:pBdr>
              <w:rPr>
                <w:color w:val="000000"/>
              </w:rPr>
            </w:pPr>
            <w:r>
              <w:rPr>
                <w:color w:val="000000"/>
              </w:rPr>
              <w:t>0.085*** [–0.007; 0.178]</w:t>
            </w:r>
          </w:p>
        </w:tc>
      </w:tr>
    </w:tbl>
    <w:p w14:paraId="073CC7E3" w14:textId="77777777" w:rsidR="009054C0" w:rsidRDefault="006F3A8E">
      <w:pPr>
        <w:keepNext/>
        <w:pBdr>
          <w:top w:val="nil"/>
          <w:left w:val="nil"/>
          <w:bottom w:val="nil"/>
          <w:right w:val="nil"/>
          <w:between w:val="nil"/>
        </w:pBdr>
        <w:spacing w:before="240" w:after="60"/>
        <w:rPr>
          <w:color w:val="000000"/>
        </w:rPr>
      </w:pPr>
      <w:r>
        <w:rPr>
          <w:color w:val="000000"/>
        </w:rPr>
        <w:t xml:space="preserve">Coefficients of multinomial logistic regression predicting membership in groups with </w:t>
      </w:r>
      <w:r>
        <w:rPr>
          <w:color w:val="212529"/>
        </w:rPr>
        <w:t>greater financial well-being</w:t>
      </w:r>
      <w:r>
        <w:rPr>
          <w:color w:val="000000"/>
        </w:rPr>
        <w:t xml:space="preserve">, positive </w:t>
      </w:r>
      <w:proofErr w:type="gramStart"/>
      <w:r>
        <w:rPr>
          <w:color w:val="000000"/>
        </w:rPr>
        <w:t>deviant</w:t>
      </w:r>
      <w:proofErr w:type="gramEnd"/>
      <w:r>
        <w:rPr>
          <w:color w:val="000000"/>
        </w:rPr>
        <w:t xml:space="preserve"> and </w:t>
      </w:r>
      <w:r>
        <w:t>lower financial well-being</w:t>
      </w:r>
      <w:r>
        <w:rPr>
          <w:color w:val="000000"/>
        </w:rPr>
        <w:t>.</w:t>
      </w:r>
    </w:p>
    <w:p w14:paraId="41CD0C62" w14:textId="77777777" w:rsidR="009054C0" w:rsidRDefault="006F3A8E">
      <w:pPr>
        <w:keepNext/>
        <w:spacing w:before="240" w:after="60"/>
      </w:pPr>
      <w:r>
        <w:t xml:space="preserve">The value of 0 in the coding of categorical predictors indicates the reference value for interpreting the corresponding b values. The reference values for predictors were set as follows: for Gender Male (reference: female category); for Not </w:t>
      </w:r>
      <w:proofErr w:type="gramStart"/>
      <w:r>
        <w:t>In</w:t>
      </w:r>
      <w:proofErr w:type="gramEnd"/>
      <w:r>
        <w:t xml:space="preserve"> Paid Employment (looking), Not Employed (not looking), Full-time student (reference: Employment) and for the dependent variable the reference category was the lower financial well-being income group.</w:t>
      </w:r>
    </w:p>
    <w:p w14:paraId="7260D8ED" w14:textId="77777777" w:rsidR="009054C0" w:rsidRDefault="006F3A8E">
      <w:pPr>
        <w:keepNext/>
        <w:pBdr>
          <w:top w:val="nil"/>
          <w:left w:val="nil"/>
          <w:bottom w:val="nil"/>
          <w:right w:val="nil"/>
          <w:between w:val="nil"/>
        </w:pBdr>
        <w:spacing w:before="240" w:after="60"/>
        <w:rPr>
          <w:color w:val="000000"/>
        </w:rPr>
      </w:pPr>
      <w:r>
        <w:rPr>
          <w:color w:val="000000"/>
        </w:rPr>
        <w:t xml:space="preserve">We calculated Wald </w:t>
      </w:r>
      <w:r>
        <w:rPr>
          <w:i/>
          <w:color w:val="000000"/>
        </w:rPr>
        <w:t>Z</w:t>
      </w:r>
      <w:r>
        <w:rPr>
          <w:color w:val="000000"/>
        </w:rPr>
        <w:t>-scores (</w:t>
      </w:r>
      <w:r>
        <w:rPr>
          <w:i/>
          <w:color w:val="000000"/>
        </w:rPr>
        <w:t xml:space="preserve">b </w:t>
      </w:r>
      <w:r>
        <w:rPr>
          <w:color w:val="000000"/>
        </w:rPr>
        <w:t xml:space="preserve">/ </w:t>
      </w:r>
      <w:proofErr w:type="spellStart"/>
      <w:r>
        <w:rPr>
          <w:i/>
          <w:color w:val="000000"/>
        </w:rPr>
        <w:t>SE</w:t>
      </w:r>
      <w:r>
        <w:rPr>
          <w:i/>
          <w:color w:val="000000"/>
          <w:vertAlign w:val="subscript"/>
        </w:rPr>
        <w:t>b</w:t>
      </w:r>
      <w:proofErr w:type="spellEnd"/>
      <w:r>
        <w:rPr>
          <w:color w:val="000000"/>
        </w:rPr>
        <w:t xml:space="preserve">) and tested for statistical significance with a two tailed </w:t>
      </w:r>
      <w:r>
        <w:rPr>
          <w:i/>
          <w:color w:val="000000"/>
        </w:rPr>
        <w:t>z</w:t>
      </w:r>
      <w:r>
        <w:rPr>
          <w:color w:val="000000"/>
        </w:rPr>
        <w:t>-test.</w:t>
      </w:r>
    </w:p>
    <w:p w14:paraId="086EE753" w14:textId="77777777" w:rsidR="009054C0" w:rsidRDefault="006F3A8E">
      <w:pPr>
        <w:keepNext/>
        <w:pBdr>
          <w:top w:val="nil"/>
          <w:left w:val="nil"/>
          <w:bottom w:val="nil"/>
          <w:right w:val="nil"/>
          <w:between w:val="nil"/>
        </w:pBdr>
        <w:spacing w:before="240" w:after="60"/>
        <w:rPr>
          <w:color w:val="000000"/>
        </w:rPr>
      </w:pPr>
      <w:r>
        <w:rPr>
          <w:color w:val="000000"/>
        </w:rPr>
        <w:t>*</w:t>
      </w:r>
      <w:r>
        <w:rPr>
          <w:i/>
          <w:color w:val="000000"/>
        </w:rPr>
        <w:t>P</w:t>
      </w:r>
      <w:r>
        <w:rPr>
          <w:color w:val="000000"/>
        </w:rPr>
        <w:t xml:space="preserve"> &lt; 0.05; **</w:t>
      </w:r>
      <w:r>
        <w:rPr>
          <w:i/>
          <w:color w:val="000000"/>
        </w:rPr>
        <w:t>P</w:t>
      </w:r>
      <w:r>
        <w:rPr>
          <w:color w:val="000000"/>
        </w:rPr>
        <w:t xml:space="preserve"> &lt; 0.01; ***</w:t>
      </w:r>
      <w:r>
        <w:rPr>
          <w:i/>
          <w:color w:val="000000"/>
        </w:rPr>
        <w:t>P</w:t>
      </w:r>
      <w:r>
        <w:rPr>
          <w:color w:val="000000"/>
        </w:rPr>
        <w:t xml:space="preserve"> &lt; 0.001.</w:t>
      </w:r>
    </w:p>
    <w:p w14:paraId="21AD0BEF" w14:textId="77777777" w:rsidR="009054C0" w:rsidRDefault="006F3A8E">
      <w:pPr>
        <w:rPr>
          <w:b/>
        </w:rPr>
      </w:pPr>
      <w:r>
        <w:br w:type="page"/>
      </w:r>
    </w:p>
    <w:p w14:paraId="06AF8CD2" w14:textId="77777777" w:rsidR="009054C0" w:rsidRDefault="006F3A8E">
      <w:pPr>
        <w:keepNext/>
        <w:spacing w:before="240" w:after="60"/>
        <w:rPr>
          <w:b/>
        </w:rPr>
      </w:pPr>
      <w:r>
        <w:rPr>
          <w:b/>
        </w:rPr>
        <w:lastRenderedPageBreak/>
        <w:t xml:space="preserve">Table S2. Numerical Values of </w:t>
      </w:r>
      <w:r>
        <w:rPr>
          <w:b/>
          <w:i/>
        </w:rPr>
        <w:t>b</w:t>
      </w:r>
      <w:r>
        <w:rPr>
          <w:b/>
        </w:rPr>
        <w:t xml:space="preserve">-coefficients Using Behavioral Differences as Predictors in A Logistic Regression </w:t>
      </w:r>
    </w:p>
    <w:tbl>
      <w:tblPr>
        <w:tblStyle w:val="a0"/>
        <w:tblW w:w="9375" w:type="dxa"/>
        <w:tblLayout w:type="fixed"/>
        <w:tblLook w:val="0400" w:firstRow="0" w:lastRow="0" w:firstColumn="0" w:lastColumn="0" w:noHBand="0" w:noVBand="1"/>
      </w:tblPr>
      <w:tblGrid>
        <w:gridCol w:w="3075"/>
        <w:gridCol w:w="3300"/>
        <w:gridCol w:w="3000"/>
      </w:tblGrid>
      <w:tr w:rsidR="009054C0" w14:paraId="455D536C" w14:textId="77777777">
        <w:tc>
          <w:tcPr>
            <w:tcW w:w="3075" w:type="dxa"/>
            <w:tcBorders>
              <w:top w:val="single" w:sz="8" w:space="0" w:color="7F7F7F"/>
              <w:left w:val="single" w:sz="8" w:space="0" w:color="000000"/>
              <w:bottom w:val="single" w:sz="8" w:space="0" w:color="000000"/>
              <w:right w:val="single" w:sz="8" w:space="0" w:color="000000"/>
            </w:tcBorders>
            <w:tcMar>
              <w:top w:w="100" w:type="dxa"/>
              <w:left w:w="100" w:type="dxa"/>
              <w:bottom w:w="100" w:type="dxa"/>
              <w:right w:w="100" w:type="dxa"/>
            </w:tcMar>
          </w:tcPr>
          <w:p w14:paraId="17BA0239" w14:textId="77777777" w:rsidR="009054C0" w:rsidRDefault="006F3A8E">
            <w:pPr>
              <w:pBdr>
                <w:top w:val="nil"/>
                <w:left w:val="nil"/>
                <w:bottom w:val="nil"/>
                <w:right w:val="nil"/>
                <w:between w:val="nil"/>
              </w:pBdr>
              <w:rPr>
                <w:color w:val="000000"/>
              </w:rPr>
            </w:pPr>
            <w:r>
              <w:rPr>
                <w:color w:val="000000"/>
              </w:rPr>
              <w:t>predictor</w:t>
            </w:r>
          </w:p>
        </w:tc>
        <w:tc>
          <w:tcPr>
            <w:tcW w:w="3300" w:type="dxa"/>
            <w:tcBorders>
              <w:top w:val="single" w:sz="8" w:space="0" w:color="7F7F7F"/>
              <w:left w:val="single" w:sz="8" w:space="0" w:color="000000"/>
              <w:bottom w:val="single" w:sz="8" w:space="0" w:color="000000"/>
              <w:right w:val="single" w:sz="8" w:space="0" w:color="000000"/>
            </w:tcBorders>
            <w:tcMar>
              <w:top w:w="100" w:type="dxa"/>
              <w:left w:w="100" w:type="dxa"/>
              <w:bottom w:w="100" w:type="dxa"/>
              <w:right w:w="100" w:type="dxa"/>
            </w:tcMar>
          </w:tcPr>
          <w:p w14:paraId="55F40572" w14:textId="77777777" w:rsidR="009054C0" w:rsidRDefault="006F3A8E">
            <w:pPr>
              <w:pBdr>
                <w:top w:val="nil"/>
                <w:left w:val="nil"/>
                <w:bottom w:val="nil"/>
                <w:right w:val="nil"/>
                <w:between w:val="nil"/>
              </w:pBdr>
              <w:rPr>
                <w:color w:val="000000"/>
              </w:rPr>
            </w:pPr>
            <w:r>
              <w:rPr>
                <w:i/>
                <w:color w:val="000000"/>
              </w:rPr>
              <w:t>b</w:t>
            </w:r>
            <w:r>
              <w:rPr>
                <w:color w:val="000000"/>
              </w:rPr>
              <w:t xml:space="preserve"> </w:t>
            </w:r>
            <w:r>
              <w:rPr>
                <w:color w:val="212529"/>
              </w:rPr>
              <w:t>greater financial well-being</w:t>
            </w:r>
            <w:r>
              <w:rPr>
                <w:color w:val="000000"/>
              </w:rPr>
              <w:t xml:space="preserve"> [95 % CI]</w:t>
            </w:r>
          </w:p>
        </w:tc>
        <w:tc>
          <w:tcPr>
            <w:tcW w:w="3000" w:type="dxa"/>
            <w:tcBorders>
              <w:top w:val="single" w:sz="8" w:space="0" w:color="7F7F7F"/>
              <w:left w:val="single" w:sz="8" w:space="0" w:color="000000"/>
              <w:bottom w:val="single" w:sz="8" w:space="0" w:color="000000"/>
              <w:right w:val="single" w:sz="8" w:space="0" w:color="000000"/>
            </w:tcBorders>
            <w:tcMar>
              <w:top w:w="100" w:type="dxa"/>
              <w:left w:w="100" w:type="dxa"/>
              <w:bottom w:w="100" w:type="dxa"/>
              <w:right w:w="100" w:type="dxa"/>
            </w:tcMar>
          </w:tcPr>
          <w:p w14:paraId="0D81BDDC" w14:textId="77777777" w:rsidR="009054C0" w:rsidRDefault="006F3A8E">
            <w:pPr>
              <w:pBdr>
                <w:top w:val="nil"/>
                <w:left w:val="nil"/>
                <w:bottom w:val="nil"/>
                <w:right w:val="nil"/>
                <w:between w:val="nil"/>
              </w:pBdr>
              <w:rPr>
                <w:color w:val="000000"/>
              </w:rPr>
            </w:pPr>
            <w:r>
              <w:rPr>
                <w:i/>
                <w:color w:val="000000"/>
              </w:rPr>
              <w:t>b</w:t>
            </w:r>
            <w:r>
              <w:rPr>
                <w:color w:val="000000"/>
              </w:rPr>
              <w:t xml:space="preserve"> positive deviant [95 % CI]</w:t>
            </w:r>
          </w:p>
        </w:tc>
      </w:tr>
      <w:tr w:rsidR="009054C0" w14:paraId="4810502D" w14:textId="77777777">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64069" w14:textId="77777777" w:rsidR="009054C0" w:rsidRDefault="006F3A8E">
            <w:pPr>
              <w:pBdr>
                <w:top w:val="nil"/>
                <w:left w:val="nil"/>
                <w:bottom w:val="nil"/>
                <w:right w:val="nil"/>
                <w:between w:val="nil"/>
              </w:pBdr>
              <w:rPr>
                <w:color w:val="000000"/>
              </w:rPr>
            </w:pPr>
            <w:r>
              <w:rPr>
                <w:color w:val="000000"/>
              </w:rPr>
              <w:t>Risk preference</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1BE62" w14:textId="77777777" w:rsidR="009054C0" w:rsidRDefault="006F3A8E">
            <w:pPr>
              <w:pBdr>
                <w:top w:val="nil"/>
                <w:left w:val="nil"/>
                <w:bottom w:val="nil"/>
                <w:right w:val="nil"/>
                <w:between w:val="nil"/>
              </w:pBdr>
              <w:rPr>
                <w:color w:val="000000"/>
              </w:rPr>
            </w:pPr>
            <w:r>
              <w:rPr>
                <w:color w:val="000000"/>
              </w:rPr>
              <w:t>-0.0439* [-0.006563, 0.0698]</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17EF5" w14:textId="77777777" w:rsidR="009054C0" w:rsidRDefault="006F3A8E">
            <w:pPr>
              <w:pBdr>
                <w:top w:val="nil"/>
                <w:left w:val="nil"/>
                <w:bottom w:val="nil"/>
                <w:right w:val="nil"/>
                <w:between w:val="nil"/>
              </w:pBdr>
              <w:rPr>
                <w:color w:val="000000"/>
              </w:rPr>
            </w:pPr>
            <w:r>
              <w:rPr>
                <w:color w:val="000000"/>
              </w:rPr>
              <w:t>-0.0161 [-0.00251, 0.0981]</w:t>
            </w:r>
          </w:p>
        </w:tc>
      </w:tr>
      <w:tr w:rsidR="009054C0" w14:paraId="41B13D34" w14:textId="77777777">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099A7" w14:textId="77777777" w:rsidR="009054C0" w:rsidRDefault="006F3A8E">
            <w:pPr>
              <w:pBdr>
                <w:top w:val="nil"/>
                <w:left w:val="nil"/>
                <w:bottom w:val="nil"/>
                <w:right w:val="nil"/>
                <w:between w:val="nil"/>
              </w:pBdr>
              <w:rPr>
                <w:color w:val="000000"/>
              </w:rPr>
            </w:pPr>
            <w:r>
              <w:rPr>
                <w:color w:val="000000"/>
              </w:rPr>
              <w:t>Time poverty (poor time, rich money)</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36433" w14:textId="77777777" w:rsidR="009054C0" w:rsidRDefault="006F3A8E">
            <w:pPr>
              <w:pBdr>
                <w:top w:val="nil"/>
                <w:left w:val="nil"/>
                <w:bottom w:val="nil"/>
                <w:right w:val="nil"/>
                <w:between w:val="nil"/>
              </w:pBdr>
              <w:rPr>
                <w:color w:val="000000"/>
              </w:rPr>
            </w:pPr>
            <w:r>
              <w:rPr>
                <w:color w:val="000000"/>
              </w:rPr>
              <w:t>0.193 *** [0.128739, 0.3326]</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7CBC7" w14:textId="77777777" w:rsidR="009054C0" w:rsidRDefault="006F3A8E">
            <w:pPr>
              <w:pBdr>
                <w:top w:val="nil"/>
                <w:left w:val="nil"/>
                <w:bottom w:val="nil"/>
                <w:right w:val="nil"/>
                <w:between w:val="nil"/>
              </w:pBdr>
              <w:rPr>
                <w:color w:val="000000"/>
              </w:rPr>
            </w:pPr>
            <w:r>
              <w:rPr>
                <w:color w:val="000000"/>
              </w:rPr>
              <w:t>0.330*** [0.22151, 0.4938]</w:t>
            </w:r>
          </w:p>
        </w:tc>
      </w:tr>
      <w:tr w:rsidR="009054C0" w14:paraId="6A63BE55" w14:textId="77777777">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5B84D" w14:textId="77777777" w:rsidR="009054C0" w:rsidRDefault="006F3A8E">
            <w:pPr>
              <w:pBdr>
                <w:top w:val="nil"/>
                <w:left w:val="nil"/>
                <w:bottom w:val="nil"/>
                <w:right w:val="nil"/>
                <w:between w:val="nil"/>
              </w:pBdr>
              <w:rPr>
                <w:color w:val="000000"/>
              </w:rPr>
            </w:pPr>
            <w:r>
              <w:rPr>
                <w:color w:val="000000"/>
              </w:rPr>
              <w:t>Lump sum (payment)</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C3597" w14:textId="77777777" w:rsidR="009054C0" w:rsidRDefault="006F3A8E">
            <w:pPr>
              <w:pBdr>
                <w:top w:val="nil"/>
                <w:left w:val="nil"/>
                <w:bottom w:val="nil"/>
                <w:right w:val="nil"/>
                <w:between w:val="nil"/>
              </w:pBdr>
              <w:rPr>
                <w:color w:val="000000"/>
              </w:rPr>
            </w:pPr>
            <w:r>
              <w:rPr>
                <w:color w:val="000000"/>
              </w:rPr>
              <w:t>-0.126* [0.150757, 0.3718]</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0D6F8" w14:textId="77777777" w:rsidR="009054C0" w:rsidRDefault="006F3A8E">
            <w:pPr>
              <w:pBdr>
                <w:top w:val="nil"/>
                <w:left w:val="nil"/>
                <w:bottom w:val="nil"/>
                <w:right w:val="nil"/>
                <w:between w:val="nil"/>
              </w:pBdr>
              <w:rPr>
                <w:color w:val="000000"/>
              </w:rPr>
            </w:pPr>
            <w:r>
              <w:rPr>
                <w:color w:val="000000"/>
              </w:rPr>
              <w:t>-0.242** [-0.07632, 0.2183]</w:t>
            </w:r>
          </w:p>
        </w:tc>
      </w:tr>
      <w:tr w:rsidR="009054C0" w14:paraId="7E046A1B" w14:textId="77777777">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9C5B5" w14:textId="77777777" w:rsidR="009054C0" w:rsidRDefault="006F3A8E">
            <w:pPr>
              <w:pBdr>
                <w:top w:val="nil"/>
                <w:left w:val="nil"/>
                <w:bottom w:val="nil"/>
                <w:right w:val="nil"/>
                <w:between w:val="nil"/>
              </w:pBdr>
              <w:rPr>
                <w:color w:val="000000"/>
              </w:rPr>
            </w:pPr>
            <w:r>
              <w:rPr>
                <w:color w:val="000000"/>
              </w:rPr>
              <w:t>Debt allocation</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269C7" w14:textId="77777777" w:rsidR="009054C0" w:rsidRDefault="006F3A8E">
            <w:pPr>
              <w:pBdr>
                <w:top w:val="nil"/>
                <w:left w:val="nil"/>
                <w:bottom w:val="nil"/>
                <w:right w:val="nil"/>
                <w:between w:val="nil"/>
              </w:pBdr>
              <w:rPr>
                <w:color w:val="000000"/>
              </w:rPr>
            </w:pPr>
            <w:r>
              <w:rPr>
                <w:color w:val="000000"/>
              </w:rPr>
              <w:t>-0.0139 [-0.054839, 0.0463]</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0B389" w14:textId="77777777" w:rsidR="009054C0" w:rsidRDefault="006F3A8E">
            <w:pPr>
              <w:pBdr>
                <w:top w:val="nil"/>
                <w:left w:val="nil"/>
                <w:bottom w:val="nil"/>
                <w:right w:val="nil"/>
                <w:between w:val="nil"/>
              </w:pBdr>
              <w:rPr>
                <w:color w:val="000000"/>
              </w:rPr>
            </w:pPr>
            <w:r>
              <w:rPr>
                <w:color w:val="000000"/>
              </w:rPr>
              <w:t>-0.0163 [-0.07578, 0.0593]</w:t>
            </w:r>
          </w:p>
        </w:tc>
      </w:tr>
      <w:tr w:rsidR="009054C0" w14:paraId="2AA22138" w14:textId="77777777">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777C3" w14:textId="77777777" w:rsidR="009054C0" w:rsidRDefault="006F3A8E">
            <w:pPr>
              <w:pBdr>
                <w:top w:val="nil"/>
                <w:left w:val="nil"/>
                <w:bottom w:val="nil"/>
                <w:right w:val="nil"/>
                <w:between w:val="nil"/>
              </w:pBdr>
              <w:rPr>
                <w:color w:val="000000"/>
              </w:rPr>
            </w:pPr>
            <w:r>
              <w:rPr>
                <w:color w:val="000000"/>
              </w:rPr>
              <w:t>Investment ratio</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A2152" w14:textId="77777777" w:rsidR="009054C0" w:rsidRDefault="006F3A8E">
            <w:pPr>
              <w:pBdr>
                <w:top w:val="nil"/>
                <w:left w:val="nil"/>
                <w:bottom w:val="nil"/>
                <w:right w:val="nil"/>
                <w:between w:val="nil"/>
              </w:pBdr>
              <w:rPr>
                <w:color w:val="000000"/>
              </w:rPr>
            </w:pPr>
            <w:r>
              <w:rPr>
                <w:color w:val="000000"/>
              </w:rPr>
              <w:t>-0.000248 [0.000715, 0.0241]</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D2A73" w14:textId="77777777" w:rsidR="009054C0" w:rsidRDefault="006F3A8E">
            <w:pPr>
              <w:pBdr>
                <w:top w:val="nil"/>
                <w:left w:val="nil"/>
                <w:bottom w:val="nil"/>
                <w:right w:val="nil"/>
                <w:between w:val="nil"/>
              </w:pBdr>
              <w:rPr>
                <w:color w:val="000000"/>
              </w:rPr>
            </w:pPr>
            <w:r>
              <w:rPr>
                <w:color w:val="000000"/>
              </w:rPr>
              <w:t>-0.010874 [-0.01534, 0.0138]</w:t>
            </w:r>
          </w:p>
        </w:tc>
      </w:tr>
      <w:tr w:rsidR="009054C0" w14:paraId="06BBA2CE" w14:textId="77777777">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137F6" w14:textId="77777777" w:rsidR="009054C0" w:rsidRDefault="006F3A8E">
            <w:pPr>
              <w:pBdr>
                <w:top w:val="nil"/>
                <w:left w:val="nil"/>
                <w:bottom w:val="nil"/>
                <w:right w:val="nil"/>
                <w:between w:val="nil"/>
              </w:pBdr>
              <w:rPr>
                <w:color w:val="000000"/>
              </w:rPr>
            </w:pPr>
            <w:r>
              <w:rPr>
                <w:color w:val="000000"/>
              </w:rPr>
              <w:t>GDP</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CB14E" w14:textId="77777777" w:rsidR="009054C0" w:rsidRDefault="006F3A8E">
            <w:pPr>
              <w:pBdr>
                <w:top w:val="nil"/>
                <w:left w:val="nil"/>
                <w:bottom w:val="nil"/>
                <w:right w:val="nil"/>
                <w:between w:val="nil"/>
              </w:pBdr>
              <w:rPr>
                <w:color w:val="000000"/>
              </w:rPr>
            </w:pPr>
            <w:r>
              <w:rPr>
                <w:color w:val="000000"/>
              </w:rPr>
              <w:t>0.619*** [-0.013776, 0.0976]</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AEE7A" w14:textId="77777777" w:rsidR="009054C0" w:rsidRDefault="006F3A8E">
            <w:pPr>
              <w:pBdr>
                <w:top w:val="nil"/>
                <w:left w:val="nil"/>
                <w:bottom w:val="nil"/>
                <w:right w:val="nil"/>
                <w:between w:val="nil"/>
              </w:pBdr>
              <w:rPr>
                <w:color w:val="000000"/>
              </w:rPr>
            </w:pPr>
            <w:r>
              <w:rPr>
                <w:color w:val="000000"/>
              </w:rPr>
              <w:t>0.781*** [0.24143, 0.3919]</w:t>
            </w:r>
          </w:p>
        </w:tc>
      </w:tr>
      <w:tr w:rsidR="009054C0" w14:paraId="388B7D92" w14:textId="77777777">
        <w:trPr>
          <w:trHeight w:val="448"/>
        </w:trPr>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15C33" w14:textId="77777777" w:rsidR="009054C0" w:rsidRDefault="006F3A8E">
            <w:pPr>
              <w:pBdr>
                <w:top w:val="nil"/>
                <w:left w:val="nil"/>
                <w:bottom w:val="nil"/>
                <w:right w:val="nil"/>
                <w:between w:val="nil"/>
              </w:pBdr>
              <w:rPr>
                <w:color w:val="000000"/>
              </w:rPr>
            </w:pPr>
            <w:r>
              <w:rPr>
                <w:color w:val="000000"/>
              </w:rPr>
              <w:t>GINI</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B068B" w14:textId="77777777" w:rsidR="009054C0" w:rsidRDefault="006F3A8E">
            <w:pPr>
              <w:pBdr>
                <w:top w:val="nil"/>
                <w:left w:val="nil"/>
                <w:bottom w:val="nil"/>
                <w:right w:val="nil"/>
                <w:between w:val="nil"/>
              </w:pBdr>
              <w:rPr>
                <w:color w:val="000000"/>
              </w:rPr>
            </w:pPr>
            <w:r>
              <w:rPr>
                <w:color w:val="000000"/>
              </w:rPr>
              <w:t>-0.911*** [-1.036811, -0.8864]</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6B932" w14:textId="77777777" w:rsidR="009054C0" w:rsidRDefault="006F3A8E">
            <w:pPr>
              <w:pBdr>
                <w:top w:val="nil"/>
                <w:left w:val="nil"/>
                <w:bottom w:val="nil"/>
                <w:right w:val="nil"/>
                <w:between w:val="nil"/>
              </w:pBdr>
              <w:rPr>
                <w:color w:val="000000"/>
              </w:rPr>
            </w:pPr>
            <w:r>
              <w:rPr>
                <w:color w:val="000000"/>
              </w:rPr>
              <w:t>-0.756*** [-0.91701, -0.7335]</w:t>
            </w:r>
          </w:p>
        </w:tc>
      </w:tr>
      <w:tr w:rsidR="009054C0" w14:paraId="53308580" w14:textId="77777777">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D0BAD" w14:textId="77777777" w:rsidR="009054C0" w:rsidRDefault="006F3A8E">
            <w:pPr>
              <w:pBdr>
                <w:top w:val="nil"/>
                <w:left w:val="nil"/>
                <w:bottom w:val="nil"/>
                <w:right w:val="nil"/>
                <w:between w:val="nil"/>
              </w:pBdr>
              <w:rPr>
                <w:color w:val="000000"/>
              </w:rPr>
            </w:pPr>
            <w:r>
              <w:rPr>
                <w:color w:val="000000"/>
              </w:rPr>
              <w:t>GII</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5CA2F" w14:textId="77777777" w:rsidR="009054C0" w:rsidRDefault="006F3A8E">
            <w:pPr>
              <w:pBdr>
                <w:top w:val="nil"/>
                <w:left w:val="nil"/>
                <w:bottom w:val="nil"/>
                <w:right w:val="nil"/>
                <w:between w:val="nil"/>
              </w:pBdr>
              <w:rPr>
                <w:color w:val="000000"/>
              </w:rPr>
            </w:pPr>
            <w:r>
              <w:rPr>
                <w:color w:val="000000"/>
              </w:rPr>
              <w:t>9.33*** [8.970336, 10.5766]</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A3ADA" w14:textId="77777777" w:rsidR="009054C0" w:rsidRDefault="006F3A8E">
            <w:pPr>
              <w:pBdr>
                <w:top w:val="nil"/>
                <w:left w:val="nil"/>
                <w:bottom w:val="nil"/>
                <w:right w:val="nil"/>
                <w:between w:val="nil"/>
              </w:pBdr>
              <w:rPr>
                <w:color w:val="000000"/>
              </w:rPr>
            </w:pPr>
            <w:r>
              <w:rPr>
                <w:color w:val="000000"/>
              </w:rPr>
              <w:t>9.41*** [9.09852, 10.9163]</w:t>
            </w:r>
          </w:p>
        </w:tc>
      </w:tr>
      <w:tr w:rsidR="009054C0" w14:paraId="465F5FB3" w14:textId="77777777">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E6435" w14:textId="77777777" w:rsidR="009054C0" w:rsidRDefault="006F3A8E">
            <w:pPr>
              <w:pBdr>
                <w:top w:val="nil"/>
                <w:left w:val="nil"/>
                <w:bottom w:val="nil"/>
                <w:right w:val="nil"/>
                <w:between w:val="nil"/>
              </w:pBdr>
              <w:rPr>
                <w:color w:val="000000"/>
              </w:rPr>
            </w:pPr>
            <w:r>
              <w:rPr>
                <w:color w:val="000000"/>
              </w:rPr>
              <w:t>inflation</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6FD87" w14:textId="77777777" w:rsidR="009054C0" w:rsidRDefault="006F3A8E">
            <w:pPr>
              <w:pBdr>
                <w:top w:val="nil"/>
                <w:left w:val="nil"/>
                <w:bottom w:val="nil"/>
                <w:right w:val="nil"/>
                <w:between w:val="nil"/>
              </w:pBdr>
              <w:rPr>
                <w:color w:val="000000"/>
              </w:rPr>
            </w:pPr>
            <w:r>
              <w:rPr>
                <w:color w:val="000000"/>
              </w:rPr>
              <w:t>0.147** [-0.578194, -0.4691]</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8E754" w14:textId="77777777" w:rsidR="009054C0" w:rsidRDefault="006F3A8E">
            <w:pPr>
              <w:pBdr>
                <w:top w:val="nil"/>
                <w:left w:val="nil"/>
                <w:bottom w:val="nil"/>
                <w:right w:val="nil"/>
                <w:between w:val="nil"/>
              </w:pBdr>
              <w:rPr>
                <w:color w:val="000000"/>
              </w:rPr>
            </w:pPr>
            <w:r>
              <w:rPr>
                <w:color w:val="000000"/>
              </w:rPr>
              <w:t>-0.280*** [-0.97443, -0.7258]</w:t>
            </w:r>
          </w:p>
        </w:tc>
      </w:tr>
    </w:tbl>
    <w:p w14:paraId="53E73C3B" w14:textId="77777777" w:rsidR="009054C0" w:rsidRDefault="009054C0">
      <w:pPr>
        <w:pBdr>
          <w:top w:val="nil"/>
          <w:left w:val="nil"/>
          <w:bottom w:val="nil"/>
          <w:right w:val="nil"/>
          <w:between w:val="nil"/>
        </w:pBdr>
        <w:rPr>
          <w:b/>
        </w:rPr>
      </w:pPr>
    </w:p>
    <w:p w14:paraId="68FE73FB" w14:textId="77777777" w:rsidR="009054C0" w:rsidRDefault="006F3A8E">
      <w:pPr>
        <w:pBdr>
          <w:top w:val="nil"/>
          <w:left w:val="nil"/>
          <w:bottom w:val="nil"/>
          <w:right w:val="nil"/>
          <w:between w:val="nil"/>
        </w:pBdr>
      </w:pPr>
      <w:r>
        <w:t xml:space="preserve">Coefficients of multinomial logistic regression predicting membership in groups with </w:t>
      </w:r>
      <w:r>
        <w:rPr>
          <w:color w:val="212529"/>
        </w:rPr>
        <w:t>greater financial well-being</w:t>
      </w:r>
      <w:r>
        <w:t xml:space="preserve">, positive </w:t>
      </w:r>
      <w:proofErr w:type="gramStart"/>
      <w:r>
        <w:t>deviant</w:t>
      </w:r>
      <w:proofErr w:type="gramEnd"/>
      <w:r>
        <w:t xml:space="preserve"> and lower financial well-being.</w:t>
      </w:r>
    </w:p>
    <w:p w14:paraId="04B44824" w14:textId="77777777" w:rsidR="009054C0" w:rsidRDefault="006F3A8E">
      <w:pPr>
        <w:keepNext/>
        <w:spacing w:before="240" w:after="60"/>
      </w:pPr>
      <w:r>
        <w:t xml:space="preserve">The value of 0 in the coding of categorical predictors indicates the reference value for interpreting the corresponding b values. The reference values for predictors were set as follows: for Gender Male (reference: female category); for Not </w:t>
      </w:r>
      <w:proofErr w:type="gramStart"/>
      <w:r>
        <w:t>In</w:t>
      </w:r>
      <w:proofErr w:type="gramEnd"/>
      <w:r>
        <w:t xml:space="preserve"> Paid Employment (looking), Not Employed (not looking), Full-time student (reference: Employment) and for the dependent variable the reference category was the lower financial well-being group.</w:t>
      </w:r>
    </w:p>
    <w:p w14:paraId="13404C65" w14:textId="77777777" w:rsidR="009054C0" w:rsidRDefault="006F3A8E">
      <w:pPr>
        <w:keepNext/>
        <w:spacing w:before="240" w:after="60"/>
      </w:pPr>
      <w:r>
        <w:t xml:space="preserve">We calculated Wald </w:t>
      </w:r>
      <w:r>
        <w:rPr>
          <w:i/>
        </w:rPr>
        <w:t>Z</w:t>
      </w:r>
      <w:r>
        <w:t>-scores (</w:t>
      </w:r>
      <w:r>
        <w:rPr>
          <w:i/>
        </w:rPr>
        <w:t xml:space="preserve">b </w:t>
      </w:r>
      <w:r>
        <w:t xml:space="preserve">/ </w:t>
      </w:r>
      <w:proofErr w:type="spellStart"/>
      <w:r>
        <w:rPr>
          <w:i/>
        </w:rPr>
        <w:t>SE</w:t>
      </w:r>
      <w:r>
        <w:rPr>
          <w:i/>
          <w:vertAlign w:val="subscript"/>
        </w:rPr>
        <w:t>b</w:t>
      </w:r>
      <w:proofErr w:type="spellEnd"/>
      <w:r>
        <w:t xml:space="preserve">) and tested for statistical significance with a two tailed </w:t>
      </w:r>
      <w:r>
        <w:rPr>
          <w:i/>
        </w:rPr>
        <w:t>z</w:t>
      </w:r>
      <w:r>
        <w:t>-test.</w:t>
      </w:r>
    </w:p>
    <w:p w14:paraId="24BF84D4" w14:textId="77777777" w:rsidR="009054C0" w:rsidRDefault="009054C0">
      <w:pPr>
        <w:keepNext/>
        <w:spacing w:before="240" w:after="60"/>
      </w:pPr>
    </w:p>
    <w:p w14:paraId="62576D17" w14:textId="42D7ED5C" w:rsidR="009054C0" w:rsidRDefault="006F3A8E">
      <w:pPr>
        <w:pBdr>
          <w:top w:val="nil"/>
          <w:left w:val="nil"/>
          <w:bottom w:val="nil"/>
          <w:right w:val="nil"/>
          <w:between w:val="nil"/>
        </w:pBdr>
        <w:rPr>
          <w:color w:val="000000"/>
        </w:rPr>
      </w:pPr>
      <w:r>
        <w:rPr>
          <w:color w:val="000000"/>
        </w:rPr>
        <w:t>*</w:t>
      </w:r>
      <w:r>
        <w:rPr>
          <w:i/>
          <w:color w:val="000000"/>
        </w:rPr>
        <w:t>P</w:t>
      </w:r>
      <w:r>
        <w:rPr>
          <w:color w:val="000000"/>
        </w:rPr>
        <w:t xml:space="preserve"> &lt; 0.05; **</w:t>
      </w:r>
      <w:r>
        <w:rPr>
          <w:i/>
          <w:color w:val="000000"/>
        </w:rPr>
        <w:t>P</w:t>
      </w:r>
      <w:r>
        <w:rPr>
          <w:color w:val="000000"/>
        </w:rPr>
        <w:t xml:space="preserve"> &lt; 0.01; ***</w:t>
      </w:r>
      <w:r>
        <w:rPr>
          <w:i/>
          <w:color w:val="000000"/>
        </w:rPr>
        <w:t>P</w:t>
      </w:r>
      <w:r>
        <w:rPr>
          <w:color w:val="000000"/>
        </w:rPr>
        <w:t xml:space="preserve"> &lt; 0.001.</w:t>
      </w:r>
    </w:p>
    <w:p w14:paraId="0EAE3C68" w14:textId="77777777" w:rsidR="00DA2300" w:rsidRDefault="00DA2300">
      <w:pPr>
        <w:pBdr>
          <w:top w:val="nil"/>
          <w:left w:val="nil"/>
          <w:bottom w:val="nil"/>
          <w:right w:val="nil"/>
          <w:between w:val="nil"/>
        </w:pBdr>
        <w:rPr>
          <w:color w:val="000000"/>
        </w:rPr>
        <w:sectPr w:rsidR="00DA2300">
          <w:headerReference w:type="default" r:id="rId14"/>
          <w:headerReference w:type="first" r:id="rId15"/>
          <w:pgSz w:w="12240" w:h="15840"/>
          <w:pgMar w:top="1440" w:right="1440" w:bottom="1440" w:left="1440" w:header="720" w:footer="720" w:gutter="0"/>
          <w:cols w:space="720"/>
        </w:sectPr>
      </w:pPr>
    </w:p>
    <w:p w14:paraId="71C710ED" w14:textId="77777777" w:rsidR="009054C0" w:rsidRDefault="006F3A8E">
      <w:pPr>
        <w:pBdr>
          <w:top w:val="nil"/>
          <w:left w:val="nil"/>
          <w:bottom w:val="nil"/>
          <w:right w:val="nil"/>
          <w:between w:val="nil"/>
        </w:pBdr>
        <w:rPr>
          <w:b/>
        </w:rPr>
      </w:pPr>
      <w:r>
        <w:rPr>
          <w:b/>
        </w:rPr>
        <w:lastRenderedPageBreak/>
        <w:t>Table S3. Economic inequality policy interventions</w:t>
      </w:r>
    </w:p>
    <w:tbl>
      <w:tblPr>
        <w:tblStyle w:val="a1"/>
        <w:tblW w:w="1015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2160"/>
        <w:gridCol w:w="2220"/>
        <w:gridCol w:w="1995"/>
        <w:gridCol w:w="2040"/>
      </w:tblGrid>
      <w:tr w:rsidR="009054C0" w14:paraId="1B91D95D" w14:textId="77777777" w:rsidTr="00DA2300">
        <w:tc>
          <w:tcPr>
            <w:tcW w:w="1740" w:type="dxa"/>
            <w:shd w:val="clear" w:color="auto" w:fill="E06666"/>
            <w:tcMar>
              <w:top w:w="100" w:type="dxa"/>
              <w:left w:w="100" w:type="dxa"/>
              <w:bottom w:w="100" w:type="dxa"/>
              <w:right w:w="100" w:type="dxa"/>
            </w:tcMar>
          </w:tcPr>
          <w:p w14:paraId="1ACE04FB" w14:textId="77777777" w:rsidR="009054C0" w:rsidRDefault="006F3A8E">
            <w:pPr>
              <w:widowControl w:val="0"/>
              <w:jc w:val="center"/>
              <w:rPr>
                <w:sz w:val="22"/>
                <w:szCs w:val="22"/>
              </w:rPr>
            </w:pPr>
            <w:r>
              <w:rPr>
                <w:sz w:val="22"/>
                <w:szCs w:val="22"/>
              </w:rPr>
              <w:t>Strong Negative Impact</w:t>
            </w:r>
          </w:p>
        </w:tc>
        <w:tc>
          <w:tcPr>
            <w:tcW w:w="2160" w:type="dxa"/>
            <w:shd w:val="clear" w:color="auto" w:fill="F4CCCC"/>
            <w:tcMar>
              <w:top w:w="100" w:type="dxa"/>
              <w:left w:w="100" w:type="dxa"/>
              <w:bottom w:w="100" w:type="dxa"/>
              <w:right w:w="100" w:type="dxa"/>
            </w:tcMar>
          </w:tcPr>
          <w:p w14:paraId="6CA1E1A7" w14:textId="77777777" w:rsidR="009054C0" w:rsidRDefault="006F3A8E">
            <w:pPr>
              <w:widowControl w:val="0"/>
              <w:jc w:val="center"/>
              <w:rPr>
                <w:sz w:val="22"/>
                <w:szCs w:val="22"/>
              </w:rPr>
            </w:pPr>
            <w:r>
              <w:rPr>
                <w:sz w:val="22"/>
                <w:szCs w:val="22"/>
              </w:rPr>
              <w:t>Slight Negative Impact</w:t>
            </w:r>
          </w:p>
        </w:tc>
        <w:tc>
          <w:tcPr>
            <w:tcW w:w="2220" w:type="dxa"/>
            <w:shd w:val="clear" w:color="auto" w:fill="FFF2CC"/>
            <w:tcMar>
              <w:top w:w="100" w:type="dxa"/>
              <w:left w:w="100" w:type="dxa"/>
              <w:bottom w:w="100" w:type="dxa"/>
              <w:right w:w="100" w:type="dxa"/>
            </w:tcMar>
          </w:tcPr>
          <w:p w14:paraId="195AC705" w14:textId="77777777" w:rsidR="009054C0" w:rsidRDefault="006F3A8E">
            <w:pPr>
              <w:widowControl w:val="0"/>
              <w:jc w:val="center"/>
              <w:rPr>
                <w:sz w:val="22"/>
                <w:szCs w:val="22"/>
              </w:rPr>
            </w:pPr>
            <w:r>
              <w:rPr>
                <w:sz w:val="22"/>
                <w:szCs w:val="22"/>
              </w:rPr>
              <w:t>Mixed</w:t>
            </w:r>
          </w:p>
        </w:tc>
        <w:tc>
          <w:tcPr>
            <w:tcW w:w="1995" w:type="dxa"/>
            <w:shd w:val="clear" w:color="auto" w:fill="D9EAD3"/>
            <w:tcMar>
              <w:top w:w="100" w:type="dxa"/>
              <w:left w:w="100" w:type="dxa"/>
              <w:bottom w:w="100" w:type="dxa"/>
              <w:right w:w="100" w:type="dxa"/>
            </w:tcMar>
          </w:tcPr>
          <w:p w14:paraId="4A91CE54" w14:textId="77777777" w:rsidR="009054C0" w:rsidRDefault="006F3A8E">
            <w:pPr>
              <w:widowControl w:val="0"/>
              <w:jc w:val="center"/>
              <w:rPr>
                <w:sz w:val="22"/>
                <w:szCs w:val="22"/>
              </w:rPr>
            </w:pPr>
            <w:r>
              <w:rPr>
                <w:sz w:val="22"/>
                <w:szCs w:val="22"/>
              </w:rPr>
              <w:t>Slight Positive Impact</w:t>
            </w:r>
          </w:p>
        </w:tc>
        <w:tc>
          <w:tcPr>
            <w:tcW w:w="2040" w:type="dxa"/>
            <w:shd w:val="clear" w:color="auto" w:fill="74AA5C"/>
            <w:tcMar>
              <w:top w:w="100" w:type="dxa"/>
              <w:left w:w="100" w:type="dxa"/>
              <w:bottom w:w="100" w:type="dxa"/>
              <w:right w:w="100" w:type="dxa"/>
            </w:tcMar>
          </w:tcPr>
          <w:p w14:paraId="56A5393E" w14:textId="77777777" w:rsidR="009054C0" w:rsidRDefault="006F3A8E">
            <w:pPr>
              <w:widowControl w:val="0"/>
              <w:jc w:val="center"/>
              <w:rPr>
                <w:sz w:val="22"/>
                <w:szCs w:val="22"/>
              </w:rPr>
            </w:pPr>
            <w:r>
              <w:rPr>
                <w:sz w:val="22"/>
                <w:szCs w:val="22"/>
              </w:rPr>
              <w:t>Strong Positive Impact</w:t>
            </w:r>
          </w:p>
        </w:tc>
      </w:tr>
    </w:tbl>
    <w:p w14:paraId="1E52349E" w14:textId="3ED5C0D1" w:rsidR="009054C0" w:rsidRDefault="009054C0">
      <w:pPr>
        <w:spacing w:line="276" w:lineRule="auto"/>
        <w:rPr>
          <w:sz w:val="22"/>
          <w:szCs w:val="22"/>
        </w:rPr>
      </w:pPr>
    </w:p>
    <w:tbl>
      <w:tblPr>
        <w:tblStyle w:val="a2"/>
        <w:tblW w:w="145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665"/>
        <w:gridCol w:w="1485"/>
        <w:gridCol w:w="2970"/>
        <w:gridCol w:w="5490"/>
        <w:gridCol w:w="1465"/>
      </w:tblGrid>
      <w:tr w:rsidR="00DA2300" w:rsidRPr="00DA2300" w14:paraId="6EED9333" w14:textId="77777777" w:rsidTr="00AE0940">
        <w:trPr>
          <w:trHeight w:val="352"/>
        </w:trPr>
        <w:tc>
          <w:tcPr>
            <w:tcW w:w="1440" w:type="dxa"/>
            <w:shd w:val="clear" w:color="auto" w:fill="auto"/>
            <w:tcMar>
              <w:top w:w="100" w:type="dxa"/>
              <w:left w:w="100" w:type="dxa"/>
              <w:bottom w:w="100" w:type="dxa"/>
              <w:right w:w="100" w:type="dxa"/>
            </w:tcMar>
          </w:tcPr>
          <w:p w14:paraId="5A3960AB" w14:textId="77777777" w:rsidR="00DA2300" w:rsidRPr="00DA2300" w:rsidRDefault="00DA2300" w:rsidP="00DA2300">
            <w:pPr>
              <w:spacing w:line="276" w:lineRule="auto"/>
              <w:rPr>
                <w:b/>
                <w:sz w:val="22"/>
                <w:szCs w:val="22"/>
              </w:rPr>
            </w:pPr>
            <w:r w:rsidRPr="00DA2300">
              <w:rPr>
                <w:b/>
                <w:sz w:val="22"/>
                <w:szCs w:val="22"/>
              </w:rPr>
              <w:t>Type of Intervention</w:t>
            </w:r>
          </w:p>
        </w:tc>
        <w:tc>
          <w:tcPr>
            <w:tcW w:w="1665" w:type="dxa"/>
            <w:shd w:val="clear" w:color="auto" w:fill="auto"/>
            <w:tcMar>
              <w:top w:w="100" w:type="dxa"/>
              <w:left w:w="100" w:type="dxa"/>
              <w:bottom w:w="100" w:type="dxa"/>
              <w:right w:w="100" w:type="dxa"/>
            </w:tcMar>
          </w:tcPr>
          <w:p w14:paraId="663E78D4" w14:textId="77777777" w:rsidR="00DA2300" w:rsidRPr="00DA2300" w:rsidRDefault="00DA2300" w:rsidP="00DA2300">
            <w:pPr>
              <w:spacing w:line="276" w:lineRule="auto"/>
              <w:rPr>
                <w:b/>
                <w:sz w:val="22"/>
                <w:szCs w:val="22"/>
              </w:rPr>
            </w:pPr>
            <w:r w:rsidRPr="00DA2300">
              <w:rPr>
                <w:b/>
                <w:sz w:val="22"/>
                <w:szCs w:val="22"/>
              </w:rPr>
              <w:t>Policy (Year)</w:t>
            </w:r>
          </w:p>
        </w:tc>
        <w:tc>
          <w:tcPr>
            <w:tcW w:w="1485" w:type="dxa"/>
            <w:shd w:val="clear" w:color="auto" w:fill="auto"/>
            <w:tcMar>
              <w:top w:w="100" w:type="dxa"/>
              <w:left w:w="100" w:type="dxa"/>
              <w:bottom w:w="100" w:type="dxa"/>
              <w:right w:w="100" w:type="dxa"/>
            </w:tcMar>
          </w:tcPr>
          <w:p w14:paraId="05AE4EC3" w14:textId="77777777" w:rsidR="00DA2300" w:rsidRPr="00DA2300" w:rsidRDefault="00DA2300" w:rsidP="00DA2300">
            <w:pPr>
              <w:spacing w:line="276" w:lineRule="auto"/>
              <w:rPr>
                <w:b/>
                <w:sz w:val="22"/>
                <w:szCs w:val="22"/>
              </w:rPr>
            </w:pPr>
            <w:r w:rsidRPr="00DA2300">
              <w:rPr>
                <w:b/>
                <w:sz w:val="22"/>
                <w:szCs w:val="22"/>
              </w:rPr>
              <w:t>Country</w:t>
            </w:r>
          </w:p>
        </w:tc>
        <w:tc>
          <w:tcPr>
            <w:tcW w:w="2970" w:type="dxa"/>
            <w:shd w:val="clear" w:color="auto" w:fill="auto"/>
            <w:tcMar>
              <w:top w:w="100" w:type="dxa"/>
              <w:left w:w="100" w:type="dxa"/>
              <w:bottom w:w="100" w:type="dxa"/>
              <w:right w:w="100" w:type="dxa"/>
            </w:tcMar>
          </w:tcPr>
          <w:p w14:paraId="0B1037FB" w14:textId="77777777" w:rsidR="00DA2300" w:rsidRPr="00DA2300" w:rsidRDefault="00DA2300" w:rsidP="00DA2300">
            <w:pPr>
              <w:spacing w:line="276" w:lineRule="auto"/>
              <w:rPr>
                <w:b/>
                <w:sz w:val="22"/>
                <w:szCs w:val="22"/>
              </w:rPr>
            </w:pPr>
            <w:r w:rsidRPr="00DA2300">
              <w:rPr>
                <w:b/>
                <w:sz w:val="22"/>
                <w:szCs w:val="22"/>
              </w:rPr>
              <w:t>Policy Synopsis</w:t>
            </w:r>
          </w:p>
        </w:tc>
        <w:tc>
          <w:tcPr>
            <w:tcW w:w="5490" w:type="dxa"/>
            <w:shd w:val="clear" w:color="auto" w:fill="auto"/>
            <w:tcMar>
              <w:top w:w="100" w:type="dxa"/>
              <w:left w:w="100" w:type="dxa"/>
              <w:bottom w:w="100" w:type="dxa"/>
              <w:right w:w="100" w:type="dxa"/>
            </w:tcMar>
          </w:tcPr>
          <w:p w14:paraId="084040F3" w14:textId="77777777" w:rsidR="00DA2300" w:rsidRPr="00DA2300" w:rsidRDefault="00DA2300" w:rsidP="00DA2300">
            <w:pPr>
              <w:spacing w:line="276" w:lineRule="auto"/>
              <w:rPr>
                <w:b/>
                <w:sz w:val="22"/>
                <w:szCs w:val="22"/>
              </w:rPr>
            </w:pPr>
            <w:r w:rsidRPr="00DA2300">
              <w:rPr>
                <w:b/>
                <w:sz w:val="22"/>
                <w:szCs w:val="22"/>
              </w:rPr>
              <w:t>Impact</w:t>
            </w:r>
          </w:p>
        </w:tc>
        <w:tc>
          <w:tcPr>
            <w:tcW w:w="1465" w:type="dxa"/>
            <w:shd w:val="clear" w:color="auto" w:fill="auto"/>
            <w:tcMar>
              <w:top w:w="100" w:type="dxa"/>
              <w:left w:w="100" w:type="dxa"/>
              <w:bottom w:w="100" w:type="dxa"/>
              <w:right w:w="100" w:type="dxa"/>
            </w:tcMar>
          </w:tcPr>
          <w:p w14:paraId="24085690" w14:textId="1607E2A0" w:rsidR="00DA2300" w:rsidRPr="00DA2300" w:rsidRDefault="00DA2300" w:rsidP="00DA2300">
            <w:pPr>
              <w:spacing w:line="276" w:lineRule="auto"/>
              <w:rPr>
                <w:b/>
                <w:sz w:val="22"/>
                <w:szCs w:val="22"/>
                <w:vertAlign w:val="superscript"/>
              </w:rPr>
            </w:pPr>
            <w:r w:rsidRPr="00DA2300">
              <w:rPr>
                <w:b/>
                <w:sz w:val="22"/>
                <w:szCs w:val="22"/>
              </w:rPr>
              <w:t>Evidence Rating</w:t>
            </w:r>
            <w:r w:rsidRPr="00DA2300">
              <w:rPr>
                <w:b/>
                <w:sz w:val="22"/>
                <w:szCs w:val="22"/>
                <w:vertAlign w:val="superscript"/>
              </w:rPr>
              <w:t>1</w:t>
            </w:r>
          </w:p>
        </w:tc>
      </w:tr>
      <w:tr w:rsidR="00DA2300" w:rsidRPr="00DA2300" w14:paraId="684D2945" w14:textId="77777777" w:rsidTr="00AE0940">
        <w:tc>
          <w:tcPr>
            <w:tcW w:w="1440" w:type="dxa"/>
            <w:shd w:val="clear" w:color="auto" w:fill="74AA5C"/>
            <w:tcMar>
              <w:top w:w="100" w:type="dxa"/>
              <w:left w:w="100" w:type="dxa"/>
              <w:bottom w:w="100" w:type="dxa"/>
              <w:right w:w="100" w:type="dxa"/>
            </w:tcMar>
          </w:tcPr>
          <w:p w14:paraId="2B34F0E8" w14:textId="77777777" w:rsidR="00DA2300" w:rsidRPr="00DA2300" w:rsidRDefault="00DA2300" w:rsidP="00DA2300">
            <w:pPr>
              <w:spacing w:line="276" w:lineRule="auto"/>
              <w:rPr>
                <w:sz w:val="22"/>
                <w:szCs w:val="22"/>
              </w:rPr>
            </w:pPr>
            <w:r w:rsidRPr="00DA2300">
              <w:rPr>
                <w:sz w:val="22"/>
                <w:szCs w:val="22"/>
              </w:rPr>
              <w:t>Federal Allowances</w:t>
            </w:r>
          </w:p>
        </w:tc>
        <w:tc>
          <w:tcPr>
            <w:tcW w:w="1665" w:type="dxa"/>
            <w:shd w:val="clear" w:color="auto" w:fill="74AA5C"/>
            <w:tcMar>
              <w:top w:w="100" w:type="dxa"/>
              <w:left w:w="100" w:type="dxa"/>
              <w:bottom w:w="100" w:type="dxa"/>
              <w:right w:w="100" w:type="dxa"/>
            </w:tcMar>
          </w:tcPr>
          <w:p w14:paraId="290AC4FB" w14:textId="77777777" w:rsidR="00DA2300" w:rsidRPr="00DA2300" w:rsidRDefault="00717449" w:rsidP="00DA2300">
            <w:pPr>
              <w:spacing w:line="276" w:lineRule="auto"/>
              <w:rPr>
                <w:sz w:val="22"/>
                <w:szCs w:val="22"/>
              </w:rPr>
            </w:pPr>
            <w:hyperlink r:id="rId16">
              <w:r w:rsidR="00DA2300" w:rsidRPr="00DA2300">
                <w:rPr>
                  <w:rStyle w:val="Hyperlink"/>
                  <w:sz w:val="22"/>
                  <w:szCs w:val="22"/>
                </w:rPr>
                <w:t>Supplemental Nutrition Assistance Program (SNAP)</w:t>
              </w:r>
            </w:hyperlink>
          </w:p>
          <w:p w14:paraId="1D339CB7" w14:textId="77777777" w:rsidR="00DA2300" w:rsidRPr="00DA2300" w:rsidRDefault="00DA2300" w:rsidP="00DA2300">
            <w:pPr>
              <w:spacing w:line="276" w:lineRule="auto"/>
              <w:rPr>
                <w:sz w:val="22"/>
                <w:szCs w:val="22"/>
              </w:rPr>
            </w:pPr>
            <w:r w:rsidRPr="00DA2300">
              <w:rPr>
                <w:sz w:val="22"/>
                <w:szCs w:val="22"/>
              </w:rPr>
              <w:t>(1939, first food stamp program- present)</w:t>
            </w:r>
          </w:p>
        </w:tc>
        <w:tc>
          <w:tcPr>
            <w:tcW w:w="1485" w:type="dxa"/>
            <w:shd w:val="clear" w:color="auto" w:fill="74AA5C"/>
            <w:tcMar>
              <w:top w:w="100" w:type="dxa"/>
              <w:left w:w="100" w:type="dxa"/>
              <w:bottom w:w="100" w:type="dxa"/>
              <w:right w:w="100" w:type="dxa"/>
            </w:tcMar>
          </w:tcPr>
          <w:p w14:paraId="600FCF8D" w14:textId="77777777" w:rsidR="00DA2300" w:rsidRPr="00DA2300" w:rsidRDefault="00DA2300" w:rsidP="00DA2300">
            <w:pPr>
              <w:spacing w:line="276" w:lineRule="auto"/>
              <w:rPr>
                <w:sz w:val="22"/>
                <w:szCs w:val="22"/>
              </w:rPr>
            </w:pPr>
            <w:r w:rsidRPr="00DA2300">
              <w:rPr>
                <w:sz w:val="22"/>
                <w:szCs w:val="22"/>
              </w:rPr>
              <w:t>United States</w:t>
            </w:r>
          </w:p>
        </w:tc>
        <w:tc>
          <w:tcPr>
            <w:tcW w:w="2970" w:type="dxa"/>
            <w:shd w:val="clear" w:color="auto" w:fill="74AA5C"/>
            <w:tcMar>
              <w:top w:w="100" w:type="dxa"/>
              <w:left w:w="100" w:type="dxa"/>
              <w:bottom w:w="100" w:type="dxa"/>
              <w:right w:w="100" w:type="dxa"/>
            </w:tcMar>
          </w:tcPr>
          <w:p w14:paraId="599A4178" w14:textId="77777777" w:rsidR="00DA2300" w:rsidRPr="00DA2300" w:rsidRDefault="00DA2300" w:rsidP="00DA2300">
            <w:pPr>
              <w:spacing w:line="276" w:lineRule="auto"/>
              <w:rPr>
                <w:sz w:val="22"/>
                <w:szCs w:val="22"/>
              </w:rPr>
            </w:pPr>
            <w:r w:rsidRPr="00DA2300">
              <w:rPr>
                <w:sz w:val="22"/>
                <w:szCs w:val="22"/>
              </w:rPr>
              <w:t>SNAP (formerly known as “food stamps”) is a federal program that provides benefits to eligible low-income families so that they can purchase groceries.</w:t>
            </w:r>
          </w:p>
        </w:tc>
        <w:tc>
          <w:tcPr>
            <w:tcW w:w="5490" w:type="dxa"/>
            <w:shd w:val="clear" w:color="auto" w:fill="74AA5C"/>
            <w:tcMar>
              <w:top w:w="100" w:type="dxa"/>
              <w:left w:w="100" w:type="dxa"/>
              <w:bottom w:w="100" w:type="dxa"/>
              <w:right w:w="100" w:type="dxa"/>
            </w:tcMar>
          </w:tcPr>
          <w:p w14:paraId="1791C66F" w14:textId="5EDFF464" w:rsidR="00DA2300" w:rsidRPr="00DA2300" w:rsidRDefault="00DA2300" w:rsidP="00DA2300">
            <w:pPr>
              <w:spacing w:line="276" w:lineRule="auto"/>
              <w:rPr>
                <w:sz w:val="22"/>
                <w:szCs w:val="22"/>
              </w:rPr>
            </w:pPr>
            <w:r w:rsidRPr="00DA2300">
              <w:rPr>
                <w:i/>
                <w:sz w:val="22"/>
                <w:szCs w:val="22"/>
              </w:rPr>
              <w:t>Economic:</w:t>
            </w:r>
            <w:r w:rsidRPr="00DA2300">
              <w:rPr>
                <w:sz w:val="22"/>
                <w:szCs w:val="22"/>
              </w:rPr>
              <w:t xml:space="preserve"> Partially prevented the collapse of the bottom floor as the 2008 financial crisis loomed and helped low-income people at least maintain their living standards, though unideal, during this difficult time. However, there has been a long-term decline in SNAP’s effectiveness since the mid-1990s due to its limited coverage of reaching low-income people (</w:t>
            </w:r>
            <w:hyperlink r:id="rId17">
              <w:r w:rsidRPr="00DA2300">
                <w:rPr>
                  <w:rStyle w:val="Hyperlink"/>
                  <w:sz w:val="22"/>
                  <w:szCs w:val="22"/>
                </w:rPr>
                <w:t>Jolliffe et al. 2019</w:t>
              </w:r>
            </w:hyperlink>
            <w:r w:rsidRPr="00DA2300">
              <w:rPr>
                <w:sz w:val="22"/>
                <w:szCs w:val="22"/>
              </w:rPr>
              <w:t>).</w:t>
            </w:r>
            <w:r>
              <w:rPr>
                <w:sz w:val="22"/>
                <w:szCs w:val="22"/>
              </w:rPr>
              <w:t xml:space="preserve"> </w:t>
            </w:r>
            <w:r w:rsidRPr="00DA2300">
              <w:rPr>
                <w:sz w:val="22"/>
                <w:szCs w:val="22"/>
              </w:rPr>
              <w:t>In 2015, SNAP lifted 8.4 million people from poverty, causing the poverty rate to drop from 15.4 percent to 12.8 percent. SNAP also reduced the poverty gap by $35 billion (21 percent) in 2015 (</w:t>
            </w:r>
            <w:hyperlink r:id="rId18" w:anchor=":~:text=We%20find%20that%20SNAP%20removed,(21%20percent)%20in%202015.">
              <w:r w:rsidRPr="00DA2300">
                <w:rPr>
                  <w:rStyle w:val="Hyperlink"/>
                  <w:sz w:val="22"/>
                  <w:szCs w:val="22"/>
                </w:rPr>
                <w:t>Wheaton &amp; Tran</w:t>
              </w:r>
            </w:hyperlink>
            <w:r w:rsidRPr="00DA2300">
              <w:rPr>
                <w:sz w:val="22"/>
                <w:szCs w:val="22"/>
                <w:u w:val="single"/>
              </w:rPr>
              <w:t xml:space="preserve"> 2018</w:t>
            </w:r>
            <w:r w:rsidRPr="00DA2300">
              <w:rPr>
                <w:sz w:val="22"/>
                <w:szCs w:val="22"/>
              </w:rPr>
              <w:t>).</w:t>
            </w:r>
          </w:p>
          <w:p w14:paraId="4E763E54" w14:textId="77777777" w:rsidR="00DA2300" w:rsidRPr="00DA2300" w:rsidRDefault="00DA2300" w:rsidP="00DA2300">
            <w:pPr>
              <w:spacing w:line="276" w:lineRule="auto"/>
              <w:rPr>
                <w:sz w:val="22"/>
                <w:szCs w:val="22"/>
              </w:rPr>
            </w:pPr>
          </w:p>
          <w:p w14:paraId="29420A96" w14:textId="77777777" w:rsidR="00DA2300" w:rsidRPr="00DA2300" w:rsidRDefault="00DA2300" w:rsidP="00DA2300">
            <w:pPr>
              <w:spacing w:line="276" w:lineRule="auto"/>
              <w:rPr>
                <w:sz w:val="22"/>
                <w:szCs w:val="22"/>
              </w:rPr>
            </w:pPr>
            <w:r w:rsidRPr="00DA2300">
              <w:rPr>
                <w:i/>
                <w:sz w:val="22"/>
                <w:szCs w:val="22"/>
              </w:rPr>
              <w:t>Behavioral:</w:t>
            </w:r>
            <w:r w:rsidRPr="00DA2300">
              <w:rPr>
                <w:sz w:val="22"/>
                <w:szCs w:val="22"/>
              </w:rPr>
              <w:t xml:space="preserve"> </w:t>
            </w:r>
          </w:p>
          <w:p w14:paraId="659CEFCF" w14:textId="77777777" w:rsidR="00DA2300" w:rsidRPr="00DA2300" w:rsidRDefault="00DA2300" w:rsidP="00DA2300">
            <w:pPr>
              <w:spacing w:line="276" w:lineRule="auto"/>
              <w:rPr>
                <w:sz w:val="22"/>
                <w:szCs w:val="22"/>
              </w:rPr>
            </w:pPr>
            <w:r w:rsidRPr="00DA2300">
              <w:rPr>
                <w:sz w:val="22"/>
                <w:szCs w:val="22"/>
              </w:rPr>
              <w:t>Chicago school children, regardless of whether they received SNAP benefits, tended to receive more disciplinary infractions at the end of the month regardless. These spikes were especially pronounced for students who received SNAP benefits (</w:t>
            </w:r>
            <w:proofErr w:type="spellStart"/>
            <w:r w:rsidR="00717449">
              <w:fldChar w:fldCharType="begin"/>
            </w:r>
            <w:r w:rsidR="00717449">
              <w:instrText>HYPERLINK "https://www.journals.uchicago.edu/doi/full/10.1086/688074?casa_token=Rx1ZRVqsVCcAAAAA%3AsWFiL7FhfziCh9xV5VHuZ1_i4IgTBhOOdr-lyGFQ9KtPWxWA3j30HKusxC8aq0mGkIoiUReEklY" \h</w:instrText>
            </w:r>
            <w:r w:rsidR="00717449">
              <w:fldChar w:fldCharType="separate"/>
            </w:r>
            <w:r w:rsidRPr="00DA2300">
              <w:rPr>
                <w:rStyle w:val="Hyperlink"/>
                <w:sz w:val="22"/>
                <w:szCs w:val="22"/>
              </w:rPr>
              <w:t>Gennetial</w:t>
            </w:r>
            <w:proofErr w:type="spellEnd"/>
            <w:r w:rsidRPr="00DA2300">
              <w:rPr>
                <w:rStyle w:val="Hyperlink"/>
                <w:sz w:val="22"/>
                <w:szCs w:val="22"/>
              </w:rPr>
              <w:t xml:space="preserve"> et al</w:t>
            </w:r>
            <w:r w:rsidR="00717449">
              <w:rPr>
                <w:rStyle w:val="Hyperlink"/>
                <w:sz w:val="22"/>
                <w:szCs w:val="22"/>
              </w:rPr>
              <w:fldChar w:fldCharType="end"/>
            </w:r>
            <w:r w:rsidRPr="00DA2300">
              <w:rPr>
                <w:sz w:val="22"/>
                <w:szCs w:val="22"/>
                <w:u w:val="single"/>
              </w:rPr>
              <w:t>. 2016</w:t>
            </w:r>
            <w:r w:rsidRPr="00DA2300">
              <w:rPr>
                <w:sz w:val="22"/>
                <w:szCs w:val="22"/>
              </w:rPr>
              <w:t>).</w:t>
            </w:r>
          </w:p>
          <w:p w14:paraId="50A8D7CD" w14:textId="77777777" w:rsidR="00DA2300" w:rsidRPr="00DA2300" w:rsidRDefault="00DA2300" w:rsidP="00DA2300">
            <w:pPr>
              <w:spacing w:line="276" w:lineRule="auto"/>
              <w:rPr>
                <w:sz w:val="22"/>
                <w:szCs w:val="22"/>
              </w:rPr>
            </w:pPr>
          </w:p>
          <w:p w14:paraId="786BBA1F" w14:textId="77777777" w:rsidR="00DA2300" w:rsidRPr="00DA2300" w:rsidRDefault="00DA2300" w:rsidP="00DA2300">
            <w:pPr>
              <w:spacing w:line="276" w:lineRule="auto"/>
              <w:rPr>
                <w:sz w:val="22"/>
                <w:szCs w:val="22"/>
              </w:rPr>
            </w:pPr>
            <w:r w:rsidRPr="00DA2300">
              <w:rPr>
                <w:sz w:val="22"/>
                <w:szCs w:val="22"/>
              </w:rPr>
              <w:t>The marginal propensity to consume SNAP-eligible food using SNAP benefits is 0.5-0.6, and the MPCF using cash is even smaller. This suggests that SNAP benefits are not being completely used to buy food (</w:t>
            </w:r>
            <w:hyperlink r:id="rId19">
              <w:r w:rsidRPr="00DA2300">
                <w:rPr>
                  <w:rStyle w:val="Hyperlink"/>
                  <w:sz w:val="22"/>
                  <w:szCs w:val="22"/>
                </w:rPr>
                <w:t>Hastings &amp; Shapiro 2017</w:t>
              </w:r>
            </w:hyperlink>
            <w:r w:rsidRPr="00DA2300">
              <w:rPr>
                <w:sz w:val="22"/>
                <w:szCs w:val="22"/>
              </w:rPr>
              <w:t>).</w:t>
            </w:r>
          </w:p>
          <w:p w14:paraId="57D0319E" w14:textId="77777777" w:rsidR="00DA2300" w:rsidRPr="00DA2300" w:rsidRDefault="00DA2300" w:rsidP="00DA2300">
            <w:pPr>
              <w:spacing w:line="276" w:lineRule="auto"/>
              <w:rPr>
                <w:sz w:val="22"/>
                <w:szCs w:val="22"/>
              </w:rPr>
            </w:pPr>
          </w:p>
          <w:p w14:paraId="1C9A90B5" w14:textId="50AF89FA" w:rsidR="00DA2300" w:rsidRPr="00DA2300" w:rsidRDefault="00DA2300" w:rsidP="00DA2300">
            <w:pPr>
              <w:spacing w:line="276" w:lineRule="auto"/>
              <w:rPr>
                <w:sz w:val="22"/>
                <w:szCs w:val="22"/>
              </w:rPr>
            </w:pPr>
            <w:r w:rsidRPr="00DA2300">
              <w:rPr>
                <w:sz w:val="22"/>
                <w:szCs w:val="22"/>
              </w:rPr>
              <w:lastRenderedPageBreak/>
              <w:t>*Although the overall impact was positive, it is critical to address the relevant drawbacks of the program as related to the stigmatization of low-income communities facing poverty and food insecurity (</w:t>
            </w:r>
            <w:hyperlink r:id="rId20">
              <w:r w:rsidRPr="00DA2300">
                <w:rPr>
                  <w:rStyle w:val="Hyperlink"/>
                  <w:sz w:val="22"/>
                  <w:szCs w:val="22"/>
                </w:rPr>
                <w:t>Gaines-Turner, et al., 2019</w:t>
              </w:r>
            </w:hyperlink>
            <w:r w:rsidRPr="00DA2300">
              <w:rPr>
                <w:sz w:val="22"/>
                <w:szCs w:val="22"/>
              </w:rPr>
              <w:t xml:space="preserve">). </w:t>
            </w:r>
          </w:p>
        </w:tc>
        <w:tc>
          <w:tcPr>
            <w:tcW w:w="1465" w:type="dxa"/>
            <w:shd w:val="clear" w:color="auto" w:fill="74AA5C"/>
            <w:tcMar>
              <w:top w:w="100" w:type="dxa"/>
              <w:left w:w="100" w:type="dxa"/>
              <w:bottom w:w="100" w:type="dxa"/>
              <w:right w:w="100" w:type="dxa"/>
            </w:tcMar>
          </w:tcPr>
          <w:p w14:paraId="70AE42FF" w14:textId="77777777" w:rsidR="00DA2300" w:rsidRPr="00DA2300" w:rsidRDefault="00DA2300" w:rsidP="00DA2300">
            <w:pPr>
              <w:spacing w:line="276" w:lineRule="auto"/>
              <w:rPr>
                <w:i/>
                <w:sz w:val="22"/>
                <w:szCs w:val="22"/>
              </w:rPr>
            </w:pPr>
            <w:r w:rsidRPr="00DA2300">
              <w:rPr>
                <w:rFonts w:ascii="Segoe UI Symbol" w:hAnsi="Segoe UI Symbol" w:cs="Segoe UI Symbol"/>
                <w:sz w:val="22"/>
                <w:szCs w:val="22"/>
              </w:rPr>
              <w:lastRenderedPageBreak/>
              <w:t>★★★★☆</w:t>
            </w:r>
          </w:p>
        </w:tc>
      </w:tr>
      <w:tr w:rsidR="00DA2300" w:rsidRPr="00DA2300" w14:paraId="0EC3C5D3" w14:textId="77777777" w:rsidTr="00AE0940">
        <w:tc>
          <w:tcPr>
            <w:tcW w:w="1440" w:type="dxa"/>
            <w:shd w:val="clear" w:color="auto" w:fill="74AA5C"/>
            <w:tcMar>
              <w:top w:w="100" w:type="dxa"/>
              <w:left w:w="100" w:type="dxa"/>
              <w:bottom w:w="100" w:type="dxa"/>
              <w:right w:w="100" w:type="dxa"/>
            </w:tcMar>
          </w:tcPr>
          <w:p w14:paraId="733526FC" w14:textId="77777777" w:rsidR="00DA2300" w:rsidRPr="00DA2300" w:rsidRDefault="00DA2300" w:rsidP="00DA2300">
            <w:pPr>
              <w:spacing w:line="276" w:lineRule="auto"/>
              <w:rPr>
                <w:sz w:val="22"/>
                <w:szCs w:val="22"/>
              </w:rPr>
            </w:pPr>
            <w:r w:rsidRPr="00DA2300">
              <w:rPr>
                <w:sz w:val="22"/>
                <w:szCs w:val="22"/>
              </w:rPr>
              <w:t>Federal Allowances</w:t>
            </w:r>
          </w:p>
        </w:tc>
        <w:tc>
          <w:tcPr>
            <w:tcW w:w="1665" w:type="dxa"/>
            <w:shd w:val="clear" w:color="auto" w:fill="74AA5C"/>
            <w:tcMar>
              <w:top w:w="100" w:type="dxa"/>
              <w:left w:w="100" w:type="dxa"/>
              <w:bottom w:w="100" w:type="dxa"/>
              <w:right w:w="100" w:type="dxa"/>
            </w:tcMar>
          </w:tcPr>
          <w:p w14:paraId="59259977" w14:textId="77777777" w:rsidR="00DA2300" w:rsidRPr="00DA2300" w:rsidRDefault="00717449" w:rsidP="00DA2300">
            <w:pPr>
              <w:spacing w:line="276" w:lineRule="auto"/>
              <w:rPr>
                <w:sz w:val="22"/>
                <w:szCs w:val="22"/>
              </w:rPr>
            </w:pPr>
            <w:hyperlink r:id="rId21">
              <w:r w:rsidR="00DA2300" w:rsidRPr="00DA2300">
                <w:rPr>
                  <w:rStyle w:val="Hyperlink"/>
                  <w:sz w:val="22"/>
                  <w:szCs w:val="22"/>
                </w:rPr>
                <w:t>High-Scope Perry Preschool Program</w:t>
              </w:r>
            </w:hyperlink>
            <w:hyperlink r:id="rId22">
              <w:r w:rsidR="00DA2300" w:rsidRPr="00DA2300">
                <w:rPr>
                  <w:rStyle w:val="Hyperlink"/>
                  <w:sz w:val="22"/>
                  <w:szCs w:val="22"/>
                </w:rPr>
                <w:t xml:space="preserve"> </w:t>
              </w:r>
            </w:hyperlink>
            <w:r w:rsidR="00DA2300" w:rsidRPr="00DA2300">
              <w:rPr>
                <w:sz w:val="22"/>
                <w:szCs w:val="22"/>
              </w:rPr>
              <w:t xml:space="preserve">(1962-present) and the </w:t>
            </w:r>
            <w:hyperlink r:id="rId23">
              <w:r w:rsidR="00DA2300" w:rsidRPr="00DA2300">
                <w:rPr>
                  <w:rStyle w:val="Hyperlink"/>
                  <w:sz w:val="22"/>
                  <w:szCs w:val="22"/>
                </w:rPr>
                <w:t>Abecedarian Project</w:t>
              </w:r>
            </w:hyperlink>
            <w:r w:rsidR="00DA2300" w:rsidRPr="00DA2300">
              <w:rPr>
                <w:sz w:val="22"/>
                <w:szCs w:val="22"/>
              </w:rPr>
              <w:t xml:space="preserve"> (1972- 2012~)</w:t>
            </w:r>
          </w:p>
        </w:tc>
        <w:tc>
          <w:tcPr>
            <w:tcW w:w="1485" w:type="dxa"/>
            <w:shd w:val="clear" w:color="auto" w:fill="74AA5C"/>
            <w:tcMar>
              <w:top w:w="100" w:type="dxa"/>
              <w:left w:w="100" w:type="dxa"/>
              <w:bottom w:w="100" w:type="dxa"/>
              <w:right w:w="100" w:type="dxa"/>
            </w:tcMar>
          </w:tcPr>
          <w:p w14:paraId="127D5741" w14:textId="77777777" w:rsidR="00DA2300" w:rsidRPr="00DA2300" w:rsidRDefault="00DA2300" w:rsidP="00DA2300">
            <w:pPr>
              <w:spacing w:line="276" w:lineRule="auto"/>
              <w:rPr>
                <w:sz w:val="22"/>
                <w:szCs w:val="22"/>
              </w:rPr>
            </w:pPr>
            <w:r w:rsidRPr="00DA2300">
              <w:rPr>
                <w:sz w:val="22"/>
                <w:szCs w:val="22"/>
              </w:rPr>
              <w:t>United States (</w:t>
            </w:r>
            <w:hyperlink r:id="rId24">
              <w:r w:rsidRPr="00DA2300">
                <w:rPr>
                  <w:rStyle w:val="Hyperlink"/>
                  <w:sz w:val="22"/>
                  <w:szCs w:val="22"/>
                </w:rPr>
                <w:t>Article written</w:t>
              </w:r>
            </w:hyperlink>
            <w:r w:rsidRPr="00DA2300">
              <w:rPr>
                <w:sz w:val="22"/>
                <w:szCs w:val="22"/>
              </w:rPr>
              <w:t xml:space="preserve"> in Australia for them to model after)</w:t>
            </w:r>
          </w:p>
        </w:tc>
        <w:tc>
          <w:tcPr>
            <w:tcW w:w="2970" w:type="dxa"/>
            <w:shd w:val="clear" w:color="auto" w:fill="74AA5C"/>
            <w:tcMar>
              <w:top w:w="100" w:type="dxa"/>
              <w:left w:w="100" w:type="dxa"/>
              <w:bottom w:w="100" w:type="dxa"/>
              <w:right w:w="100" w:type="dxa"/>
            </w:tcMar>
          </w:tcPr>
          <w:p w14:paraId="6D89171A" w14:textId="77777777" w:rsidR="00DA2300" w:rsidRPr="00DA2300" w:rsidRDefault="00DA2300" w:rsidP="00DA2300">
            <w:pPr>
              <w:spacing w:line="276" w:lineRule="auto"/>
              <w:rPr>
                <w:i/>
                <w:sz w:val="22"/>
                <w:szCs w:val="22"/>
              </w:rPr>
            </w:pPr>
            <w:r w:rsidRPr="00DA2300">
              <w:rPr>
                <w:sz w:val="22"/>
                <w:szCs w:val="22"/>
              </w:rPr>
              <w:t>Early educational intervention programs for children from disadvantaged backgrounds conducted in the United States.</w:t>
            </w:r>
          </w:p>
        </w:tc>
        <w:tc>
          <w:tcPr>
            <w:tcW w:w="5490" w:type="dxa"/>
            <w:shd w:val="clear" w:color="auto" w:fill="74AA5C"/>
            <w:tcMar>
              <w:top w:w="100" w:type="dxa"/>
              <w:left w:w="100" w:type="dxa"/>
              <w:bottom w:w="100" w:type="dxa"/>
              <w:right w:w="100" w:type="dxa"/>
            </w:tcMar>
          </w:tcPr>
          <w:p w14:paraId="3F482D04" w14:textId="77777777" w:rsidR="00DA2300" w:rsidRPr="00DA2300" w:rsidRDefault="00DA2300" w:rsidP="00DA2300">
            <w:pPr>
              <w:spacing w:line="276" w:lineRule="auto"/>
              <w:rPr>
                <w:sz w:val="22"/>
                <w:szCs w:val="22"/>
              </w:rPr>
            </w:pPr>
            <w:r w:rsidRPr="00DA2300">
              <w:rPr>
                <w:i/>
                <w:sz w:val="22"/>
                <w:szCs w:val="22"/>
              </w:rPr>
              <w:t xml:space="preserve">Economic: </w:t>
            </w:r>
            <w:r w:rsidRPr="00DA2300">
              <w:rPr>
                <w:sz w:val="22"/>
                <w:szCs w:val="22"/>
              </w:rPr>
              <w:t>Demonstrated long-term (adult) upward mobility in terms of economic advancement (</w:t>
            </w:r>
            <w:proofErr w:type="spellStart"/>
            <w:r w:rsidR="00717449">
              <w:fldChar w:fldCharType="begin"/>
            </w:r>
            <w:r w:rsidR="00717449">
              <w:instrText>HYPERLINK "https://highscope.org/perry-preschool-project/" \h</w:instrText>
            </w:r>
            <w:r w:rsidR="00717449">
              <w:fldChar w:fldCharType="separate"/>
            </w:r>
            <w:r w:rsidRPr="00DA2300">
              <w:rPr>
                <w:rStyle w:val="Hyperlink"/>
                <w:sz w:val="22"/>
                <w:szCs w:val="22"/>
              </w:rPr>
              <w:t>HighScope</w:t>
            </w:r>
            <w:proofErr w:type="spellEnd"/>
            <w:r w:rsidR="00717449">
              <w:rPr>
                <w:rStyle w:val="Hyperlink"/>
                <w:sz w:val="22"/>
                <w:szCs w:val="22"/>
              </w:rPr>
              <w:fldChar w:fldCharType="end"/>
            </w:r>
            <w:r w:rsidRPr="00DA2300">
              <w:rPr>
                <w:sz w:val="22"/>
                <w:szCs w:val="22"/>
              </w:rPr>
              <w:t xml:space="preserve">, </w:t>
            </w:r>
            <w:hyperlink r:id="rId25">
              <w:r w:rsidRPr="00DA2300">
                <w:rPr>
                  <w:rStyle w:val="Hyperlink"/>
                  <w:sz w:val="22"/>
                  <w:szCs w:val="22"/>
                </w:rPr>
                <w:t>The Caroline Abecedarian Project</w:t>
              </w:r>
            </w:hyperlink>
            <w:r w:rsidRPr="00DA2300">
              <w:rPr>
                <w:sz w:val="22"/>
                <w:szCs w:val="22"/>
              </w:rPr>
              <w:t>). Essentially induced Positive Deviance.</w:t>
            </w:r>
          </w:p>
          <w:p w14:paraId="4EF3D3EF" w14:textId="77777777" w:rsidR="00DA2300" w:rsidRPr="00DA2300" w:rsidRDefault="00DA2300" w:rsidP="00DA2300">
            <w:pPr>
              <w:spacing w:line="276" w:lineRule="auto"/>
              <w:rPr>
                <w:i/>
                <w:sz w:val="22"/>
                <w:szCs w:val="22"/>
              </w:rPr>
            </w:pPr>
          </w:p>
          <w:p w14:paraId="7B165DB9" w14:textId="77777777" w:rsidR="00DA2300" w:rsidRPr="00DA2300" w:rsidRDefault="00DA2300" w:rsidP="00DA2300">
            <w:pPr>
              <w:spacing w:line="276" w:lineRule="auto"/>
              <w:rPr>
                <w:sz w:val="22"/>
                <w:szCs w:val="22"/>
              </w:rPr>
            </w:pPr>
            <w:r w:rsidRPr="00DA2300">
              <w:rPr>
                <w:i/>
                <w:sz w:val="22"/>
                <w:szCs w:val="22"/>
              </w:rPr>
              <w:t xml:space="preserve">Behavioral: </w:t>
            </w:r>
            <w:r w:rsidRPr="00DA2300">
              <w:rPr>
                <w:sz w:val="22"/>
                <w:szCs w:val="22"/>
              </w:rPr>
              <w:t>Shows a positive and long-term effect of early environmental enrichment on school achievement, employment outcomes and social behaviors (</w:t>
            </w:r>
            <w:proofErr w:type="spellStart"/>
            <w:r w:rsidR="00717449">
              <w:fldChar w:fldCharType="begin"/>
            </w:r>
            <w:r w:rsidR="00717449">
              <w:instrText>HYPERLINK "https://highscope.org/perry-preschool-project/" \h</w:instrText>
            </w:r>
            <w:r w:rsidR="00717449">
              <w:fldChar w:fldCharType="separate"/>
            </w:r>
            <w:r w:rsidRPr="00DA2300">
              <w:rPr>
                <w:rStyle w:val="Hyperlink"/>
                <w:sz w:val="22"/>
                <w:szCs w:val="22"/>
              </w:rPr>
              <w:t>HighScope</w:t>
            </w:r>
            <w:proofErr w:type="spellEnd"/>
            <w:r w:rsidR="00717449">
              <w:rPr>
                <w:rStyle w:val="Hyperlink"/>
                <w:sz w:val="22"/>
                <w:szCs w:val="22"/>
              </w:rPr>
              <w:fldChar w:fldCharType="end"/>
            </w:r>
            <w:r w:rsidRPr="00DA2300">
              <w:rPr>
                <w:sz w:val="22"/>
                <w:szCs w:val="22"/>
              </w:rPr>
              <w:t xml:space="preserve">, </w:t>
            </w:r>
            <w:hyperlink r:id="rId26">
              <w:r w:rsidRPr="00DA2300">
                <w:rPr>
                  <w:rStyle w:val="Hyperlink"/>
                  <w:sz w:val="22"/>
                  <w:szCs w:val="22"/>
                </w:rPr>
                <w:t>The Caroline Abecedarian Project</w:t>
              </w:r>
            </w:hyperlink>
            <w:r w:rsidRPr="00DA2300">
              <w:rPr>
                <w:sz w:val="22"/>
                <w:szCs w:val="22"/>
              </w:rPr>
              <w:t>).</w:t>
            </w:r>
          </w:p>
        </w:tc>
        <w:tc>
          <w:tcPr>
            <w:tcW w:w="1465" w:type="dxa"/>
            <w:shd w:val="clear" w:color="auto" w:fill="74AA5C"/>
            <w:tcMar>
              <w:top w:w="100" w:type="dxa"/>
              <w:left w:w="100" w:type="dxa"/>
              <w:bottom w:w="100" w:type="dxa"/>
              <w:right w:w="100" w:type="dxa"/>
            </w:tcMar>
          </w:tcPr>
          <w:p w14:paraId="2416839C" w14:textId="77777777" w:rsidR="00DA2300" w:rsidRPr="00DA2300" w:rsidRDefault="00DA2300" w:rsidP="00DA2300">
            <w:pPr>
              <w:spacing w:line="276" w:lineRule="auto"/>
              <w:rPr>
                <w:sz w:val="22"/>
                <w:szCs w:val="22"/>
              </w:rPr>
            </w:pPr>
            <w:r w:rsidRPr="00DA2300">
              <w:rPr>
                <w:rFonts w:ascii="Segoe UI Symbol" w:hAnsi="Segoe UI Symbol" w:cs="Segoe UI Symbol"/>
                <w:sz w:val="22"/>
                <w:szCs w:val="22"/>
              </w:rPr>
              <w:t>★★★★☆</w:t>
            </w:r>
          </w:p>
        </w:tc>
      </w:tr>
      <w:tr w:rsidR="00DA2300" w:rsidRPr="00DA2300" w14:paraId="21F5910A" w14:textId="77777777" w:rsidTr="00AE0940">
        <w:tc>
          <w:tcPr>
            <w:tcW w:w="1440" w:type="dxa"/>
            <w:shd w:val="clear" w:color="auto" w:fill="74AA5C"/>
            <w:tcMar>
              <w:top w:w="100" w:type="dxa"/>
              <w:left w:w="100" w:type="dxa"/>
              <w:bottom w:w="100" w:type="dxa"/>
              <w:right w:w="100" w:type="dxa"/>
            </w:tcMar>
          </w:tcPr>
          <w:p w14:paraId="0788F471" w14:textId="77777777" w:rsidR="00DA2300" w:rsidRPr="00DA2300" w:rsidRDefault="00DA2300" w:rsidP="00DA2300">
            <w:pPr>
              <w:spacing w:line="276" w:lineRule="auto"/>
              <w:rPr>
                <w:sz w:val="22"/>
                <w:szCs w:val="22"/>
              </w:rPr>
            </w:pPr>
            <w:r w:rsidRPr="00DA2300">
              <w:rPr>
                <w:sz w:val="22"/>
                <w:szCs w:val="22"/>
              </w:rPr>
              <w:t>Housing/</w:t>
            </w:r>
          </w:p>
          <w:p w14:paraId="2C163CCA" w14:textId="77777777" w:rsidR="00DA2300" w:rsidRPr="00DA2300" w:rsidRDefault="00DA2300" w:rsidP="00DA2300">
            <w:pPr>
              <w:spacing w:line="276" w:lineRule="auto"/>
              <w:rPr>
                <w:sz w:val="22"/>
                <w:szCs w:val="22"/>
              </w:rPr>
            </w:pPr>
            <w:r w:rsidRPr="00DA2300">
              <w:rPr>
                <w:sz w:val="22"/>
                <w:szCs w:val="22"/>
              </w:rPr>
              <w:t>Children</w:t>
            </w:r>
          </w:p>
        </w:tc>
        <w:tc>
          <w:tcPr>
            <w:tcW w:w="1665" w:type="dxa"/>
            <w:shd w:val="clear" w:color="auto" w:fill="74AA5C"/>
            <w:tcMar>
              <w:top w:w="100" w:type="dxa"/>
              <w:left w:w="100" w:type="dxa"/>
              <w:bottom w:w="100" w:type="dxa"/>
              <w:right w:w="100" w:type="dxa"/>
            </w:tcMar>
          </w:tcPr>
          <w:p w14:paraId="6C26CB86" w14:textId="77777777" w:rsidR="00DA2300" w:rsidRPr="00DA2300" w:rsidRDefault="00717449" w:rsidP="00DA2300">
            <w:pPr>
              <w:spacing w:line="276" w:lineRule="auto"/>
              <w:rPr>
                <w:sz w:val="22"/>
                <w:szCs w:val="22"/>
              </w:rPr>
            </w:pPr>
            <w:hyperlink r:id="rId27">
              <w:proofErr w:type="spellStart"/>
              <w:r w:rsidR="00DA2300" w:rsidRPr="00DA2300">
                <w:rPr>
                  <w:rStyle w:val="Hyperlink"/>
                  <w:sz w:val="22"/>
                  <w:szCs w:val="22"/>
                </w:rPr>
                <w:t>Programa</w:t>
              </w:r>
              <w:proofErr w:type="spellEnd"/>
              <w:r w:rsidR="00DA2300" w:rsidRPr="00DA2300">
                <w:rPr>
                  <w:rStyle w:val="Hyperlink"/>
                  <w:sz w:val="22"/>
                  <w:szCs w:val="22"/>
                </w:rPr>
                <w:t xml:space="preserve"> Bolsa </w:t>
              </w:r>
              <w:proofErr w:type="spellStart"/>
              <w:r w:rsidR="00DA2300" w:rsidRPr="00DA2300">
                <w:rPr>
                  <w:rStyle w:val="Hyperlink"/>
                  <w:sz w:val="22"/>
                  <w:szCs w:val="22"/>
                </w:rPr>
                <w:t>Família</w:t>
              </w:r>
              <w:proofErr w:type="spellEnd"/>
              <w:r w:rsidR="00DA2300" w:rsidRPr="00DA2300">
                <w:rPr>
                  <w:rStyle w:val="Hyperlink"/>
                  <w:sz w:val="22"/>
                  <w:szCs w:val="22"/>
                </w:rPr>
                <w:t xml:space="preserve"> (Family Grant Program)</w:t>
              </w:r>
            </w:hyperlink>
          </w:p>
          <w:p w14:paraId="275AD216" w14:textId="77777777" w:rsidR="00DA2300" w:rsidRPr="00DA2300" w:rsidRDefault="00DA2300" w:rsidP="00DA2300">
            <w:pPr>
              <w:spacing w:line="276" w:lineRule="auto"/>
              <w:rPr>
                <w:sz w:val="22"/>
                <w:szCs w:val="22"/>
              </w:rPr>
            </w:pPr>
            <w:r w:rsidRPr="00DA2300">
              <w:rPr>
                <w:sz w:val="22"/>
                <w:szCs w:val="22"/>
              </w:rPr>
              <w:t>(2003-present)</w:t>
            </w:r>
          </w:p>
        </w:tc>
        <w:tc>
          <w:tcPr>
            <w:tcW w:w="1485" w:type="dxa"/>
            <w:shd w:val="clear" w:color="auto" w:fill="74AA5C"/>
            <w:tcMar>
              <w:top w:w="100" w:type="dxa"/>
              <w:left w:w="100" w:type="dxa"/>
              <w:bottom w:w="100" w:type="dxa"/>
              <w:right w:w="100" w:type="dxa"/>
            </w:tcMar>
          </w:tcPr>
          <w:p w14:paraId="623A59F3" w14:textId="77777777" w:rsidR="00DA2300" w:rsidRPr="00DA2300" w:rsidRDefault="00DA2300" w:rsidP="00DA2300">
            <w:pPr>
              <w:spacing w:line="276" w:lineRule="auto"/>
              <w:rPr>
                <w:sz w:val="22"/>
                <w:szCs w:val="22"/>
              </w:rPr>
            </w:pPr>
            <w:r w:rsidRPr="00DA2300">
              <w:rPr>
                <w:sz w:val="22"/>
                <w:szCs w:val="22"/>
              </w:rPr>
              <w:t>Brazil</w:t>
            </w:r>
          </w:p>
        </w:tc>
        <w:tc>
          <w:tcPr>
            <w:tcW w:w="2970" w:type="dxa"/>
            <w:shd w:val="clear" w:color="auto" w:fill="74AA5C"/>
            <w:tcMar>
              <w:top w:w="100" w:type="dxa"/>
              <w:left w:w="100" w:type="dxa"/>
              <w:bottom w:w="100" w:type="dxa"/>
              <w:right w:w="100" w:type="dxa"/>
            </w:tcMar>
          </w:tcPr>
          <w:p w14:paraId="7399B5D0" w14:textId="77777777" w:rsidR="00DA2300" w:rsidRPr="00DA2300" w:rsidRDefault="00DA2300" w:rsidP="00DA2300">
            <w:pPr>
              <w:spacing w:line="276" w:lineRule="auto"/>
              <w:rPr>
                <w:sz w:val="22"/>
                <w:szCs w:val="22"/>
              </w:rPr>
            </w:pPr>
            <w:r w:rsidRPr="00DA2300">
              <w:rPr>
                <w:sz w:val="22"/>
                <w:szCs w:val="22"/>
              </w:rPr>
              <w:t>Conditional cash transfer (CCT) with behavioral-based conditions such as increasing schooling, bettering health, and eliminating child labor; encourages the accumulation of human capital to increase economic stability.</w:t>
            </w:r>
          </w:p>
        </w:tc>
        <w:tc>
          <w:tcPr>
            <w:tcW w:w="5490" w:type="dxa"/>
            <w:shd w:val="clear" w:color="auto" w:fill="74AA5C"/>
            <w:tcMar>
              <w:top w:w="100" w:type="dxa"/>
              <w:left w:w="100" w:type="dxa"/>
              <w:bottom w:w="100" w:type="dxa"/>
              <w:right w:w="100" w:type="dxa"/>
            </w:tcMar>
          </w:tcPr>
          <w:p w14:paraId="6AE0D409" w14:textId="77777777" w:rsidR="00DA2300" w:rsidRPr="00DA2300" w:rsidRDefault="00DA2300" w:rsidP="00DA2300">
            <w:pPr>
              <w:spacing w:line="276" w:lineRule="auto"/>
              <w:rPr>
                <w:sz w:val="22"/>
                <w:szCs w:val="22"/>
              </w:rPr>
            </w:pPr>
            <w:r w:rsidRPr="00DA2300">
              <w:rPr>
                <w:i/>
                <w:sz w:val="22"/>
                <w:szCs w:val="22"/>
              </w:rPr>
              <w:t>Economic</w:t>
            </w:r>
            <w:r w:rsidRPr="00DA2300">
              <w:rPr>
                <w:sz w:val="22"/>
                <w:szCs w:val="22"/>
              </w:rPr>
              <w:t>: Helped to diminish income inequality within Brazil; between 2001-2004, the lowest 10% of Brazil’s household incomes increased by 23.5% (</w:t>
            </w:r>
            <w:hyperlink r:id="rId28">
              <w:r w:rsidRPr="00DA2300">
                <w:rPr>
                  <w:rStyle w:val="Hyperlink"/>
                  <w:sz w:val="22"/>
                  <w:szCs w:val="22"/>
                </w:rPr>
                <w:t>Hall 2008</w:t>
              </w:r>
            </w:hyperlink>
            <w:r w:rsidRPr="00DA2300">
              <w:rPr>
                <w:sz w:val="22"/>
                <w:szCs w:val="22"/>
              </w:rPr>
              <w:t>); one study found that 35% of the decrease in income inequality in</w:t>
            </w:r>
            <w:r w:rsidRPr="00DA2300">
              <w:rPr>
                <w:b/>
                <w:sz w:val="22"/>
                <w:szCs w:val="22"/>
              </w:rPr>
              <w:t xml:space="preserve"> </w:t>
            </w:r>
            <w:r w:rsidRPr="00DA2300">
              <w:rPr>
                <w:sz w:val="22"/>
                <w:szCs w:val="22"/>
              </w:rPr>
              <w:t xml:space="preserve">Brazil between 2001-2004 is due to Bolsa </w:t>
            </w:r>
            <w:proofErr w:type="spellStart"/>
            <w:r w:rsidRPr="00DA2300">
              <w:rPr>
                <w:sz w:val="22"/>
                <w:szCs w:val="22"/>
              </w:rPr>
              <w:t>Família</w:t>
            </w:r>
            <w:proofErr w:type="spellEnd"/>
            <w:r w:rsidRPr="00DA2300">
              <w:rPr>
                <w:sz w:val="22"/>
                <w:szCs w:val="22"/>
              </w:rPr>
              <w:t xml:space="preserve"> (</w:t>
            </w:r>
            <w:hyperlink r:id="rId29">
              <w:r w:rsidRPr="00DA2300">
                <w:rPr>
                  <w:rStyle w:val="Hyperlink"/>
                  <w:sz w:val="22"/>
                  <w:szCs w:val="22"/>
                </w:rPr>
                <w:t>IPEA 2006</w:t>
              </w:r>
            </w:hyperlink>
            <w:r w:rsidRPr="00DA2300">
              <w:rPr>
                <w:sz w:val="22"/>
                <w:szCs w:val="22"/>
              </w:rPr>
              <w:t>); another study indicated that from 1995-2004, increases in wages and employment were responsible for 78% of the decrease in income inequality (</w:t>
            </w:r>
            <w:hyperlink r:id="rId30">
              <w:r w:rsidRPr="00DA2300">
                <w:rPr>
                  <w:rStyle w:val="Hyperlink"/>
                  <w:sz w:val="22"/>
                  <w:szCs w:val="22"/>
                </w:rPr>
                <w:t>Soares et al. 2006</w:t>
              </w:r>
            </w:hyperlink>
            <w:r w:rsidRPr="00DA2300">
              <w:rPr>
                <w:sz w:val="22"/>
                <w:szCs w:val="22"/>
              </w:rPr>
              <w:t>).</w:t>
            </w:r>
          </w:p>
          <w:p w14:paraId="4E3357A0" w14:textId="77777777" w:rsidR="00DA2300" w:rsidRPr="00DA2300" w:rsidRDefault="00DA2300" w:rsidP="00DA2300">
            <w:pPr>
              <w:spacing w:line="276" w:lineRule="auto"/>
              <w:rPr>
                <w:sz w:val="22"/>
                <w:szCs w:val="22"/>
              </w:rPr>
            </w:pPr>
          </w:p>
          <w:p w14:paraId="22B586CB" w14:textId="77777777" w:rsidR="00DA2300" w:rsidRPr="00DA2300" w:rsidRDefault="00DA2300" w:rsidP="00DA2300">
            <w:pPr>
              <w:spacing w:line="276" w:lineRule="auto"/>
              <w:rPr>
                <w:sz w:val="22"/>
                <w:szCs w:val="22"/>
              </w:rPr>
            </w:pPr>
            <w:r w:rsidRPr="00DA2300">
              <w:rPr>
                <w:i/>
                <w:sz w:val="22"/>
                <w:szCs w:val="22"/>
              </w:rPr>
              <w:t>Behavioral</w:t>
            </w:r>
            <w:r w:rsidRPr="00DA2300">
              <w:rPr>
                <w:sz w:val="22"/>
                <w:szCs w:val="22"/>
              </w:rPr>
              <w:t>: Positive conditional changes (</w:t>
            </w:r>
            <w:hyperlink r:id="rId31">
              <w:r w:rsidRPr="00DA2300">
                <w:rPr>
                  <w:rStyle w:val="Hyperlink"/>
                  <w:sz w:val="22"/>
                  <w:szCs w:val="22"/>
                </w:rPr>
                <w:t>Hall 2008</w:t>
              </w:r>
            </w:hyperlink>
            <w:r w:rsidRPr="00DA2300">
              <w:rPr>
                <w:sz w:val="22"/>
                <w:szCs w:val="22"/>
              </w:rPr>
              <w:t>).</w:t>
            </w:r>
          </w:p>
        </w:tc>
        <w:tc>
          <w:tcPr>
            <w:tcW w:w="1465" w:type="dxa"/>
            <w:shd w:val="clear" w:color="auto" w:fill="74AA5C"/>
            <w:tcMar>
              <w:top w:w="100" w:type="dxa"/>
              <w:left w:w="100" w:type="dxa"/>
              <w:bottom w:w="100" w:type="dxa"/>
              <w:right w:w="100" w:type="dxa"/>
            </w:tcMar>
          </w:tcPr>
          <w:p w14:paraId="2900E247" w14:textId="77777777" w:rsidR="00DA2300" w:rsidRPr="00DA2300" w:rsidRDefault="00DA2300" w:rsidP="00DA2300">
            <w:pPr>
              <w:spacing w:line="276" w:lineRule="auto"/>
              <w:rPr>
                <w:sz w:val="22"/>
                <w:szCs w:val="22"/>
              </w:rPr>
            </w:pPr>
            <w:r w:rsidRPr="00DA2300">
              <w:rPr>
                <w:rFonts w:ascii="Segoe UI Symbol" w:hAnsi="Segoe UI Symbol" w:cs="Segoe UI Symbol"/>
                <w:sz w:val="22"/>
                <w:szCs w:val="22"/>
              </w:rPr>
              <w:t>★★★★☆</w:t>
            </w:r>
          </w:p>
        </w:tc>
      </w:tr>
      <w:tr w:rsidR="00DA2300" w:rsidRPr="00DA2300" w14:paraId="3CD09C39" w14:textId="77777777" w:rsidTr="00AE0940">
        <w:tc>
          <w:tcPr>
            <w:tcW w:w="1440" w:type="dxa"/>
            <w:shd w:val="clear" w:color="auto" w:fill="74AA5C"/>
            <w:tcMar>
              <w:top w:w="100" w:type="dxa"/>
              <w:left w:w="100" w:type="dxa"/>
              <w:bottom w:w="100" w:type="dxa"/>
              <w:right w:w="100" w:type="dxa"/>
            </w:tcMar>
          </w:tcPr>
          <w:p w14:paraId="64C9FEE7" w14:textId="77777777" w:rsidR="00DA2300" w:rsidRPr="00DA2300" w:rsidRDefault="00DA2300" w:rsidP="00DA2300">
            <w:pPr>
              <w:spacing w:line="276" w:lineRule="auto"/>
              <w:rPr>
                <w:sz w:val="22"/>
                <w:szCs w:val="22"/>
              </w:rPr>
            </w:pPr>
            <w:r w:rsidRPr="00DA2300">
              <w:rPr>
                <w:sz w:val="22"/>
                <w:szCs w:val="22"/>
              </w:rPr>
              <w:t>Housing/</w:t>
            </w:r>
          </w:p>
          <w:p w14:paraId="3444CEB1" w14:textId="77777777" w:rsidR="00DA2300" w:rsidRPr="00DA2300" w:rsidRDefault="00DA2300" w:rsidP="00DA2300">
            <w:pPr>
              <w:spacing w:line="276" w:lineRule="auto"/>
              <w:rPr>
                <w:sz w:val="22"/>
                <w:szCs w:val="22"/>
              </w:rPr>
            </w:pPr>
            <w:r w:rsidRPr="00DA2300">
              <w:rPr>
                <w:sz w:val="22"/>
                <w:szCs w:val="22"/>
              </w:rPr>
              <w:t>Children</w:t>
            </w:r>
          </w:p>
          <w:p w14:paraId="4EBA2FEC" w14:textId="77777777" w:rsidR="00DA2300" w:rsidRPr="00DA2300" w:rsidRDefault="00DA2300" w:rsidP="00DA2300">
            <w:pPr>
              <w:spacing w:line="276" w:lineRule="auto"/>
              <w:rPr>
                <w:sz w:val="22"/>
                <w:szCs w:val="22"/>
              </w:rPr>
            </w:pPr>
          </w:p>
          <w:p w14:paraId="57CD3F7C" w14:textId="77777777" w:rsidR="00DA2300" w:rsidRPr="00DA2300" w:rsidRDefault="00DA2300" w:rsidP="00DA2300">
            <w:pPr>
              <w:spacing w:line="276" w:lineRule="auto"/>
              <w:rPr>
                <w:sz w:val="22"/>
                <w:szCs w:val="22"/>
              </w:rPr>
            </w:pPr>
          </w:p>
          <w:p w14:paraId="78094E36" w14:textId="77777777" w:rsidR="00DA2300" w:rsidRPr="00DA2300" w:rsidRDefault="00DA2300" w:rsidP="00DA2300">
            <w:pPr>
              <w:spacing w:line="276" w:lineRule="auto"/>
              <w:rPr>
                <w:sz w:val="22"/>
                <w:szCs w:val="22"/>
              </w:rPr>
            </w:pPr>
          </w:p>
          <w:p w14:paraId="180A697A" w14:textId="77777777" w:rsidR="00DA2300" w:rsidRPr="00DA2300" w:rsidRDefault="00DA2300" w:rsidP="00DA2300">
            <w:pPr>
              <w:spacing w:line="276" w:lineRule="auto"/>
              <w:rPr>
                <w:sz w:val="22"/>
                <w:szCs w:val="22"/>
              </w:rPr>
            </w:pPr>
          </w:p>
          <w:p w14:paraId="627D2A89" w14:textId="77777777" w:rsidR="00DA2300" w:rsidRPr="00DA2300" w:rsidRDefault="00DA2300" w:rsidP="00DA2300">
            <w:pPr>
              <w:spacing w:line="276" w:lineRule="auto"/>
              <w:rPr>
                <w:sz w:val="22"/>
                <w:szCs w:val="22"/>
              </w:rPr>
            </w:pPr>
          </w:p>
          <w:p w14:paraId="76D5B2F7" w14:textId="77777777" w:rsidR="00DA2300" w:rsidRPr="00DA2300" w:rsidRDefault="00DA2300" w:rsidP="00DA2300">
            <w:pPr>
              <w:spacing w:line="276" w:lineRule="auto"/>
              <w:rPr>
                <w:sz w:val="22"/>
                <w:szCs w:val="22"/>
              </w:rPr>
            </w:pPr>
          </w:p>
        </w:tc>
        <w:tc>
          <w:tcPr>
            <w:tcW w:w="1665" w:type="dxa"/>
            <w:shd w:val="clear" w:color="auto" w:fill="74AA5C"/>
            <w:tcMar>
              <w:top w:w="100" w:type="dxa"/>
              <w:left w:w="100" w:type="dxa"/>
              <w:bottom w:w="100" w:type="dxa"/>
              <w:right w:w="100" w:type="dxa"/>
            </w:tcMar>
          </w:tcPr>
          <w:p w14:paraId="7F3FAED4" w14:textId="77777777" w:rsidR="00DA2300" w:rsidRPr="00DA2300" w:rsidRDefault="00717449" w:rsidP="00DA2300">
            <w:pPr>
              <w:spacing w:line="276" w:lineRule="auto"/>
              <w:rPr>
                <w:sz w:val="22"/>
                <w:szCs w:val="22"/>
              </w:rPr>
            </w:pPr>
            <w:hyperlink r:id="rId32">
              <w:r w:rsidR="00DA2300" w:rsidRPr="00DA2300">
                <w:rPr>
                  <w:rStyle w:val="Hyperlink"/>
                  <w:sz w:val="22"/>
                  <w:szCs w:val="22"/>
                </w:rPr>
                <w:t>Child Support Grant</w:t>
              </w:r>
            </w:hyperlink>
          </w:p>
          <w:p w14:paraId="4922FA05" w14:textId="77777777" w:rsidR="00DA2300" w:rsidRPr="00DA2300" w:rsidRDefault="00DA2300" w:rsidP="00DA2300">
            <w:pPr>
              <w:spacing w:line="276" w:lineRule="auto"/>
              <w:rPr>
                <w:sz w:val="22"/>
                <w:szCs w:val="22"/>
              </w:rPr>
            </w:pPr>
            <w:r w:rsidRPr="00DA2300">
              <w:rPr>
                <w:sz w:val="22"/>
                <w:szCs w:val="22"/>
              </w:rPr>
              <w:t>(1998-present)</w:t>
            </w:r>
          </w:p>
          <w:p w14:paraId="5DDE6729" w14:textId="77777777" w:rsidR="00DA2300" w:rsidRPr="00DA2300" w:rsidRDefault="00DA2300" w:rsidP="00DA2300">
            <w:pPr>
              <w:spacing w:line="276" w:lineRule="auto"/>
              <w:rPr>
                <w:sz w:val="22"/>
                <w:szCs w:val="22"/>
              </w:rPr>
            </w:pPr>
          </w:p>
        </w:tc>
        <w:tc>
          <w:tcPr>
            <w:tcW w:w="1485" w:type="dxa"/>
            <w:shd w:val="clear" w:color="auto" w:fill="74AA5C"/>
            <w:tcMar>
              <w:top w:w="100" w:type="dxa"/>
              <w:left w:w="100" w:type="dxa"/>
              <w:bottom w:w="100" w:type="dxa"/>
              <w:right w:w="100" w:type="dxa"/>
            </w:tcMar>
          </w:tcPr>
          <w:p w14:paraId="38286577" w14:textId="77777777" w:rsidR="00DA2300" w:rsidRPr="00DA2300" w:rsidRDefault="00DA2300" w:rsidP="00DA2300">
            <w:pPr>
              <w:spacing w:line="276" w:lineRule="auto"/>
              <w:rPr>
                <w:sz w:val="22"/>
                <w:szCs w:val="22"/>
              </w:rPr>
            </w:pPr>
            <w:r w:rsidRPr="00DA2300">
              <w:rPr>
                <w:sz w:val="22"/>
                <w:szCs w:val="22"/>
              </w:rPr>
              <w:t>South Africa</w:t>
            </w:r>
          </w:p>
        </w:tc>
        <w:tc>
          <w:tcPr>
            <w:tcW w:w="2970" w:type="dxa"/>
            <w:shd w:val="clear" w:color="auto" w:fill="74AA5C"/>
            <w:tcMar>
              <w:top w:w="100" w:type="dxa"/>
              <w:left w:w="100" w:type="dxa"/>
              <w:bottom w:w="100" w:type="dxa"/>
              <w:right w:w="100" w:type="dxa"/>
            </w:tcMar>
          </w:tcPr>
          <w:p w14:paraId="00C94A58" w14:textId="77777777" w:rsidR="00DA2300" w:rsidRPr="00DA2300" w:rsidRDefault="00DA2300" w:rsidP="00DA2300">
            <w:pPr>
              <w:spacing w:line="276" w:lineRule="auto"/>
              <w:rPr>
                <w:sz w:val="22"/>
                <w:szCs w:val="22"/>
              </w:rPr>
            </w:pPr>
            <w:r w:rsidRPr="00DA2300">
              <w:rPr>
                <w:sz w:val="22"/>
                <w:szCs w:val="22"/>
              </w:rPr>
              <w:t xml:space="preserve">Unconditional cash transfer given to the lowest 30% of South Africa’s household incomes; monthly payments allocated to the child through their primary caregiver; </w:t>
            </w:r>
            <w:r w:rsidRPr="00DA2300">
              <w:rPr>
                <w:sz w:val="22"/>
                <w:szCs w:val="22"/>
              </w:rPr>
              <w:lastRenderedPageBreak/>
              <w:t>encourages the accumulation of human capital.</w:t>
            </w:r>
          </w:p>
        </w:tc>
        <w:tc>
          <w:tcPr>
            <w:tcW w:w="5490" w:type="dxa"/>
            <w:shd w:val="clear" w:color="auto" w:fill="74AA5C"/>
            <w:tcMar>
              <w:top w:w="100" w:type="dxa"/>
              <w:left w:w="100" w:type="dxa"/>
              <w:bottom w:w="100" w:type="dxa"/>
              <w:right w:w="100" w:type="dxa"/>
            </w:tcMar>
          </w:tcPr>
          <w:p w14:paraId="4535C9B7" w14:textId="77777777" w:rsidR="00DA2300" w:rsidRPr="00DA2300" w:rsidRDefault="00DA2300" w:rsidP="00DA2300">
            <w:pPr>
              <w:spacing w:line="276" w:lineRule="auto"/>
              <w:rPr>
                <w:sz w:val="22"/>
                <w:szCs w:val="22"/>
              </w:rPr>
            </w:pPr>
            <w:r w:rsidRPr="00DA2300">
              <w:rPr>
                <w:i/>
                <w:sz w:val="22"/>
                <w:szCs w:val="22"/>
              </w:rPr>
              <w:lastRenderedPageBreak/>
              <w:t>Economic</w:t>
            </w:r>
            <w:r w:rsidRPr="00DA2300">
              <w:rPr>
                <w:sz w:val="22"/>
                <w:szCs w:val="22"/>
              </w:rPr>
              <w:t>: Lowered half of South Africa’s food poverty gap (</w:t>
            </w:r>
            <w:hyperlink r:id="rId33">
              <w:r w:rsidRPr="00DA2300">
                <w:rPr>
                  <w:rStyle w:val="Hyperlink"/>
                  <w:sz w:val="22"/>
                  <w:szCs w:val="22"/>
                </w:rPr>
                <w:t>Samson et al. 2016</w:t>
              </w:r>
            </w:hyperlink>
            <w:r w:rsidRPr="00DA2300">
              <w:rPr>
                <w:sz w:val="22"/>
                <w:szCs w:val="22"/>
              </w:rPr>
              <w:t>).</w:t>
            </w:r>
          </w:p>
          <w:p w14:paraId="3B8850B7" w14:textId="77777777" w:rsidR="00DA2300" w:rsidRPr="00DA2300" w:rsidRDefault="00DA2300" w:rsidP="00DA2300">
            <w:pPr>
              <w:spacing w:line="276" w:lineRule="auto"/>
              <w:rPr>
                <w:sz w:val="22"/>
                <w:szCs w:val="22"/>
              </w:rPr>
            </w:pPr>
          </w:p>
          <w:p w14:paraId="778D5C9C" w14:textId="77777777" w:rsidR="00DA2300" w:rsidRPr="00DA2300" w:rsidRDefault="00DA2300" w:rsidP="00DA2300">
            <w:pPr>
              <w:spacing w:line="276" w:lineRule="auto"/>
              <w:rPr>
                <w:sz w:val="22"/>
                <w:szCs w:val="22"/>
              </w:rPr>
            </w:pPr>
            <w:r w:rsidRPr="00DA2300">
              <w:rPr>
                <w:i/>
                <w:sz w:val="22"/>
                <w:szCs w:val="22"/>
              </w:rPr>
              <w:t>Behavioral</w:t>
            </w:r>
            <w:r w:rsidRPr="00DA2300">
              <w:rPr>
                <w:sz w:val="22"/>
                <w:szCs w:val="22"/>
              </w:rPr>
              <w:t>: Increased early life outcomes for infants and children; increased spending on schooling; reduced risky behavior in adolescents (</w:t>
            </w:r>
            <w:hyperlink r:id="rId34">
              <w:r w:rsidRPr="00DA2300">
                <w:rPr>
                  <w:rStyle w:val="Hyperlink"/>
                  <w:sz w:val="22"/>
                  <w:szCs w:val="22"/>
                </w:rPr>
                <w:t>Samson et al. 2016</w:t>
              </w:r>
            </w:hyperlink>
            <w:r w:rsidRPr="00DA2300">
              <w:rPr>
                <w:sz w:val="22"/>
                <w:szCs w:val="22"/>
              </w:rPr>
              <w:t>); clear behavioral changes occurred after the transfer.</w:t>
            </w:r>
          </w:p>
        </w:tc>
        <w:tc>
          <w:tcPr>
            <w:tcW w:w="1465" w:type="dxa"/>
            <w:shd w:val="clear" w:color="auto" w:fill="74AA5C"/>
            <w:tcMar>
              <w:top w:w="100" w:type="dxa"/>
              <w:left w:w="100" w:type="dxa"/>
              <w:bottom w:w="100" w:type="dxa"/>
              <w:right w:w="100" w:type="dxa"/>
            </w:tcMar>
          </w:tcPr>
          <w:p w14:paraId="0526CE9A" w14:textId="77777777" w:rsidR="00DA2300" w:rsidRPr="00DA2300" w:rsidRDefault="00DA2300" w:rsidP="00DA2300">
            <w:pPr>
              <w:spacing w:line="276" w:lineRule="auto"/>
              <w:rPr>
                <w:sz w:val="22"/>
                <w:szCs w:val="22"/>
              </w:rPr>
            </w:pPr>
            <w:r w:rsidRPr="00DA2300">
              <w:rPr>
                <w:rFonts w:ascii="Segoe UI Symbol" w:hAnsi="Segoe UI Symbol" w:cs="Segoe UI Symbol"/>
                <w:sz w:val="22"/>
                <w:szCs w:val="22"/>
              </w:rPr>
              <w:t>★★★★☆</w:t>
            </w:r>
          </w:p>
        </w:tc>
      </w:tr>
      <w:tr w:rsidR="00DA2300" w:rsidRPr="00DA2300" w14:paraId="6ABE829F" w14:textId="77777777" w:rsidTr="00AE0940">
        <w:tc>
          <w:tcPr>
            <w:tcW w:w="1440" w:type="dxa"/>
            <w:shd w:val="clear" w:color="auto" w:fill="74AA5C"/>
            <w:tcMar>
              <w:top w:w="100" w:type="dxa"/>
              <w:left w:w="100" w:type="dxa"/>
              <w:bottom w:w="100" w:type="dxa"/>
              <w:right w:w="100" w:type="dxa"/>
            </w:tcMar>
          </w:tcPr>
          <w:p w14:paraId="2A060BFA" w14:textId="77777777" w:rsidR="00DA2300" w:rsidRPr="00DA2300" w:rsidRDefault="00DA2300" w:rsidP="00DA2300">
            <w:pPr>
              <w:spacing w:line="276" w:lineRule="auto"/>
              <w:rPr>
                <w:sz w:val="22"/>
                <w:szCs w:val="22"/>
              </w:rPr>
            </w:pPr>
            <w:r w:rsidRPr="00DA2300">
              <w:rPr>
                <w:sz w:val="22"/>
                <w:szCs w:val="22"/>
              </w:rPr>
              <w:t>Housing/</w:t>
            </w:r>
          </w:p>
          <w:p w14:paraId="4506446C" w14:textId="77777777" w:rsidR="00DA2300" w:rsidRPr="00DA2300" w:rsidRDefault="00DA2300" w:rsidP="00DA2300">
            <w:pPr>
              <w:spacing w:line="276" w:lineRule="auto"/>
              <w:rPr>
                <w:sz w:val="22"/>
                <w:szCs w:val="22"/>
              </w:rPr>
            </w:pPr>
            <w:r w:rsidRPr="00DA2300">
              <w:rPr>
                <w:sz w:val="22"/>
                <w:szCs w:val="22"/>
              </w:rPr>
              <w:t>Children</w:t>
            </w:r>
          </w:p>
        </w:tc>
        <w:tc>
          <w:tcPr>
            <w:tcW w:w="1665" w:type="dxa"/>
            <w:shd w:val="clear" w:color="auto" w:fill="74AA5C"/>
            <w:tcMar>
              <w:top w:w="100" w:type="dxa"/>
              <w:left w:w="100" w:type="dxa"/>
              <w:bottom w:w="100" w:type="dxa"/>
              <w:right w:w="100" w:type="dxa"/>
            </w:tcMar>
          </w:tcPr>
          <w:p w14:paraId="1C7BAB78" w14:textId="77777777" w:rsidR="00DA2300" w:rsidRPr="00DA2300" w:rsidRDefault="00717449" w:rsidP="00DA2300">
            <w:pPr>
              <w:spacing w:line="276" w:lineRule="auto"/>
              <w:rPr>
                <w:sz w:val="22"/>
                <w:szCs w:val="22"/>
              </w:rPr>
            </w:pPr>
            <w:hyperlink r:id="rId35">
              <w:r w:rsidR="00DA2300" w:rsidRPr="00DA2300">
                <w:rPr>
                  <w:rStyle w:val="Hyperlink"/>
                  <w:sz w:val="22"/>
                  <w:szCs w:val="22"/>
                </w:rPr>
                <w:t>Healthy Homes Initiative</w:t>
              </w:r>
            </w:hyperlink>
          </w:p>
          <w:p w14:paraId="4F6DD1F7" w14:textId="77777777" w:rsidR="00DA2300" w:rsidRPr="00DA2300" w:rsidRDefault="00DA2300" w:rsidP="00DA2300">
            <w:pPr>
              <w:spacing w:line="276" w:lineRule="auto"/>
              <w:rPr>
                <w:sz w:val="22"/>
                <w:szCs w:val="22"/>
              </w:rPr>
            </w:pPr>
            <w:r w:rsidRPr="00DA2300">
              <w:rPr>
                <w:sz w:val="22"/>
                <w:szCs w:val="22"/>
              </w:rPr>
              <w:t>(2013-present)</w:t>
            </w:r>
          </w:p>
        </w:tc>
        <w:tc>
          <w:tcPr>
            <w:tcW w:w="1485" w:type="dxa"/>
            <w:shd w:val="clear" w:color="auto" w:fill="74AA5C"/>
            <w:tcMar>
              <w:top w:w="100" w:type="dxa"/>
              <w:left w:w="100" w:type="dxa"/>
              <w:bottom w:w="100" w:type="dxa"/>
              <w:right w:w="100" w:type="dxa"/>
            </w:tcMar>
          </w:tcPr>
          <w:p w14:paraId="431CD37C" w14:textId="77777777" w:rsidR="00DA2300" w:rsidRPr="00DA2300" w:rsidRDefault="00DA2300" w:rsidP="00DA2300">
            <w:pPr>
              <w:spacing w:line="276" w:lineRule="auto"/>
              <w:rPr>
                <w:sz w:val="22"/>
                <w:szCs w:val="22"/>
              </w:rPr>
            </w:pPr>
            <w:r w:rsidRPr="00DA2300">
              <w:rPr>
                <w:sz w:val="22"/>
                <w:szCs w:val="22"/>
              </w:rPr>
              <w:t>New Zealand</w:t>
            </w:r>
          </w:p>
        </w:tc>
        <w:tc>
          <w:tcPr>
            <w:tcW w:w="2970" w:type="dxa"/>
            <w:shd w:val="clear" w:color="auto" w:fill="74AA5C"/>
            <w:tcMar>
              <w:top w:w="100" w:type="dxa"/>
              <w:left w:w="100" w:type="dxa"/>
              <w:bottom w:w="100" w:type="dxa"/>
              <w:right w:w="100" w:type="dxa"/>
            </w:tcMar>
          </w:tcPr>
          <w:p w14:paraId="43EA2552" w14:textId="77777777" w:rsidR="00DA2300" w:rsidRPr="00DA2300" w:rsidRDefault="00DA2300" w:rsidP="00DA2300">
            <w:pPr>
              <w:spacing w:line="276" w:lineRule="auto"/>
              <w:rPr>
                <w:sz w:val="22"/>
                <w:szCs w:val="22"/>
              </w:rPr>
            </w:pPr>
            <w:r w:rsidRPr="00DA2300">
              <w:rPr>
                <w:sz w:val="22"/>
                <w:szCs w:val="22"/>
              </w:rPr>
              <w:t>Provides healthy housing, directed at low-income families with children prone to illness; expanded to the whole country July 2022.</w:t>
            </w:r>
          </w:p>
        </w:tc>
        <w:tc>
          <w:tcPr>
            <w:tcW w:w="5490" w:type="dxa"/>
            <w:shd w:val="clear" w:color="auto" w:fill="74AA5C"/>
            <w:tcMar>
              <w:top w:w="100" w:type="dxa"/>
              <w:left w:w="100" w:type="dxa"/>
              <w:bottom w:w="100" w:type="dxa"/>
              <w:right w:w="100" w:type="dxa"/>
            </w:tcMar>
          </w:tcPr>
          <w:p w14:paraId="08A69C80" w14:textId="77777777" w:rsidR="00DA2300" w:rsidRPr="00DA2300" w:rsidRDefault="00DA2300" w:rsidP="00DA2300">
            <w:pPr>
              <w:spacing w:line="276" w:lineRule="auto"/>
              <w:rPr>
                <w:sz w:val="22"/>
                <w:szCs w:val="22"/>
              </w:rPr>
            </w:pPr>
            <w:r w:rsidRPr="00DA2300">
              <w:rPr>
                <w:i/>
                <w:sz w:val="22"/>
                <w:szCs w:val="22"/>
              </w:rPr>
              <w:t xml:space="preserve">Economic: </w:t>
            </w:r>
            <w:r w:rsidRPr="00DA2300">
              <w:rPr>
                <w:sz w:val="22"/>
                <w:szCs w:val="22"/>
              </w:rPr>
              <w:t>Prevented hospitalizations avoided an estimated $6.3 million in medical costs (</w:t>
            </w:r>
            <w:hyperlink r:id="rId36">
              <w:r w:rsidRPr="00DA2300">
                <w:rPr>
                  <w:rStyle w:val="Hyperlink"/>
                  <w:sz w:val="22"/>
                  <w:szCs w:val="22"/>
                </w:rPr>
                <w:t>Pierse, White, and Riggs 2019</w:t>
              </w:r>
            </w:hyperlink>
            <w:r w:rsidRPr="00DA2300">
              <w:rPr>
                <w:sz w:val="22"/>
                <w:szCs w:val="22"/>
              </w:rPr>
              <w:t>).</w:t>
            </w:r>
          </w:p>
          <w:p w14:paraId="7ACE8894" w14:textId="77777777" w:rsidR="00DA2300" w:rsidRPr="00DA2300" w:rsidRDefault="00DA2300" w:rsidP="00DA2300">
            <w:pPr>
              <w:spacing w:line="276" w:lineRule="auto"/>
              <w:rPr>
                <w:b/>
                <w:sz w:val="22"/>
                <w:szCs w:val="22"/>
              </w:rPr>
            </w:pPr>
          </w:p>
          <w:p w14:paraId="605A8ACD" w14:textId="77777777" w:rsidR="00DA2300" w:rsidRPr="00DA2300" w:rsidRDefault="00DA2300" w:rsidP="00DA2300">
            <w:pPr>
              <w:spacing w:line="276" w:lineRule="auto"/>
              <w:rPr>
                <w:sz w:val="22"/>
                <w:szCs w:val="22"/>
              </w:rPr>
            </w:pPr>
            <w:r w:rsidRPr="00DA2300">
              <w:rPr>
                <w:i/>
                <w:sz w:val="22"/>
                <w:szCs w:val="22"/>
              </w:rPr>
              <w:t>Behavioral</w:t>
            </w:r>
            <w:r w:rsidRPr="00DA2300">
              <w:rPr>
                <w:sz w:val="22"/>
                <w:szCs w:val="22"/>
              </w:rPr>
              <w:t>:</w:t>
            </w:r>
            <w:r w:rsidRPr="00DA2300">
              <w:rPr>
                <w:b/>
                <w:sz w:val="22"/>
                <w:szCs w:val="22"/>
              </w:rPr>
              <w:t xml:space="preserve"> </w:t>
            </w:r>
            <w:r w:rsidRPr="00DA2300">
              <w:rPr>
                <w:sz w:val="22"/>
                <w:szCs w:val="22"/>
              </w:rPr>
              <w:t>Assessment concluded that policy improved the overall quality of the population’s homes by improving children’s health (</w:t>
            </w:r>
            <w:proofErr w:type="spellStart"/>
            <w:r w:rsidR="00717449">
              <w:fldChar w:fldCharType="begin"/>
            </w:r>
            <w:r w:rsidR="00717449">
              <w:instrText>HYPERLINK "https://www.health.govt.nz/system/files/documents/publications/healthy-homes-initiative-evaluation-apr-2018.pdf" \h</w:instrText>
            </w:r>
            <w:r w:rsidR="00717449">
              <w:fldChar w:fldCharType="separate"/>
            </w:r>
            <w:r w:rsidRPr="00DA2300">
              <w:rPr>
                <w:rStyle w:val="Hyperlink"/>
                <w:sz w:val="22"/>
                <w:szCs w:val="22"/>
              </w:rPr>
              <w:t>Allen+Clarke</w:t>
            </w:r>
            <w:proofErr w:type="spellEnd"/>
            <w:r w:rsidRPr="00DA2300">
              <w:rPr>
                <w:rStyle w:val="Hyperlink"/>
                <w:sz w:val="22"/>
                <w:szCs w:val="22"/>
              </w:rPr>
              <w:t xml:space="preserve"> 2018</w:t>
            </w:r>
            <w:r w:rsidR="00717449">
              <w:rPr>
                <w:rStyle w:val="Hyperlink"/>
                <w:sz w:val="22"/>
                <w:szCs w:val="22"/>
              </w:rPr>
              <w:fldChar w:fldCharType="end"/>
            </w:r>
            <w:r w:rsidRPr="00DA2300">
              <w:rPr>
                <w:sz w:val="22"/>
                <w:szCs w:val="22"/>
              </w:rPr>
              <w:t xml:space="preserve">). </w:t>
            </w:r>
          </w:p>
        </w:tc>
        <w:tc>
          <w:tcPr>
            <w:tcW w:w="1465" w:type="dxa"/>
            <w:shd w:val="clear" w:color="auto" w:fill="74AA5C"/>
            <w:tcMar>
              <w:top w:w="100" w:type="dxa"/>
              <w:left w:w="100" w:type="dxa"/>
              <w:bottom w:w="100" w:type="dxa"/>
              <w:right w:w="100" w:type="dxa"/>
            </w:tcMar>
          </w:tcPr>
          <w:p w14:paraId="0C8BD030" w14:textId="77777777" w:rsidR="00DA2300" w:rsidRPr="00DA2300" w:rsidRDefault="00DA2300" w:rsidP="00DA2300">
            <w:pPr>
              <w:spacing w:line="276" w:lineRule="auto"/>
              <w:rPr>
                <w:sz w:val="22"/>
                <w:szCs w:val="22"/>
              </w:rPr>
            </w:pPr>
            <w:r w:rsidRPr="00DA2300">
              <w:rPr>
                <w:rFonts w:ascii="Segoe UI Symbol" w:hAnsi="Segoe UI Symbol" w:cs="Segoe UI Symbol"/>
                <w:sz w:val="22"/>
                <w:szCs w:val="22"/>
              </w:rPr>
              <w:t>★★★★</w:t>
            </w:r>
          </w:p>
        </w:tc>
      </w:tr>
      <w:tr w:rsidR="00DA2300" w:rsidRPr="00DA2300" w14:paraId="2CACFD93" w14:textId="77777777" w:rsidTr="00AE0940">
        <w:trPr>
          <w:trHeight w:val="522"/>
        </w:trPr>
        <w:tc>
          <w:tcPr>
            <w:tcW w:w="1440" w:type="dxa"/>
            <w:shd w:val="clear" w:color="auto" w:fill="74AA5C"/>
            <w:tcMar>
              <w:top w:w="100" w:type="dxa"/>
              <w:left w:w="100" w:type="dxa"/>
              <w:bottom w:w="100" w:type="dxa"/>
              <w:right w:w="100" w:type="dxa"/>
            </w:tcMar>
          </w:tcPr>
          <w:p w14:paraId="29A60F04" w14:textId="77777777" w:rsidR="00DA2300" w:rsidRPr="00DA2300" w:rsidRDefault="00DA2300" w:rsidP="00DA2300">
            <w:pPr>
              <w:spacing w:line="276" w:lineRule="auto"/>
              <w:rPr>
                <w:sz w:val="22"/>
                <w:szCs w:val="22"/>
              </w:rPr>
            </w:pPr>
            <w:r w:rsidRPr="00DA2300">
              <w:rPr>
                <w:sz w:val="22"/>
                <w:szCs w:val="22"/>
              </w:rPr>
              <w:t>Employment</w:t>
            </w:r>
          </w:p>
        </w:tc>
        <w:tc>
          <w:tcPr>
            <w:tcW w:w="1665" w:type="dxa"/>
            <w:shd w:val="clear" w:color="auto" w:fill="74AA5C"/>
            <w:tcMar>
              <w:top w:w="100" w:type="dxa"/>
              <w:left w:w="100" w:type="dxa"/>
              <w:bottom w:w="100" w:type="dxa"/>
              <w:right w:w="100" w:type="dxa"/>
            </w:tcMar>
          </w:tcPr>
          <w:p w14:paraId="629ACC97" w14:textId="77777777" w:rsidR="00DA2300" w:rsidRPr="00DA2300" w:rsidRDefault="00717449" w:rsidP="00DA2300">
            <w:pPr>
              <w:spacing w:line="276" w:lineRule="auto"/>
              <w:rPr>
                <w:sz w:val="22"/>
                <w:szCs w:val="22"/>
              </w:rPr>
            </w:pPr>
            <w:hyperlink r:id="rId37">
              <w:r w:rsidR="00DA2300" w:rsidRPr="00DA2300">
                <w:rPr>
                  <w:rStyle w:val="Hyperlink"/>
                  <w:sz w:val="22"/>
                  <w:szCs w:val="22"/>
                </w:rPr>
                <w:t>Program of helping job seekers</w:t>
              </w:r>
            </w:hyperlink>
            <w:r w:rsidR="00DA2300" w:rsidRPr="00DA2300">
              <w:rPr>
                <w:sz w:val="22"/>
                <w:szCs w:val="22"/>
              </w:rPr>
              <w:t>*</w:t>
            </w:r>
          </w:p>
          <w:p w14:paraId="67A7A946" w14:textId="77777777" w:rsidR="00DA2300" w:rsidRPr="00DA2300" w:rsidRDefault="00DA2300" w:rsidP="00DA2300">
            <w:pPr>
              <w:spacing w:line="276" w:lineRule="auto"/>
              <w:rPr>
                <w:sz w:val="22"/>
                <w:szCs w:val="22"/>
              </w:rPr>
            </w:pPr>
            <w:r w:rsidRPr="00DA2300">
              <w:rPr>
                <w:sz w:val="22"/>
                <w:szCs w:val="22"/>
              </w:rPr>
              <w:t>(2013-2014)</w:t>
            </w:r>
          </w:p>
          <w:p w14:paraId="2615DC44" w14:textId="32DAF0F4" w:rsidR="00DA2300" w:rsidRPr="00DA2300" w:rsidRDefault="00DA2300" w:rsidP="00DA2300">
            <w:pPr>
              <w:spacing w:line="276" w:lineRule="auto"/>
              <w:rPr>
                <w:sz w:val="22"/>
                <w:szCs w:val="22"/>
              </w:rPr>
            </w:pPr>
            <w:r w:rsidRPr="00DA2300">
              <w:rPr>
                <w:sz w:val="22"/>
                <w:szCs w:val="22"/>
              </w:rPr>
              <w:br/>
            </w:r>
          </w:p>
        </w:tc>
        <w:tc>
          <w:tcPr>
            <w:tcW w:w="1485" w:type="dxa"/>
            <w:shd w:val="clear" w:color="auto" w:fill="74AA5C"/>
            <w:tcMar>
              <w:top w:w="100" w:type="dxa"/>
              <w:left w:w="100" w:type="dxa"/>
              <w:bottom w:w="100" w:type="dxa"/>
              <w:right w:w="100" w:type="dxa"/>
            </w:tcMar>
          </w:tcPr>
          <w:p w14:paraId="2FAFDD84" w14:textId="77777777" w:rsidR="00DA2300" w:rsidRPr="00DA2300" w:rsidRDefault="00DA2300" w:rsidP="00DA2300">
            <w:pPr>
              <w:spacing w:line="276" w:lineRule="auto"/>
              <w:rPr>
                <w:sz w:val="22"/>
                <w:szCs w:val="22"/>
              </w:rPr>
            </w:pPr>
            <w:r w:rsidRPr="00DA2300">
              <w:rPr>
                <w:sz w:val="22"/>
                <w:szCs w:val="22"/>
              </w:rPr>
              <w:t>Singapore</w:t>
            </w:r>
          </w:p>
        </w:tc>
        <w:tc>
          <w:tcPr>
            <w:tcW w:w="2970" w:type="dxa"/>
            <w:shd w:val="clear" w:color="auto" w:fill="74AA5C"/>
            <w:tcMar>
              <w:top w:w="100" w:type="dxa"/>
              <w:left w:w="100" w:type="dxa"/>
              <w:bottom w:w="100" w:type="dxa"/>
              <w:right w:w="100" w:type="dxa"/>
            </w:tcMar>
          </w:tcPr>
          <w:p w14:paraId="08D1EF5E" w14:textId="77777777" w:rsidR="00DA2300" w:rsidRPr="00DA2300" w:rsidRDefault="00DA2300" w:rsidP="00DA2300">
            <w:pPr>
              <w:spacing w:line="276" w:lineRule="auto"/>
              <w:rPr>
                <w:sz w:val="22"/>
                <w:szCs w:val="22"/>
              </w:rPr>
            </w:pPr>
            <w:r w:rsidRPr="00DA2300">
              <w:rPr>
                <w:sz w:val="22"/>
                <w:szCs w:val="22"/>
              </w:rPr>
              <w:t xml:space="preserve">Helps job seekers find employment and increases the job placement rate of the Workforce Development </w:t>
            </w:r>
            <w:proofErr w:type="spellStart"/>
            <w:r w:rsidRPr="00DA2300">
              <w:rPr>
                <w:sz w:val="22"/>
                <w:szCs w:val="22"/>
              </w:rPr>
              <w:t>Authority’s</w:t>
            </w:r>
            <w:proofErr w:type="spellEnd"/>
            <w:r w:rsidRPr="00DA2300">
              <w:rPr>
                <w:sz w:val="22"/>
                <w:szCs w:val="22"/>
              </w:rPr>
              <w:t xml:space="preserve"> of career center** (Ministry of Manpower, Singapore)</w:t>
            </w:r>
          </w:p>
          <w:p w14:paraId="78D89787" w14:textId="77777777" w:rsidR="00DA2300" w:rsidRPr="00DA2300" w:rsidRDefault="00DA2300" w:rsidP="00DA2300">
            <w:pPr>
              <w:spacing w:line="276" w:lineRule="auto"/>
              <w:rPr>
                <w:sz w:val="22"/>
                <w:szCs w:val="22"/>
              </w:rPr>
            </w:pPr>
          </w:p>
          <w:p w14:paraId="283A0098" w14:textId="1DEB7E91" w:rsidR="00DA2300" w:rsidRPr="00DA2300" w:rsidRDefault="00DA2300" w:rsidP="00DA2300">
            <w:pPr>
              <w:spacing w:line="276" w:lineRule="auto"/>
              <w:rPr>
                <w:sz w:val="22"/>
                <w:szCs w:val="22"/>
              </w:rPr>
            </w:pPr>
          </w:p>
        </w:tc>
        <w:tc>
          <w:tcPr>
            <w:tcW w:w="5490" w:type="dxa"/>
            <w:shd w:val="clear" w:color="auto" w:fill="74AA5C"/>
            <w:tcMar>
              <w:top w:w="100" w:type="dxa"/>
              <w:left w:w="100" w:type="dxa"/>
              <w:bottom w:w="100" w:type="dxa"/>
              <w:right w:w="100" w:type="dxa"/>
            </w:tcMar>
          </w:tcPr>
          <w:p w14:paraId="54358615" w14:textId="77777777" w:rsidR="00DA2300" w:rsidRPr="00DA2300" w:rsidRDefault="00DA2300" w:rsidP="00DA2300">
            <w:pPr>
              <w:spacing w:line="276" w:lineRule="auto"/>
              <w:rPr>
                <w:sz w:val="22"/>
                <w:szCs w:val="22"/>
              </w:rPr>
            </w:pPr>
            <w:r w:rsidRPr="00DA2300">
              <w:rPr>
                <w:i/>
                <w:sz w:val="22"/>
                <w:szCs w:val="22"/>
              </w:rPr>
              <w:t>Economic</w:t>
            </w:r>
            <w:r w:rsidRPr="00DA2300">
              <w:rPr>
                <w:sz w:val="22"/>
                <w:szCs w:val="22"/>
              </w:rPr>
              <w:t xml:space="preserve">: Three months after visiting the career </w:t>
            </w:r>
            <w:proofErr w:type="spellStart"/>
            <w:r w:rsidRPr="00DA2300">
              <w:rPr>
                <w:sz w:val="22"/>
                <w:szCs w:val="22"/>
              </w:rPr>
              <w:t>centres</w:t>
            </w:r>
            <w:proofErr w:type="spellEnd"/>
            <w:r w:rsidRPr="00DA2300">
              <w:rPr>
                <w:sz w:val="22"/>
                <w:szCs w:val="22"/>
              </w:rPr>
              <w:t>, 49% of job seekers who had gone through the program found work–compared to 32% of those who had experienced the normal existing employment facilitation process (</w:t>
            </w:r>
            <w:hyperlink r:id="rId38" w:anchor="page4">
              <w:r w:rsidRPr="00DA2300">
                <w:rPr>
                  <w:rStyle w:val="Hyperlink"/>
                  <w:sz w:val="22"/>
                  <w:szCs w:val="22"/>
                </w:rPr>
                <w:t>OECD, 2017</w:t>
              </w:r>
            </w:hyperlink>
            <w:r w:rsidRPr="00DA2300">
              <w:rPr>
                <w:sz w:val="22"/>
                <w:szCs w:val="22"/>
              </w:rPr>
              <w:t>).</w:t>
            </w:r>
          </w:p>
          <w:p w14:paraId="2465BCAE" w14:textId="77777777" w:rsidR="00DA2300" w:rsidRPr="00DA2300" w:rsidRDefault="00DA2300" w:rsidP="00DA2300">
            <w:pPr>
              <w:spacing w:line="276" w:lineRule="auto"/>
              <w:rPr>
                <w:sz w:val="22"/>
                <w:szCs w:val="22"/>
              </w:rPr>
            </w:pPr>
          </w:p>
          <w:p w14:paraId="732FDBA9" w14:textId="77777777" w:rsidR="00DA2300" w:rsidRDefault="00DA2300" w:rsidP="00DA2300">
            <w:pPr>
              <w:spacing w:line="276" w:lineRule="auto"/>
              <w:rPr>
                <w:sz w:val="22"/>
                <w:szCs w:val="22"/>
              </w:rPr>
            </w:pPr>
            <w:r w:rsidRPr="00DA2300">
              <w:rPr>
                <w:i/>
                <w:sz w:val="22"/>
                <w:szCs w:val="22"/>
              </w:rPr>
              <w:t>Behavioral</w:t>
            </w:r>
            <w:r w:rsidRPr="00DA2300">
              <w:rPr>
                <w:sz w:val="22"/>
                <w:szCs w:val="22"/>
              </w:rPr>
              <w:t>: The program motivated job seekers to take greater ownership of their search process, reframing activities in the job search to make the job search manageable, increasing morale, and assisting job seekers to set more realistic job expectations is effective in helping more people to find work (</w:t>
            </w:r>
            <w:hyperlink r:id="rId39" w:anchor="page4">
              <w:r w:rsidRPr="00DA2300">
                <w:rPr>
                  <w:rStyle w:val="Hyperlink"/>
                  <w:sz w:val="22"/>
                  <w:szCs w:val="22"/>
                </w:rPr>
                <w:t>OECD, 2017</w:t>
              </w:r>
            </w:hyperlink>
            <w:r w:rsidRPr="00DA2300">
              <w:rPr>
                <w:sz w:val="22"/>
                <w:szCs w:val="22"/>
              </w:rPr>
              <w:t>).</w:t>
            </w:r>
          </w:p>
          <w:p w14:paraId="4EB006DA" w14:textId="77777777" w:rsidR="00DA2300" w:rsidRDefault="00DA2300" w:rsidP="00DA2300">
            <w:pPr>
              <w:spacing w:line="276" w:lineRule="auto"/>
              <w:rPr>
                <w:sz w:val="22"/>
                <w:szCs w:val="22"/>
              </w:rPr>
            </w:pPr>
          </w:p>
          <w:p w14:paraId="0A708FD7" w14:textId="77777777" w:rsidR="00DA2300" w:rsidRDefault="00DA2300" w:rsidP="00DA2300">
            <w:pPr>
              <w:spacing w:line="276" w:lineRule="auto"/>
              <w:rPr>
                <w:sz w:val="22"/>
                <w:szCs w:val="22"/>
              </w:rPr>
            </w:pPr>
            <w:r w:rsidRPr="00DA2300">
              <w:rPr>
                <w:sz w:val="22"/>
                <w:szCs w:val="22"/>
              </w:rPr>
              <w:t>*</w:t>
            </w:r>
            <w:proofErr w:type="gramStart"/>
            <w:r w:rsidRPr="00DA2300">
              <w:rPr>
                <w:sz w:val="22"/>
                <w:szCs w:val="22"/>
              </w:rPr>
              <w:t>the</w:t>
            </w:r>
            <w:proofErr w:type="gramEnd"/>
            <w:r w:rsidRPr="00DA2300">
              <w:rPr>
                <w:sz w:val="22"/>
                <w:szCs w:val="22"/>
              </w:rPr>
              <w:t xml:space="preserve"> organization that implemented the program was reconstructed and a similar program is provided by the </w:t>
            </w:r>
            <w:proofErr w:type="spellStart"/>
            <w:r w:rsidRPr="00DA2300">
              <w:rPr>
                <w:sz w:val="22"/>
                <w:szCs w:val="22"/>
              </w:rPr>
              <w:t>the</w:t>
            </w:r>
            <w:proofErr w:type="spellEnd"/>
            <w:r w:rsidRPr="00DA2300">
              <w:rPr>
                <w:sz w:val="22"/>
                <w:szCs w:val="22"/>
              </w:rPr>
              <w:t xml:space="preserve"> current Workforce Singapore, under Ministry of Manpower, Singapore </w:t>
            </w:r>
          </w:p>
          <w:p w14:paraId="22A2E7CB" w14:textId="77777777" w:rsidR="00DA2300" w:rsidRDefault="00DA2300" w:rsidP="00DA2300">
            <w:pPr>
              <w:spacing w:line="276" w:lineRule="auto"/>
              <w:rPr>
                <w:sz w:val="22"/>
                <w:szCs w:val="22"/>
              </w:rPr>
            </w:pPr>
          </w:p>
          <w:p w14:paraId="6E042C03" w14:textId="1B4AE0E8" w:rsidR="00DA2300" w:rsidRPr="00DA2300" w:rsidRDefault="00DA2300" w:rsidP="00DA2300">
            <w:pPr>
              <w:spacing w:line="276" w:lineRule="auto"/>
              <w:rPr>
                <w:sz w:val="22"/>
                <w:szCs w:val="22"/>
              </w:rPr>
            </w:pPr>
            <w:r w:rsidRPr="00DA2300">
              <w:rPr>
                <w:sz w:val="22"/>
                <w:szCs w:val="22"/>
              </w:rPr>
              <w:t xml:space="preserve">**In the program, job seekers in the treatment group of </w:t>
            </w:r>
            <w:proofErr w:type="gramStart"/>
            <w:r w:rsidRPr="00DA2300">
              <w:rPr>
                <w:sz w:val="22"/>
                <w:szCs w:val="22"/>
              </w:rPr>
              <w:t>program</w:t>
            </w:r>
            <w:proofErr w:type="gramEnd"/>
            <w:r w:rsidRPr="00DA2300">
              <w:rPr>
                <w:sz w:val="22"/>
                <w:szCs w:val="22"/>
              </w:rPr>
              <w:t xml:space="preserve"> received frequent career advice service and they had to commit to take ownership to work out their job search plan</w:t>
            </w:r>
            <w:r w:rsidRPr="00DA2300">
              <w:rPr>
                <w:sz w:val="22"/>
                <w:szCs w:val="22"/>
              </w:rPr>
              <w:br/>
            </w:r>
            <w:r w:rsidRPr="00DA2300">
              <w:rPr>
                <w:sz w:val="22"/>
                <w:szCs w:val="22"/>
              </w:rPr>
              <w:lastRenderedPageBreak/>
              <w:t>(sample of 777 job seekers are randomly assigned to the treatment group and the control group. Control group experienced normal existing employment facilitation process)</w:t>
            </w:r>
          </w:p>
        </w:tc>
        <w:tc>
          <w:tcPr>
            <w:tcW w:w="1465" w:type="dxa"/>
            <w:shd w:val="clear" w:color="auto" w:fill="74AA5C"/>
            <w:tcMar>
              <w:top w:w="100" w:type="dxa"/>
              <w:left w:w="100" w:type="dxa"/>
              <w:bottom w:w="100" w:type="dxa"/>
              <w:right w:w="100" w:type="dxa"/>
            </w:tcMar>
          </w:tcPr>
          <w:p w14:paraId="31194FE6" w14:textId="77777777" w:rsidR="00DA2300" w:rsidRPr="00DA2300" w:rsidRDefault="00DA2300" w:rsidP="00DA2300">
            <w:pPr>
              <w:spacing w:line="276" w:lineRule="auto"/>
              <w:rPr>
                <w:sz w:val="22"/>
                <w:szCs w:val="22"/>
              </w:rPr>
            </w:pPr>
            <w:r w:rsidRPr="00DA2300">
              <w:rPr>
                <w:rFonts w:ascii="Segoe UI Symbol" w:hAnsi="Segoe UI Symbol" w:cs="Segoe UI Symbol"/>
                <w:sz w:val="22"/>
                <w:szCs w:val="22"/>
              </w:rPr>
              <w:lastRenderedPageBreak/>
              <w:t>★★★★</w:t>
            </w:r>
          </w:p>
          <w:p w14:paraId="331AF81B" w14:textId="77777777" w:rsidR="00DA2300" w:rsidRPr="00DA2300" w:rsidRDefault="00DA2300" w:rsidP="00DA2300">
            <w:pPr>
              <w:spacing w:line="276" w:lineRule="auto"/>
              <w:rPr>
                <w:sz w:val="22"/>
                <w:szCs w:val="22"/>
              </w:rPr>
            </w:pPr>
          </w:p>
        </w:tc>
      </w:tr>
      <w:tr w:rsidR="00DA2300" w:rsidRPr="00DA2300" w14:paraId="2002DD07" w14:textId="77777777" w:rsidTr="00AE0940">
        <w:trPr>
          <w:trHeight w:val="522"/>
        </w:trPr>
        <w:tc>
          <w:tcPr>
            <w:tcW w:w="1440" w:type="dxa"/>
            <w:shd w:val="clear" w:color="auto" w:fill="74AA5C"/>
            <w:tcMar>
              <w:top w:w="100" w:type="dxa"/>
              <w:left w:w="100" w:type="dxa"/>
              <w:bottom w:w="100" w:type="dxa"/>
              <w:right w:w="100" w:type="dxa"/>
            </w:tcMar>
          </w:tcPr>
          <w:p w14:paraId="0388BB1C" w14:textId="77777777" w:rsidR="00DA2300" w:rsidRPr="00DA2300" w:rsidRDefault="00DA2300" w:rsidP="00DA2300">
            <w:pPr>
              <w:spacing w:line="276" w:lineRule="auto"/>
              <w:rPr>
                <w:sz w:val="22"/>
                <w:szCs w:val="22"/>
              </w:rPr>
            </w:pPr>
            <w:r w:rsidRPr="00DA2300">
              <w:rPr>
                <w:sz w:val="22"/>
                <w:szCs w:val="22"/>
              </w:rPr>
              <w:t>Employment</w:t>
            </w:r>
          </w:p>
        </w:tc>
        <w:tc>
          <w:tcPr>
            <w:tcW w:w="1665" w:type="dxa"/>
            <w:shd w:val="clear" w:color="auto" w:fill="74AA5C"/>
            <w:tcMar>
              <w:top w:w="100" w:type="dxa"/>
              <w:left w:w="100" w:type="dxa"/>
              <w:bottom w:w="100" w:type="dxa"/>
              <w:right w:w="100" w:type="dxa"/>
            </w:tcMar>
          </w:tcPr>
          <w:p w14:paraId="2F7ED852" w14:textId="77777777" w:rsidR="00DA2300" w:rsidRPr="00DA2300" w:rsidRDefault="00717449" w:rsidP="00DA2300">
            <w:pPr>
              <w:spacing w:line="276" w:lineRule="auto"/>
              <w:rPr>
                <w:sz w:val="22"/>
                <w:szCs w:val="22"/>
              </w:rPr>
            </w:pPr>
            <w:hyperlink r:id="rId40">
              <w:r w:rsidR="00DA2300" w:rsidRPr="00DA2300">
                <w:rPr>
                  <w:rStyle w:val="Hyperlink"/>
                  <w:sz w:val="22"/>
                  <w:szCs w:val="22"/>
                </w:rPr>
                <w:t xml:space="preserve">Year Up </w:t>
              </w:r>
              <w:proofErr w:type="spellStart"/>
              <w:r w:rsidR="00DA2300" w:rsidRPr="00DA2300">
                <w:rPr>
                  <w:rStyle w:val="Hyperlink"/>
                  <w:sz w:val="22"/>
                  <w:szCs w:val="22"/>
                </w:rPr>
                <w:t>programme</w:t>
              </w:r>
              <w:proofErr w:type="spellEnd"/>
            </w:hyperlink>
            <w:r w:rsidR="00DA2300" w:rsidRPr="00DA2300">
              <w:rPr>
                <w:sz w:val="22"/>
                <w:szCs w:val="22"/>
              </w:rPr>
              <w:t xml:space="preserve"> </w:t>
            </w:r>
          </w:p>
          <w:p w14:paraId="303D8FA4" w14:textId="77777777" w:rsidR="00DA2300" w:rsidRPr="00DA2300" w:rsidRDefault="00DA2300" w:rsidP="00DA2300">
            <w:pPr>
              <w:spacing w:line="276" w:lineRule="auto"/>
              <w:rPr>
                <w:sz w:val="22"/>
                <w:szCs w:val="22"/>
              </w:rPr>
            </w:pPr>
            <w:r w:rsidRPr="00DA2300">
              <w:rPr>
                <w:sz w:val="22"/>
                <w:szCs w:val="22"/>
              </w:rPr>
              <w:t>(2007-present)</w:t>
            </w:r>
          </w:p>
        </w:tc>
        <w:tc>
          <w:tcPr>
            <w:tcW w:w="1485" w:type="dxa"/>
            <w:shd w:val="clear" w:color="auto" w:fill="74AA5C"/>
            <w:tcMar>
              <w:top w:w="100" w:type="dxa"/>
              <w:left w:w="100" w:type="dxa"/>
              <w:bottom w:w="100" w:type="dxa"/>
              <w:right w:w="100" w:type="dxa"/>
            </w:tcMar>
          </w:tcPr>
          <w:p w14:paraId="44BC55DA" w14:textId="77777777" w:rsidR="00DA2300" w:rsidRPr="00DA2300" w:rsidRDefault="00DA2300" w:rsidP="00DA2300">
            <w:pPr>
              <w:spacing w:line="276" w:lineRule="auto"/>
              <w:rPr>
                <w:sz w:val="22"/>
                <w:szCs w:val="22"/>
              </w:rPr>
            </w:pPr>
            <w:r w:rsidRPr="00DA2300">
              <w:rPr>
                <w:sz w:val="22"/>
                <w:szCs w:val="22"/>
              </w:rPr>
              <w:t>United States</w:t>
            </w:r>
          </w:p>
        </w:tc>
        <w:tc>
          <w:tcPr>
            <w:tcW w:w="2970" w:type="dxa"/>
            <w:shd w:val="clear" w:color="auto" w:fill="74AA5C"/>
            <w:tcMar>
              <w:top w:w="100" w:type="dxa"/>
              <w:left w:w="100" w:type="dxa"/>
              <w:bottom w:w="100" w:type="dxa"/>
              <w:right w:w="100" w:type="dxa"/>
            </w:tcMar>
          </w:tcPr>
          <w:p w14:paraId="08366CC8" w14:textId="6A9C0DC7" w:rsidR="00DA2300" w:rsidRPr="00DA2300" w:rsidRDefault="00DA2300" w:rsidP="00DA2300">
            <w:pPr>
              <w:spacing w:line="276" w:lineRule="auto"/>
              <w:rPr>
                <w:sz w:val="22"/>
                <w:szCs w:val="22"/>
              </w:rPr>
            </w:pPr>
            <w:r w:rsidRPr="00DA2300">
              <w:rPr>
                <w:sz w:val="22"/>
                <w:szCs w:val="22"/>
              </w:rPr>
              <w:t xml:space="preserve">Post-secondary education in association with companies for disadvantaged youth. </w:t>
            </w:r>
          </w:p>
        </w:tc>
        <w:tc>
          <w:tcPr>
            <w:tcW w:w="5490" w:type="dxa"/>
            <w:shd w:val="clear" w:color="auto" w:fill="74AA5C"/>
            <w:tcMar>
              <w:top w:w="100" w:type="dxa"/>
              <w:left w:w="100" w:type="dxa"/>
              <w:bottom w:w="100" w:type="dxa"/>
              <w:right w:w="100" w:type="dxa"/>
            </w:tcMar>
          </w:tcPr>
          <w:p w14:paraId="702A5B3E" w14:textId="77777777" w:rsidR="00DA2300" w:rsidRDefault="00DA2300" w:rsidP="00DA2300">
            <w:pPr>
              <w:spacing w:line="276" w:lineRule="auto"/>
              <w:rPr>
                <w:sz w:val="22"/>
                <w:szCs w:val="22"/>
              </w:rPr>
            </w:pPr>
            <w:r w:rsidRPr="00DA2300">
              <w:rPr>
                <w:sz w:val="22"/>
                <w:szCs w:val="22"/>
              </w:rPr>
              <w:t xml:space="preserve">Financial incentives for employers to create apprenticeship places for disadvantaged youth, to make the school-work transition smoother. $24,562 was invested in each participant, all between 18-24 years old and from </w:t>
            </w:r>
            <w:proofErr w:type="gramStart"/>
            <w:r w:rsidRPr="00DA2300">
              <w:rPr>
                <w:sz w:val="22"/>
                <w:szCs w:val="22"/>
              </w:rPr>
              <w:t>low income</w:t>
            </w:r>
            <w:proofErr w:type="gramEnd"/>
            <w:r w:rsidRPr="00DA2300">
              <w:rPr>
                <w:sz w:val="22"/>
                <w:szCs w:val="22"/>
              </w:rPr>
              <w:t xml:space="preserve"> urban communities. Of the 195 people enrolled in the study, 135 were randomly selected to be in the treatment group and were invited to take part in the program, and 60 were selected to be in the control group.</w:t>
            </w:r>
          </w:p>
          <w:p w14:paraId="7A9D1E1C" w14:textId="77777777" w:rsidR="00DA2300" w:rsidRDefault="00DA2300" w:rsidP="00DA2300">
            <w:pPr>
              <w:spacing w:line="276" w:lineRule="auto"/>
              <w:rPr>
                <w:sz w:val="22"/>
                <w:szCs w:val="22"/>
              </w:rPr>
            </w:pPr>
          </w:p>
          <w:p w14:paraId="2AF7ED4E" w14:textId="23FB4BF1" w:rsidR="00DA2300" w:rsidRPr="00DA2300" w:rsidRDefault="00DA2300" w:rsidP="00DA2300">
            <w:pPr>
              <w:spacing w:line="276" w:lineRule="auto"/>
              <w:rPr>
                <w:sz w:val="22"/>
                <w:szCs w:val="22"/>
              </w:rPr>
            </w:pPr>
            <w:r w:rsidRPr="00DA2300">
              <w:rPr>
                <w:i/>
                <w:sz w:val="22"/>
                <w:szCs w:val="22"/>
              </w:rPr>
              <w:t>Economic</w:t>
            </w:r>
            <w:r w:rsidRPr="00DA2300">
              <w:rPr>
                <w:sz w:val="22"/>
                <w:szCs w:val="22"/>
              </w:rPr>
              <w:t>: 3 years after the program the participants had 30% higher annual revenues. Due to Year Up participants’ ability to obtain jobs with higher wages (</w:t>
            </w:r>
            <w:proofErr w:type="spellStart"/>
            <w:r w:rsidR="00717449">
              <w:fldChar w:fldCharType="begin"/>
            </w:r>
            <w:r w:rsidR="00717449">
              <w:instrText>HYPERLINK "https://economicmobilitycorp.org/wp-content/uploads/2018/01/Sustained-Gains-Summary.pdf" \h</w:instrText>
            </w:r>
            <w:r w:rsidR="00717449">
              <w:fldChar w:fldCharType="separate"/>
            </w:r>
            <w:r w:rsidRPr="00DA2300">
              <w:rPr>
                <w:rStyle w:val="Hyperlink"/>
                <w:sz w:val="22"/>
                <w:szCs w:val="22"/>
              </w:rPr>
              <w:t>Roder</w:t>
            </w:r>
            <w:proofErr w:type="spellEnd"/>
            <w:r w:rsidRPr="00DA2300">
              <w:rPr>
                <w:rStyle w:val="Hyperlink"/>
                <w:sz w:val="22"/>
                <w:szCs w:val="22"/>
              </w:rPr>
              <w:t xml:space="preserve"> &amp; Elliot 2014</w:t>
            </w:r>
            <w:r w:rsidR="00717449">
              <w:rPr>
                <w:rStyle w:val="Hyperlink"/>
                <w:sz w:val="22"/>
                <w:szCs w:val="22"/>
              </w:rPr>
              <w:fldChar w:fldCharType="end"/>
            </w:r>
            <w:r w:rsidRPr="00DA2300">
              <w:rPr>
                <w:sz w:val="22"/>
                <w:szCs w:val="22"/>
              </w:rPr>
              <w:t>).</w:t>
            </w:r>
          </w:p>
          <w:p w14:paraId="0457891B" w14:textId="77777777" w:rsidR="00DA2300" w:rsidRPr="00DA2300" w:rsidRDefault="00DA2300" w:rsidP="00DA2300">
            <w:pPr>
              <w:spacing w:line="276" w:lineRule="auto"/>
              <w:rPr>
                <w:sz w:val="22"/>
                <w:szCs w:val="22"/>
              </w:rPr>
            </w:pPr>
          </w:p>
          <w:p w14:paraId="2D337407" w14:textId="77777777" w:rsidR="00DA2300" w:rsidRPr="00DA2300" w:rsidRDefault="00DA2300" w:rsidP="00DA2300">
            <w:pPr>
              <w:spacing w:line="276" w:lineRule="auto"/>
              <w:rPr>
                <w:sz w:val="22"/>
                <w:szCs w:val="22"/>
              </w:rPr>
            </w:pPr>
            <w:r w:rsidRPr="00DA2300">
              <w:rPr>
                <w:i/>
                <w:sz w:val="22"/>
                <w:szCs w:val="22"/>
              </w:rPr>
              <w:t xml:space="preserve">Behavioral: </w:t>
            </w:r>
            <w:r w:rsidRPr="00DA2300">
              <w:rPr>
                <w:sz w:val="22"/>
                <w:szCs w:val="22"/>
              </w:rPr>
              <w:t>All but one Year Up participants had worked at some time during the four years after random assignment. Year Up participants were also more likely to hold one job during the four-year period (</w:t>
            </w:r>
            <w:proofErr w:type="spellStart"/>
            <w:r w:rsidR="00717449">
              <w:fldChar w:fldCharType="begin"/>
            </w:r>
            <w:r w:rsidR="00717449">
              <w:instrText>HYPERLINK "https://economicmobilitycorp.org/wp-content/uploads/2018/01/Sustained-Gains-Summary.pdf" \h</w:instrText>
            </w:r>
            <w:r w:rsidR="00717449">
              <w:fldChar w:fldCharType="separate"/>
            </w:r>
            <w:r w:rsidRPr="00DA2300">
              <w:rPr>
                <w:rStyle w:val="Hyperlink"/>
                <w:sz w:val="22"/>
                <w:szCs w:val="22"/>
              </w:rPr>
              <w:t>Roder</w:t>
            </w:r>
            <w:proofErr w:type="spellEnd"/>
            <w:r w:rsidRPr="00DA2300">
              <w:rPr>
                <w:rStyle w:val="Hyperlink"/>
                <w:sz w:val="22"/>
                <w:szCs w:val="22"/>
              </w:rPr>
              <w:t xml:space="preserve"> &amp; Elliot 2014</w:t>
            </w:r>
            <w:r w:rsidR="00717449">
              <w:rPr>
                <w:rStyle w:val="Hyperlink"/>
                <w:sz w:val="22"/>
                <w:szCs w:val="22"/>
              </w:rPr>
              <w:fldChar w:fldCharType="end"/>
            </w:r>
            <w:r w:rsidRPr="00DA2300">
              <w:rPr>
                <w:sz w:val="22"/>
                <w:szCs w:val="22"/>
              </w:rPr>
              <w:t xml:space="preserve">). </w:t>
            </w:r>
          </w:p>
          <w:p w14:paraId="29F6F242" w14:textId="77777777" w:rsidR="00DA2300" w:rsidRPr="00DA2300" w:rsidRDefault="00DA2300" w:rsidP="00DA2300">
            <w:pPr>
              <w:spacing w:line="276" w:lineRule="auto"/>
              <w:rPr>
                <w:sz w:val="22"/>
                <w:szCs w:val="22"/>
              </w:rPr>
            </w:pPr>
          </w:p>
        </w:tc>
        <w:tc>
          <w:tcPr>
            <w:tcW w:w="1465" w:type="dxa"/>
            <w:shd w:val="clear" w:color="auto" w:fill="74AA5C"/>
            <w:tcMar>
              <w:top w:w="100" w:type="dxa"/>
              <w:left w:w="100" w:type="dxa"/>
              <w:bottom w:w="100" w:type="dxa"/>
              <w:right w:w="100" w:type="dxa"/>
            </w:tcMar>
          </w:tcPr>
          <w:p w14:paraId="01B88CEC" w14:textId="77777777" w:rsidR="00DA2300" w:rsidRPr="00DA2300" w:rsidRDefault="00DA2300" w:rsidP="00DA2300">
            <w:pPr>
              <w:spacing w:line="276" w:lineRule="auto"/>
              <w:rPr>
                <w:sz w:val="22"/>
                <w:szCs w:val="22"/>
              </w:rPr>
            </w:pPr>
            <w:r w:rsidRPr="00DA2300">
              <w:rPr>
                <w:rFonts w:ascii="Segoe UI Symbol" w:hAnsi="Segoe UI Symbol" w:cs="Segoe UI Symbol"/>
                <w:sz w:val="22"/>
                <w:szCs w:val="22"/>
              </w:rPr>
              <w:t>★★★</w:t>
            </w:r>
          </w:p>
        </w:tc>
      </w:tr>
      <w:tr w:rsidR="00DA2300" w:rsidRPr="00DA2300" w14:paraId="09D291C0" w14:textId="77777777" w:rsidTr="00AE0940">
        <w:tc>
          <w:tcPr>
            <w:tcW w:w="1440" w:type="dxa"/>
            <w:shd w:val="clear" w:color="auto" w:fill="74AA5C"/>
            <w:tcMar>
              <w:top w:w="100" w:type="dxa"/>
              <w:left w:w="100" w:type="dxa"/>
              <w:bottom w:w="100" w:type="dxa"/>
              <w:right w:w="100" w:type="dxa"/>
            </w:tcMar>
          </w:tcPr>
          <w:p w14:paraId="28E61E3A" w14:textId="77777777" w:rsidR="00DA2300" w:rsidRPr="00DA2300" w:rsidRDefault="00DA2300" w:rsidP="00DA2300">
            <w:pPr>
              <w:spacing w:line="276" w:lineRule="auto"/>
              <w:rPr>
                <w:sz w:val="22"/>
                <w:szCs w:val="22"/>
              </w:rPr>
            </w:pPr>
            <w:r w:rsidRPr="00DA2300">
              <w:rPr>
                <w:sz w:val="22"/>
                <w:szCs w:val="22"/>
              </w:rPr>
              <w:t>Federal Allowances</w:t>
            </w:r>
          </w:p>
        </w:tc>
        <w:tc>
          <w:tcPr>
            <w:tcW w:w="1665" w:type="dxa"/>
            <w:shd w:val="clear" w:color="auto" w:fill="74AA5C"/>
            <w:tcMar>
              <w:top w:w="100" w:type="dxa"/>
              <w:left w:w="100" w:type="dxa"/>
              <w:bottom w:w="100" w:type="dxa"/>
              <w:right w:w="100" w:type="dxa"/>
            </w:tcMar>
          </w:tcPr>
          <w:p w14:paraId="1F2268E5" w14:textId="77777777" w:rsidR="00DA2300" w:rsidRPr="00DA2300" w:rsidRDefault="00717449" w:rsidP="00DA2300">
            <w:pPr>
              <w:spacing w:line="276" w:lineRule="auto"/>
              <w:rPr>
                <w:sz w:val="22"/>
                <w:szCs w:val="22"/>
              </w:rPr>
            </w:pPr>
            <w:hyperlink r:id="rId41">
              <w:r w:rsidR="00DA2300" w:rsidRPr="00DA2300">
                <w:rPr>
                  <w:rStyle w:val="Hyperlink"/>
                  <w:sz w:val="22"/>
                  <w:szCs w:val="22"/>
                </w:rPr>
                <w:t>World Bank’s Japan Social Development Fund (JSDF)</w:t>
              </w:r>
            </w:hyperlink>
          </w:p>
          <w:p w14:paraId="061EDA28" w14:textId="77777777" w:rsidR="00DA2300" w:rsidRPr="00DA2300" w:rsidRDefault="00DA2300" w:rsidP="00DA2300">
            <w:pPr>
              <w:spacing w:line="276" w:lineRule="auto"/>
              <w:rPr>
                <w:sz w:val="22"/>
                <w:szCs w:val="22"/>
              </w:rPr>
            </w:pPr>
            <w:r w:rsidRPr="00DA2300">
              <w:rPr>
                <w:sz w:val="22"/>
                <w:szCs w:val="22"/>
              </w:rPr>
              <w:t>(2021)</w:t>
            </w:r>
          </w:p>
        </w:tc>
        <w:tc>
          <w:tcPr>
            <w:tcW w:w="1485" w:type="dxa"/>
            <w:shd w:val="clear" w:color="auto" w:fill="74AA5C"/>
            <w:tcMar>
              <w:top w:w="100" w:type="dxa"/>
              <w:left w:w="100" w:type="dxa"/>
              <w:bottom w:w="100" w:type="dxa"/>
              <w:right w:w="100" w:type="dxa"/>
            </w:tcMar>
          </w:tcPr>
          <w:p w14:paraId="68A3F683" w14:textId="77777777" w:rsidR="00DA2300" w:rsidRPr="00DA2300" w:rsidRDefault="00DA2300" w:rsidP="00DA2300">
            <w:pPr>
              <w:spacing w:line="276" w:lineRule="auto"/>
              <w:rPr>
                <w:sz w:val="22"/>
                <w:szCs w:val="22"/>
              </w:rPr>
            </w:pPr>
            <w:r w:rsidRPr="00DA2300">
              <w:rPr>
                <w:sz w:val="22"/>
                <w:szCs w:val="22"/>
              </w:rPr>
              <w:t>Japan (through NGO)</w:t>
            </w:r>
          </w:p>
        </w:tc>
        <w:tc>
          <w:tcPr>
            <w:tcW w:w="2970" w:type="dxa"/>
            <w:shd w:val="clear" w:color="auto" w:fill="74AA5C"/>
            <w:tcMar>
              <w:top w:w="100" w:type="dxa"/>
              <w:left w:w="100" w:type="dxa"/>
              <w:bottom w:w="100" w:type="dxa"/>
              <w:right w:w="100" w:type="dxa"/>
            </w:tcMar>
          </w:tcPr>
          <w:p w14:paraId="7534F274" w14:textId="77777777" w:rsidR="00DA2300" w:rsidRPr="00DA2300" w:rsidRDefault="00DA2300" w:rsidP="00DA2300">
            <w:pPr>
              <w:spacing w:line="276" w:lineRule="auto"/>
              <w:rPr>
                <w:sz w:val="22"/>
                <w:szCs w:val="22"/>
              </w:rPr>
            </w:pPr>
            <w:r w:rsidRPr="00DA2300">
              <w:rPr>
                <w:sz w:val="22"/>
                <w:szCs w:val="22"/>
              </w:rPr>
              <w:t xml:space="preserve">This is a partnership between the World Bank and the Japanese government which serves as a grant system to assist vulnerable groups during the Asian financial crisis of the 1990s. These grants are given to fund community-driven </w:t>
            </w:r>
            <w:r w:rsidRPr="00DA2300">
              <w:rPr>
                <w:sz w:val="22"/>
                <w:szCs w:val="22"/>
              </w:rPr>
              <w:lastRenderedPageBreak/>
              <w:t xml:space="preserve">development projects as well as poverty reduction projects. </w:t>
            </w:r>
          </w:p>
          <w:p w14:paraId="0B463771" w14:textId="77777777" w:rsidR="00DA2300" w:rsidRPr="00DA2300" w:rsidRDefault="00DA2300" w:rsidP="00DA2300">
            <w:pPr>
              <w:spacing w:line="276" w:lineRule="auto"/>
              <w:rPr>
                <w:sz w:val="22"/>
                <w:szCs w:val="22"/>
              </w:rPr>
            </w:pPr>
          </w:p>
        </w:tc>
        <w:tc>
          <w:tcPr>
            <w:tcW w:w="5490" w:type="dxa"/>
            <w:shd w:val="clear" w:color="auto" w:fill="74AA5C"/>
            <w:tcMar>
              <w:top w:w="100" w:type="dxa"/>
              <w:left w:w="100" w:type="dxa"/>
              <w:bottom w:w="100" w:type="dxa"/>
              <w:right w:w="100" w:type="dxa"/>
            </w:tcMar>
          </w:tcPr>
          <w:p w14:paraId="1FC9A1BA" w14:textId="77777777" w:rsidR="00DA2300" w:rsidRPr="00DA2300" w:rsidRDefault="00DA2300" w:rsidP="00DA2300">
            <w:pPr>
              <w:spacing w:line="276" w:lineRule="auto"/>
              <w:rPr>
                <w:sz w:val="22"/>
                <w:szCs w:val="22"/>
              </w:rPr>
            </w:pPr>
            <w:r w:rsidRPr="00DA2300">
              <w:rPr>
                <w:i/>
                <w:sz w:val="22"/>
                <w:szCs w:val="22"/>
              </w:rPr>
              <w:lastRenderedPageBreak/>
              <w:t xml:space="preserve">Economic: </w:t>
            </w:r>
            <w:r w:rsidRPr="00DA2300">
              <w:rPr>
                <w:sz w:val="22"/>
                <w:szCs w:val="22"/>
              </w:rPr>
              <w:t xml:space="preserve">With over 786 projects since its creation in June 2021, the JSDF has become a vessel of support for innovation and for the mitigation of social poverty. 50% of these grants were set in place by Civil Society Organizations and 93 low and lower-middle income World Bank affiliated countries have been positively impacted by this initiative. In addition, the JSDF supported the initiation and overall approach of the National Solidarity Program </w:t>
            </w:r>
            <w:r w:rsidRPr="00DA2300">
              <w:rPr>
                <w:sz w:val="22"/>
                <w:szCs w:val="22"/>
              </w:rPr>
              <w:lastRenderedPageBreak/>
              <w:t xml:space="preserve">which successfully improved the quality of life of three large rural communities. </w:t>
            </w:r>
          </w:p>
          <w:p w14:paraId="154E0E7A" w14:textId="77777777" w:rsidR="00DA2300" w:rsidRPr="00DA2300" w:rsidRDefault="00DA2300" w:rsidP="00DA2300">
            <w:pPr>
              <w:spacing w:line="276" w:lineRule="auto"/>
              <w:rPr>
                <w:sz w:val="22"/>
                <w:szCs w:val="22"/>
              </w:rPr>
            </w:pPr>
            <w:r w:rsidRPr="00DA2300">
              <w:rPr>
                <w:sz w:val="22"/>
                <w:szCs w:val="22"/>
              </w:rPr>
              <w:t>(</w:t>
            </w:r>
            <w:hyperlink r:id="rId42">
              <w:r w:rsidRPr="00DA2300">
                <w:rPr>
                  <w:rStyle w:val="Hyperlink"/>
                  <w:sz w:val="22"/>
                  <w:szCs w:val="22"/>
                </w:rPr>
                <w:t xml:space="preserve">Special Window for Afghanistan 2007). </w:t>
              </w:r>
            </w:hyperlink>
          </w:p>
          <w:p w14:paraId="6E8E10BF" w14:textId="77777777" w:rsidR="00DA2300" w:rsidRPr="00DA2300" w:rsidRDefault="00DA2300" w:rsidP="00DA2300">
            <w:pPr>
              <w:spacing w:line="276" w:lineRule="auto"/>
              <w:rPr>
                <w:i/>
                <w:sz w:val="22"/>
                <w:szCs w:val="22"/>
              </w:rPr>
            </w:pPr>
          </w:p>
          <w:p w14:paraId="5B255297" w14:textId="77777777" w:rsidR="00DA2300" w:rsidRPr="00DA2300" w:rsidRDefault="00DA2300" w:rsidP="00DA2300">
            <w:pPr>
              <w:spacing w:line="276" w:lineRule="auto"/>
              <w:rPr>
                <w:sz w:val="22"/>
                <w:szCs w:val="22"/>
              </w:rPr>
            </w:pPr>
            <w:r w:rsidRPr="00DA2300">
              <w:rPr>
                <w:i/>
                <w:sz w:val="22"/>
                <w:szCs w:val="22"/>
              </w:rPr>
              <w:t xml:space="preserve">Behavioral: </w:t>
            </w:r>
            <w:r w:rsidRPr="00DA2300">
              <w:rPr>
                <w:sz w:val="22"/>
                <w:szCs w:val="22"/>
              </w:rPr>
              <w:t>This initiative has been claimed to support the improvement of social development and overall livelihood (</w:t>
            </w:r>
            <w:hyperlink r:id="rId43">
              <w:r w:rsidRPr="00DA2300">
                <w:rPr>
                  <w:rStyle w:val="Hyperlink"/>
                  <w:sz w:val="22"/>
                  <w:szCs w:val="22"/>
                </w:rPr>
                <w:t>Japan Social Development Fund (JSDF) Washington, D.C. : World Bank Group 2008</w:t>
              </w:r>
            </w:hyperlink>
            <w:r w:rsidRPr="00DA2300">
              <w:rPr>
                <w:sz w:val="22"/>
                <w:szCs w:val="22"/>
              </w:rPr>
              <w:t>).</w:t>
            </w:r>
          </w:p>
        </w:tc>
        <w:tc>
          <w:tcPr>
            <w:tcW w:w="1465" w:type="dxa"/>
            <w:shd w:val="clear" w:color="auto" w:fill="74AA5C"/>
            <w:tcMar>
              <w:top w:w="100" w:type="dxa"/>
              <w:left w:w="100" w:type="dxa"/>
              <w:bottom w:w="100" w:type="dxa"/>
              <w:right w:w="100" w:type="dxa"/>
            </w:tcMar>
          </w:tcPr>
          <w:p w14:paraId="41DE5794" w14:textId="77777777" w:rsidR="00DA2300" w:rsidRPr="00DA2300" w:rsidRDefault="00DA2300" w:rsidP="00DA2300">
            <w:pPr>
              <w:spacing w:line="276" w:lineRule="auto"/>
              <w:rPr>
                <w:sz w:val="22"/>
                <w:szCs w:val="22"/>
              </w:rPr>
            </w:pPr>
            <w:r w:rsidRPr="00DA2300">
              <w:rPr>
                <w:rFonts w:ascii="Segoe UI Symbol" w:hAnsi="Segoe UI Symbol" w:cs="Segoe UI Symbol"/>
                <w:sz w:val="22"/>
                <w:szCs w:val="22"/>
              </w:rPr>
              <w:lastRenderedPageBreak/>
              <w:t>★★★</w:t>
            </w:r>
          </w:p>
        </w:tc>
      </w:tr>
      <w:tr w:rsidR="00DA2300" w:rsidRPr="00DA2300" w14:paraId="5C01D972" w14:textId="77777777" w:rsidTr="00AE0940">
        <w:trPr>
          <w:trHeight w:val="1401"/>
        </w:trPr>
        <w:tc>
          <w:tcPr>
            <w:tcW w:w="1440" w:type="dxa"/>
            <w:shd w:val="clear" w:color="auto" w:fill="D9EAD3"/>
            <w:tcMar>
              <w:top w:w="100" w:type="dxa"/>
              <w:left w:w="100" w:type="dxa"/>
              <w:bottom w:w="100" w:type="dxa"/>
              <w:right w:w="100" w:type="dxa"/>
            </w:tcMar>
          </w:tcPr>
          <w:p w14:paraId="6E2E2314" w14:textId="77777777" w:rsidR="00DA2300" w:rsidRPr="00DA2300" w:rsidRDefault="00DA2300" w:rsidP="00DA2300">
            <w:pPr>
              <w:spacing w:line="276" w:lineRule="auto"/>
              <w:rPr>
                <w:sz w:val="22"/>
                <w:szCs w:val="22"/>
              </w:rPr>
            </w:pPr>
            <w:r w:rsidRPr="00DA2300">
              <w:rPr>
                <w:sz w:val="22"/>
                <w:szCs w:val="22"/>
              </w:rPr>
              <w:t>Federal Allowances</w:t>
            </w:r>
          </w:p>
        </w:tc>
        <w:tc>
          <w:tcPr>
            <w:tcW w:w="1665" w:type="dxa"/>
            <w:shd w:val="clear" w:color="auto" w:fill="D9EAD3"/>
            <w:tcMar>
              <w:top w:w="100" w:type="dxa"/>
              <w:left w:w="100" w:type="dxa"/>
              <w:bottom w:w="100" w:type="dxa"/>
              <w:right w:w="100" w:type="dxa"/>
            </w:tcMar>
          </w:tcPr>
          <w:p w14:paraId="7B04962C" w14:textId="77777777" w:rsidR="00DA2300" w:rsidRPr="00DA2300" w:rsidRDefault="00717449" w:rsidP="00DA2300">
            <w:pPr>
              <w:spacing w:line="276" w:lineRule="auto"/>
              <w:rPr>
                <w:sz w:val="22"/>
                <w:szCs w:val="22"/>
              </w:rPr>
            </w:pPr>
            <w:hyperlink r:id="rId44">
              <w:r w:rsidR="00DA2300" w:rsidRPr="00DA2300">
                <w:rPr>
                  <w:rStyle w:val="Hyperlink"/>
                  <w:sz w:val="22"/>
                  <w:szCs w:val="22"/>
                </w:rPr>
                <w:t>Provincial Growth Fund</w:t>
              </w:r>
            </w:hyperlink>
          </w:p>
          <w:p w14:paraId="7A020300" w14:textId="77777777" w:rsidR="00DA2300" w:rsidRPr="00DA2300" w:rsidRDefault="00DA2300" w:rsidP="00DA2300">
            <w:pPr>
              <w:spacing w:line="276" w:lineRule="auto"/>
              <w:rPr>
                <w:sz w:val="22"/>
                <w:szCs w:val="22"/>
              </w:rPr>
            </w:pPr>
            <w:r w:rsidRPr="00DA2300">
              <w:rPr>
                <w:sz w:val="22"/>
                <w:szCs w:val="22"/>
              </w:rPr>
              <w:t>(2018-present)</w:t>
            </w:r>
          </w:p>
        </w:tc>
        <w:tc>
          <w:tcPr>
            <w:tcW w:w="1485" w:type="dxa"/>
            <w:shd w:val="clear" w:color="auto" w:fill="D9EAD3"/>
            <w:tcMar>
              <w:top w:w="100" w:type="dxa"/>
              <w:left w:w="100" w:type="dxa"/>
              <w:bottom w:w="100" w:type="dxa"/>
              <w:right w:w="100" w:type="dxa"/>
            </w:tcMar>
          </w:tcPr>
          <w:p w14:paraId="3A3A224B" w14:textId="77777777" w:rsidR="00DA2300" w:rsidRPr="00DA2300" w:rsidRDefault="00DA2300" w:rsidP="00DA2300">
            <w:pPr>
              <w:spacing w:line="276" w:lineRule="auto"/>
              <w:rPr>
                <w:sz w:val="22"/>
                <w:szCs w:val="22"/>
              </w:rPr>
            </w:pPr>
            <w:r w:rsidRPr="00DA2300">
              <w:rPr>
                <w:sz w:val="22"/>
                <w:szCs w:val="22"/>
              </w:rPr>
              <w:t>New Zealand</w:t>
            </w:r>
          </w:p>
        </w:tc>
        <w:tc>
          <w:tcPr>
            <w:tcW w:w="2970" w:type="dxa"/>
            <w:shd w:val="clear" w:color="auto" w:fill="D9EAD3"/>
            <w:tcMar>
              <w:top w:w="100" w:type="dxa"/>
              <w:left w:w="100" w:type="dxa"/>
              <w:bottom w:w="100" w:type="dxa"/>
              <w:right w:w="100" w:type="dxa"/>
            </w:tcMar>
          </w:tcPr>
          <w:p w14:paraId="6342647F" w14:textId="77777777" w:rsidR="00DA2300" w:rsidRPr="00DA2300" w:rsidRDefault="00DA2300" w:rsidP="00DA2300">
            <w:pPr>
              <w:spacing w:line="276" w:lineRule="auto"/>
              <w:rPr>
                <w:sz w:val="22"/>
                <w:szCs w:val="22"/>
              </w:rPr>
            </w:pPr>
            <w:r w:rsidRPr="00DA2300">
              <w:rPr>
                <w:sz w:val="22"/>
                <w:szCs w:val="22"/>
              </w:rPr>
              <w:t>Funds approved for projects/businesses to create jobs and increase economic growth in “surge” regions.</w:t>
            </w:r>
          </w:p>
        </w:tc>
        <w:tc>
          <w:tcPr>
            <w:tcW w:w="5490" w:type="dxa"/>
            <w:shd w:val="clear" w:color="auto" w:fill="D9EAD3"/>
            <w:tcMar>
              <w:top w:w="100" w:type="dxa"/>
              <w:left w:w="100" w:type="dxa"/>
              <w:bottom w:w="100" w:type="dxa"/>
              <w:right w:w="100" w:type="dxa"/>
            </w:tcMar>
          </w:tcPr>
          <w:p w14:paraId="05164065" w14:textId="77777777" w:rsidR="00DA2300" w:rsidRPr="00DA2300" w:rsidRDefault="00DA2300" w:rsidP="00DA2300">
            <w:pPr>
              <w:spacing w:line="276" w:lineRule="auto"/>
              <w:rPr>
                <w:sz w:val="22"/>
                <w:szCs w:val="22"/>
              </w:rPr>
            </w:pPr>
            <w:r w:rsidRPr="00DA2300">
              <w:rPr>
                <w:i/>
                <w:sz w:val="22"/>
                <w:szCs w:val="22"/>
              </w:rPr>
              <w:t>Economic</w:t>
            </w:r>
            <w:r w:rsidRPr="00DA2300">
              <w:rPr>
                <w:sz w:val="22"/>
                <w:szCs w:val="22"/>
              </w:rPr>
              <w:t>: 500/1359 projects have been completed, offering over 16,000 jobs and improving the economy (</w:t>
            </w:r>
            <w:hyperlink r:id="rId45">
              <w:r w:rsidRPr="00DA2300">
                <w:rPr>
                  <w:rStyle w:val="Hyperlink"/>
                  <w:sz w:val="22"/>
                  <w:szCs w:val="22"/>
                </w:rPr>
                <w:t>Allen + Clarke 2021)</w:t>
              </w:r>
            </w:hyperlink>
            <w:r w:rsidRPr="00DA2300">
              <w:rPr>
                <w:sz w:val="22"/>
                <w:szCs w:val="22"/>
              </w:rPr>
              <w:t>.</w:t>
            </w:r>
          </w:p>
          <w:p w14:paraId="41B11784" w14:textId="77777777" w:rsidR="00DA2300" w:rsidRPr="00DA2300" w:rsidRDefault="00DA2300" w:rsidP="00DA2300">
            <w:pPr>
              <w:spacing w:line="276" w:lineRule="auto"/>
              <w:rPr>
                <w:sz w:val="22"/>
                <w:szCs w:val="22"/>
              </w:rPr>
            </w:pPr>
          </w:p>
          <w:p w14:paraId="41DFFEF7" w14:textId="77777777" w:rsidR="00DA2300" w:rsidRPr="00DA2300" w:rsidRDefault="00DA2300" w:rsidP="00DA2300">
            <w:pPr>
              <w:spacing w:line="276" w:lineRule="auto"/>
              <w:rPr>
                <w:sz w:val="22"/>
                <w:szCs w:val="22"/>
              </w:rPr>
            </w:pPr>
            <w:r w:rsidRPr="00DA2300">
              <w:rPr>
                <w:i/>
                <w:sz w:val="22"/>
                <w:szCs w:val="22"/>
              </w:rPr>
              <w:t>Behavioral</w:t>
            </w:r>
            <w:r w:rsidRPr="00DA2300">
              <w:rPr>
                <w:sz w:val="22"/>
                <w:szCs w:val="22"/>
              </w:rPr>
              <w:t>: Sourced from PDU (Provincial Economic Development &amp; Investment Unit), majority of funded individuals feel that there was collaboration with government committees (active engagement with project). With non-funded, the majority believed there was a lack of communication with said committees (</w:t>
            </w:r>
            <w:hyperlink r:id="rId46">
              <w:r w:rsidRPr="00DA2300">
                <w:rPr>
                  <w:rStyle w:val="Hyperlink"/>
                  <w:sz w:val="22"/>
                  <w:szCs w:val="22"/>
                </w:rPr>
                <w:t>Allen + Clarke 2021)</w:t>
              </w:r>
            </w:hyperlink>
            <w:r w:rsidRPr="00DA2300">
              <w:rPr>
                <w:sz w:val="22"/>
                <w:szCs w:val="22"/>
              </w:rPr>
              <w:t>.</w:t>
            </w:r>
          </w:p>
        </w:tc>
        <w:tc>
          <w:tcPr>
            <w:tcW w:w="1465" w:type="dxa"/>
            <w:shd w:val="clear" w:color="auto" w:fill="D9EAD3"/>
            <w:tcMar>
              <w:top w:w="100" w:type="dxa"/>
              <w:left w:w="100" w:type="dxa"/>
              <w:bottom w:w="100" w:type="dxa"/>
              <w:right w:w="100" w:type="dxa"/>
            </w:tcMar>
          </w:tcPr>
          <w:p w14:paraId="7CC2E616" w14:textId="0524686E" w:rsidR="00DA2300" w:rsidRPr="00DA2300" w:rsidRDefault="00DA2300" w:rsidP="00DA2300">
            <w:pPr>
              <w:spacing w:line="276" w:lineRule="auto"/>
              <w:rPr>
                <w:sz w:val="22"/>
                <w:szCs w:val="22"/>
              </w:rPr>
            </w:pPr>
            <w:r w:rsidRPr="00DA2300">
              <w:rPr>
                <w:rFonts w:ascii="Segoe UI Symbol" w:hAnsi="Segoe UI Symbol" w:cs="Segoe UI Symbol"/>
                <w:sz w:val="22"/>
                <w:szCs w:val="22"/>
              </w:rPr>
              <w:t>★★★★☆</w:t>
            </w:r>
          </w:p>
        </w:tc>
      </w:tr>
      <w:tr w:rsidR="00DA2300" w:rsidRPr="00DA2300" w14:paraId="2D9419B4" w14:textId="77777777" w:rsidTr="00AE0940">
        <w:trPr>
          <w:trHeight w:val="6768"/>
        </w:trPr>
        <w:tc>
          <w:tcPr>
            <w:tcW w:w="1440" w:type="dxa"/>
            <w:shd w:val="clear" w:color="auto" w:fill="D9EAD3"/>
            <w:tcMar>
              <w:top w:w="100" w:type="dxa"/>
              <w:left w:w="100" w:type="dxa"/>
              <w:bottom w:w="100" w:type="dxa"/>
              <w:right w:w="100" w:type="dxa"/>
            </w:tcMar>
          </w:tcPr>
          <w:p w14:paraId="53EBE0A6" w14:textId="77777777" w:rsidR="00DA2300" w:rsidRDefault="00DA2300" w:rsidP="00DA2300">
            <w:pPr>
              <w:spacing w:line="276" w:lineRule="auto"/>
              <w:rPr>
                <w:sz w:val="22"/>
                <w:szCs w:val="22"/>
              </w:rPr>
            </w:pPr>
            <w:r w:rsidRPr="00DA2300">
              <w:rPr>
                <w:sz w:val="22"/>
                <w:szCs w:val="22"/>
              </w:rPr>
              <w:lastRenderedPageBreak/>
              <w:t>Employment</w:t>
            </w:r>
          </w:p>
          <w:p w14:paraId="3A602A54" w14:textId="77777777" w:rsidR="00AE0940" w:rsidRPr="00AE0940" w:rsidRDefault="00AE0940" w:rsidP="00AE0940">
            <w:pPr>
              <w:rPr>
                <w:sz w:val="22"/>
                <w:szCs w:val="22"/>
              </w:rPr>
            </w:pPr>
          </w:p>
          <w:p w14:paraId="648F3DD3" w14:textId="77777777" w:rsidR="00AE0940" w:rsidRPr="00AE0940" w:rsidRDefault="00AE0940" w:rsidP="00AE0940">
            <w:pPr>
              <w:rPr>
                <w:sz w:val="22"/>
                <w:szCs w:val="22"/>
              </w:rPr>
            </w:pPr>
          </w:p>
          <w:p w14:paraId="4CF300CC" w14:textId="77777777" w:rsidR="00AE0940" w:rsidRPr="00AE0940" w:rsidRDefault="00AE0940" w:rsidP="00AE0940">
            <w:pPr>
              <w:rPr>
                <w:sz w:val="22"/>
                <w:szCs w:val="22"/>
              </w:rPr>
            </w:pPr>
          </w:p>
          <w:p w14:paraId="3D95BB99" w14:textId="77777777" w:rsidR="00AE0940" w:rsidRPr="00AE0940" w:rsidRDefault="00AE0940" w:rsidP="00AE0940">
            <w:pPr>
              <w:rPr>
                <w:sz w:val="22"/>
                <w:szCs w:val="22"/>
              </w:rPr>
            </w:pPr>
          </w:p>
          <w:p w14:paraId="2E8A9E55" w14:textId="77777777" w:rsidR="00AE0940" w:rsidRPr="00AE0940" w:rsidRDefault="00AE0940" w:rsidP="00AE0940">
            <w:pPr>
              <w:rPr>
                <w:sz w:val="22"/>
                <w:szCs w:val="22"/>
              </w:rPr>
            </w:pPr>
          </w:p>
          <w:p w14:paraId="03BB0A71" w14:textId="77777777" w:rsidR="00AE0940" w:rsidRPr="00AE0940" w:rsidRDefault="00AE0940" w:rsidP="00AE0940">
            <w:pPr>
              <w:rPr>
                <w:sz w:val="22"/>
                <w:szCs w:val="22"/>
              </w:rPr>
            </w:pPr>
          </w:p>
          <w:p w14:paraId="54D4A4B9" w14:textId="77777777" w:rsidR="00AE0940" w:rsidRPr="00AE0940" w:rsidRDefault="00AE0940" w:rsidP="00AE0940">
            <w:pPr>
              <w:rPr>
                <w:sz w:val="22"/>
                <w:szCs w:val="22"/>
              </w:rPr>
            </w:pPr>
          </w:p>
          <w:p w14:paraId="747B53F3" w14:textId="77777777" w:rsidR="00AE0940" w:rsidRPr="00AE0940" w:rsidRDefault="00AE0940" w:rsidP="00AE0940">
            <w:pPr>
              <w:rPr>
                <w:sz w:val="22"/>
                <w:szCs w:val="22"/>
              </w:rPr>
            </w:pPr>
          </w:p>
          <w:p w14:paraId="3CED4FD5" w14:textId="77777777" w:rsidR="00AE0940" w:rsidRPr="00AE0940" w:rsidRDefault="00AE0940" w:rsidP="00AE0940">
            <w:pPr>
              <w:rPr>
                <w:sz w:val="22"/>
                <w:szCs w:val="22"/>
              </w:rPr>
            </w:pPr>
          </w:p>
          <w:p w14:paraId="18C43EF6" w14:textId="77777777" w:rsidR="00AE0940" w:rsidRPr="00AE0940" w:rsidRDefault="00AE0940" w:rsidP="00AE0940">
            <w:pPr>
              <w:rPr>
                <w:sz w:val="22"/>
                <w:szCs w:val="22"/>
              </w:rPr>
            </w:pPr>
          </w:p>
          <w:p w14:paraId="6DC52A00" w14:textId="77777777" w:rsidR="00AE0940" w:rsidRPr="00AE0940" w:rsidRDefault="00AE0940" w:rsidP="00AE0940">
            <w:pPr>
              <w:rPr>
                <w:sz w:val="22"/>
                <w:szCs w:val="22"/>
              </w:rPr>
            </w:pPr>
          </w:p>
          <w:p w14:paraId="70087461" w14:textId="77777777" w:rsidR="00AE0940" w:rsidRPr="00AE0940" w:rsidRDefault="00AE0940" w:rsidP="00AE0940">
            <w:pPr>
              <w:rPr>
                <w:sz w:val="22"/>
                <w:szCs w:val="22"/>
              </w:rPr>
            </w:pPr>
          </w:p>
          <w:p w14:paraId="4A0681DF" w14:textId="77777777" w:rsidR="00AE0940" w:rsidRPr="00AE0940" w:rsidRDefault="00AE0940" w:rsidP="00AE0940">
            <w:pPr>
              <w:rPr>
                <w:sz w:val="22"/>
                <w:szCs w:val="22"/>
              </w:rPr>
            </w:pPr>
          </w:p>
          <w:p w14:paraId="03052A09" w14:textId="77777777" w:rsidR="00AE0940" w:rsidRPr="00AE0940" w:rsidRDefault="00AE0940" w:rsidP="00AE0940">
            <w:pPr>
              <w:rPr>
                <w:sz w:val="22"/>
                <w:szCs w:val="22"/>
              </w:rPr>
            </w:pPr>
          </w:p>
          <w:p w14:paraId="0C82EB63" w14:textId="77777777" w:rsidR="00AE0940" w:rsidRPr="00AE0940" w:rsidRDefault="00AE0940" w:rsidP="00AE0940">
            <w:pPr>
              <w:rPr>
                <w:sz w:val="22"/>
                <w:szCs w:val="22"/>
              </w:rPr>
            </w:pPr>
          </w:p>
          <w:p w14:paraId="5D3360E4" w14:textId="77777777" w:rsidR="00AE0940" w:rsidRPr="00AE0940" w:rsidRDefault="00AE0940" w:rsidP="00AE0940">
            <w:pPr>
              <w:rPr>
                <w:sz w:val="22"/>
                <w:szCs w:val="22"/>
              </w:rPr>
            </w:pPr>
          </w:p>
          <w:p w14:paraId="30798C43" w14:textId="77777777" w:rsidR="00AE0940" w:rsidRPr="00AE0940" w:rsidRDefault="00AE0940" w:rsidP="00AE0940">
            <w:pPr>
              <w:rPr>
                <w:sz w:val="22"/>
                <w:szCs w:val="22"/>
              </w:rPr>
            </w:pPr>
          </w:p>
          <w:p w14:paraId="1458A0CE" w14:textId="77777777" w:rsidR="00AE0940" w:rsidRPr="00AE0940" w:rsidRDefault="00AE0940" w:rsidP="00AE0940">
            <w:pPr>
              <w:rPr>
                <w:sz w:val="22"/>
                <w:szCs w:val="22"/>
              </w:rPr>
            </w:pPr>
          </w:p>
          <w:p w14:paraId="3A9629FE" w14:textId="77777777" w:rsidR="00AE0940" w:rsidRPr="00AE0940" w:rsidRDefault="00AE0940" w:rsidP="00AE0940">
            <w:pPr>
              <w:rPr>
                <w:sz w:val="22"/>
                <w:szCs w:val="22"/>
              </w:rPr>
            </w:pPr>
          </w:p>
          <w:p w14:paraId="7CFBEE46" w14:textId="77777777" w:rsidR="00AE0940" w:rsidRPr="00AE0940" w:rsidRDefault="00AE0940" w:rsidP="00AE0940">
            <w:pPr>
              <w:rPr>
                <w:sz w:val="22"/>
                <w:szCs w:val="22"/>
              </w:rPr>
            </w:pPr>
          </w:p>
          <w:p w14:paraId="22B6947A" w14:textId="77777777" w:rsidR="00AE0940" w:rsidRPr="00AE0940" w:rsidRDefault="00AE0940" w:rsidP="00AE0940">
            <w:pPr>
              <w:rPr>
                <w:sz w:val="22"/>
                <w:szCs w:val="22"/>
              </w:rPr>
            </w:pPr>
          </w:p>
          <w:p w14:paraId="0CA7E919" w14:textId="77777777" w:rsidR="00AE0940" w:rsidRPr="00AE0940" w:rsidRDefault="00AE0940" w:rsidP="00AE0940">
            <w:pPr>
              <w:rPr>
                <w:sz w:val="22"/>
                <w:szCs w:val="22"/>
              </w:rPr>
            </w:pPr>
          </w:p>
          <w:p w14:paraId="1D6FCB4E" w14:textId="77777777" w:rsidR="00AE0940" w:rsidRPr="00AE0940" w:rsidRDefault="00AE0940" w:rsidP="00AE0940">
            <w:pPr>
              <w:rPr>
                <w:sz w:val="22"/>
                <w:szCs w:val="22"/>
              </w:rPr>
            </w:pPr>
          </w:p>
          <w:p w14:paraId="313BFF3D" w14:textId="77777777" w:rsidR="00AE0940" w:rsidRPr="00AE0940" w:rsidRDefault="00AE0940" w:rsidP="00AE0940">
            <w:pPr>
              <w:rPr>
                <w:sz w:val="22"/>
                <w:szCs w:val="22"/>
              </w:rPr>
            </w:pPr>
          </w:p>
          <w:p w14:paraId="67171175" w14:textId="77777777" w:rsidR="00AE0940" w:rsidRDefault="00AE0940" w:rsidP="00AE0940">
            <w:pPr>
              <w:rPr>
                <w:sz w:val="22"/>
                <w:szCs w:val="22"/>
              </w:rPr>
            </w:pPr>
          </w:p>
          <w:p w14:paraId="246F1A0F" w14:textId="77777777" w:rsidR="00AE0940" w:rsidRDefault="00AE0940" w:rsidP="00AE0940">
            <w:pPr>
              <w:rPr>
                <w:sz w:val="22"/>
                <w:szCs w:val="22"/>
              </w:rPr>
            </w:pPr>
          </w:p>
          <w:p w14:paraId="4DFFC334" w14:textId="7B05B148" w:rsidR="00AE0940" w:rsidRPr="00AE0940" w:rsidRDefault="00AE0940" w:rsidP="00AE0940">
            <w:pPr>
              <w:jc w:val="center"/>
              <w:rPr>
                <w:sz w:val="22"/>
                <w:szCs w:val="22"/>
              </w:rPr>
            </w:pPr>
          </w:p>
        </w:tc>
        <w:tc>
          <w:tcPr>
            <w:tcW w:w="1665" w:type="dxa"/>
            <w:shd w:val="clear" w:color="auto" w:fill="D9EAD3"/>
            <w:tcMar>
              <w:top w:w="100" w:type="dxa"/>
              <w:left w:w="100" w:type="dxa"/>
              <w:bottom w:w="100" w:type="dxa"/>
              <w:right w:w="100" w:type="dxa"/>
            </w:tcMar>
          </w:tcPr>
          <w:p w14:paraId="67F08518" w14:textId="77777777" w:rsidR="00DA2300" w:rsidRPr="00DA2300" w:rsidRDefault="00717449" w:rsidP="00DA2300">
            <w:pPr>
              <w:spacing w:line="276" w:lineRule="auto"/>
              <w:rPr>
                <w:sz w:val="22"/>
                <w:szCs w:val="22"/>
              </w:rPr>
            </w:pPr>
            <w:hyperlink r:id="rId47">
              <w:proofErr w:type="spellStart"/>
              <w:r w:rsidR="00DA2300" w:rsidRPr="00DA2300">
                <w:rPr>
                  <w:rStyle w:val="Hyperlink"/>
                  <w:sz w:val="22"/>
                  <w:szCs w:val="22"/>
                </w:rPr>
                <w:t>JobCentrePlus</w:t>
              </w:r>
              <w:proofErr w:type="spellEnd"/>
              <w:r w:rsidR="00DA2300" w:rsidRPr="00DA2300">
                <w:rPr>
                  <w:rStyle w:val="Hyperlink"/>
                  <w:sz w:val="22"/>
                  <w:szCs w:val="22"/>
                </w:rPr>
                <w:t xml:space="preserve"> Program</w:t>
              </w:r>
            </w:hyperlink>
            <w:r w:rsidR="00DA2300" w:rsidRPr="00DA2300">
              <w:rPr>
                <w:sz w:val="22"/>
                <w:szCs w:val="22"/>
              </w:rPr>
              <w:t xml:space="preserve"> (consulted by </w:t>
            </w:r>
            <w:hyperlink r:id="rId48">
              <w:proofErr w:type="spellStart"/>
              <w:r w:rsidR="00DA2300" w:rsidRPr="00DA2300">
                <w:rPr>
                  <w:rStyle w:val="Hyperlink"/>
                  <w:sz w:val="22"/>
                  <w:szCs w:val="22"/>
                </w:rPr>
                <w:t>Behavioural</w:t>
              </w:r>
              <w:proofErr w:type="spellEnd"/>
              <w:r w:rsidR="00DA2300" w:rsidRPr="00DA2300">
                <w:rPr>
                  <w:rStyle w:val="Hyperlink"/>
                  <w:sz w:val="22"/>
                  <w:szCs w:val="22"/>
                </w:rPr>
                <w:t xml:space="preserve"> Insights Team </w:t>
              </w:r>
            </w:hyperlink>
            <w:r w:rsidR="00DA2300" w:rsidRPr="00DA2300">
              <w:rPr>
                <w:sz w:val="22"/>
                <w:szCs w:val="22"/>
              </w:rPr>
              <w:t>(BIT))</w:t>
            </w:r>
          </w:p>
          <w:p w14:paraId="112ED671" w14:textId="77777777" w:rsidR="00DA2300" w:rsidRPr="00DA2300" w:rsidRDefault="00DA2300" w:rsidP="00DA2300">
            <w:pPr>
              <w:spacing w:line="276" w:lineRule="auto"/>
              <w:rPr>
                <w:sz w:val="22"/>
                <w:szCs w:val="22"/>
              </w:rPr>
            </w:pPr>
            <w:r w:rsidRPr="00DA2300">
              <w:rPr>
                <w:sz w:val="22"/>
                <w:szCs w:val="22"/>
              </w:rPr>
              <w:t>(2002-2011)</w:t>
            </w:r>
          </w:p>
        </w:tc>
        <w:tc>
          <w:tcPr>
            <w:tcW w:w="1485" w:type="dxa"/>
            <w:shd w:val="clear" w:color="auto" w:fill="D9EAD3"/>
            <w:tcMar>
              <w:top w:w="100" w:type="dxa"/>
              <w:left w:w="100" w:type="dxa"/>
              <w:bottom w:w="100" w:type="dxa"/>
              <w:right w:w="100" w:type="dxa"/>
            </w:tcMar>
          </w:tcPr>
          <w:p w14:paraId="4CE57608" w14:textId="77777777" w:rsidR="00DA2300" w:rsidRPr="00DA2300" w:rsidRDefault="00DA2300" w:rsidP="00DA2300">
            <w:pPr>
              <w:spacing w:line="276" w:lineRule="auto"/>
              <w:rPr>
                <w:sz w:val="22"/>
                <w:szCs w:val="22"/>
              </w:rPr>
            </w:pPr>
            <w:r w:rsidRPr="00DA2300">
              <w:rPr>
                <w:sz w:val="22"/>
                <w:szCs w:val="22"/>
              </w:rPr>
              <w:t>United Kingdom</w:t>
            </w:r>
          </w:p>
        </w:tc>
        <w:tc>
          <w:tcPr>
            <w:tcW w:w="2970" w:type="dxa"/>
            <w:shd w:val="clear" w:color="auto" w:fill="D9EAD3"/>
            <w:tcMar>
              <w:top w:w="100" w:type="dxa"/>
              <w:left w:w="100" w:type="dxa"/>
              <w:bottom w:w="100" w:type="dxa"/>
              <w:right w:w="100" w:type="dxa"/>
            </w:tcMar>
          </w:tcPr>
          <w:p w14:paraId="30DA940B" w14:textId="77777777" w:rsidR="00DA2300" w:rsidRDefault="00DA2300" w:rsidP="00DA2300">
            <w:pPr>
              <w:spacing w:line="276" w:lineRule="auto"/>
              <w:rPr>
                <w:sz w:val="22"/>
                <w:szCs w:val="22"/>
              </w:rPr>
            </w:pPr>
            <w:r w:rsidRPr="00DA2300">
              <w:rPr>
                <w:sz w:val="22"/>
                <w:szCs w:val="22"/>
              </w:rPr>
              <w:t>Intervention to reduce the number of people dependent on unemployment benefits.</w:t>
            </w:r>
          </w:p>
          <w:p w14:paraId="1FE4806F" w14:textId="55477183" w:rsidR="00AE0940" w:rsidRPr="00DA2300" w:rsidRDefault="00AE0940" w:rsidP="00DA2300">
            <w:pPr>
              <w:spacing w:line="276" w:lineRule="auto"/>
              <w:rPr>
                <w:sz w:val="22"/>
                <w:szCs w:val="22"/>
              </w:rPr>
            </w:pPr>
          </w:p>
        </w:tc>
        <w:tc>
          <w:tcPr>
            <w:tcW w:w="5490" w:type="dxa"/>
            <w:shd w:val="clear" w:color="auto" w:fill="D9EAD3"/>
            <w:tcMar>
              <w:top w:w="100" w:type="dxa"/>
              <w:left w:w="100" w:type="dxa"/>
              <w:bottom w:w="100" w:type="dxa"/>
              <w:right w:w="100" w:type="dxa"/>
            </w:tcMar>
          </w:tcPr>
          <w:p w14:paraId="1C1FE0D1" w14:textId="77777777" w:rsidR="00DA2300" w:rsidRPr="00DA2300" w:rsidRDefault="00DA2300" w:rsidP="00DA2300">
            <w:pPr>
              <w:spacing w:line="276" w:lineRule="auto"/>
              <w:rPr>
                <w:sz w:val="22"/>
                <w:szCs w:val="22"/>
              </w:rPr>
            </w:pPr>
            <w:r w:rsidRPr="00DA2300">
              <w:rPr>
                <w:i/>
                <w:sz w:val="22"/>
                <w:szCs w:val="22"/>
              </w:rPr>
              <w:t>Economic and Behavioral</w:t>
            </w:r>
            <w:r w:rsidRPr="00DA2300">
              <w:rPr>
                <w:sz w:val="22"/>
                <w:szCs w:val="22"/>
              </w:rPr>
              <w:t>:</w:t>
            </w:r>
          </w:p>
          <w:p w14:paraId="0E007823" w14:textId="77777777" w:rsidR="00DA2300" w:rsidRPr="00DA2300" w:rsidRDefault="00DA2300" w:rsidP="00DA2300">
            <w:pPr>
              <w:spacing w:line="276" w:lineRule="auto"/>
              <w:rPr>
                <w:sz w:val="22"/>
                <w:szCs w:val="22"/>
              </w:rPr>
            </w:pPr>
            <w:r w:rsidRPr="00DA2300">
              <w:rPr>
                <w:sz w:val="22"/>
                <w:szCs w:val="22"/>
              </w:rPr>
              <w:t xml:space="preserve">JCP processes resulted in a 1.7% increase in the proportion of people flowing off benefits in 13 weeks, relative to the control (business as usual) group. </w:t>
            </w:r>
          </w:p>
          <w:p w14:paraId="430D91C2" w14:textId="77777777" w:rsidR="00DA2300" w:rsidRPr="00DA2300" w:rsidRDefault="00DA2300" w:rsidP="00DA2300">
            <w:pPr>
              <w:spacing w:line="276" w:lineRule="auto"/>
              <w:rPr>
                <w:sz w:val="22"/>
                <w:szCs w:val="22"/>
              </w:rPr>
            </w:pPr>
          </w:p>
          <w:p w14:paraId="1C51D838" w14:textId="77777777" w:rsidR="00DA2300" w:rsidRDefault="00DA2300" w:rsidP="00AE0940">
            <w:pPr>
              <w:spacing w:line="276" w:lineRule="auto"/>
              <w:rPr>
                <w:sz w:val="22"/>
                <w:szCs w:val="22"/>
              </w:rPr>
            </w:pPr>
            <w:r w:rsidRPr="00DA2300">
              <w:rPr>
                <w:sz w:val="22"/>
                <w:szCs w:val="22"/>
              </w:rPr>
              <w:t xml:space="preserve">*Not enough longitudinal evidence on economic-impact, or inequality reduction to support claims that this intervention induces positive deviance. </w:t>
            </w:r>
          </w:p>
          <w:p w14:paraId="683E8BD1" w14:textId="77777777" w:rsidR="00AE0940" w:rsidRDefault="00AE0940" w:rsidP="00AE0940">
            <w:pPr>
              <w:spacing w:line="276" w:lineRule="auto"/>
              <w:rPr>
                <w:sz w:val="22"/>
                <w:szCs w:val="22"/>
              </w:rPr>
            </w:pPr>
          </w:p>
          <w:p w14:paraId="0BD3014F" w14:textId="4286B135" w:rsidR="00AE0940" w:rsidRPr="00DA2300" w:rsidRDefault="00AE0940" w:rsidP="00AE0940">
            <w:pPr>
              <w:spacing w:line="276" w:lineRule="auto"/>
              <w:rPr>
                <w:sz w:val="22"/>
                <w:szCs w:val="22"/>
              </w:rPr>
            </w:pPr>
            <w:r w:rsidRPr="00DA2300">
              <w:rPr>
                <w:sz w:val="22"/>
                <w:szCs w:val="22"/>
              </w:rPr>
              <w:t xml:space="preserve">Stepped-wedge trial with 110,838 job seekers randomly selected to receive treatment when visiting </w:t>
            </w:r>
            <w:proofErr w:type="spellStart"/>
            <w:r w:rsidRPr="00DA2300">
              <w:rPr>
                <w:sz w:val="22"/>
                <w:szCs w:val="22"/>
              </w:rPr>
              <w:t>JobCentrePlus</w:t>
            </w:r>
            <w:proofErr w:type="spellEnd"/>
            <w:r w:rsidRPr="00DA2300">
              <w:rPr>
                <w:sz w:val="22"/>
                <w:szCs w:val="22"/>
              </w:rPr>
              <w:t>; control group received ‘business as usual’ model for JCP. Intervention involved the simplification of job search processes and introduction of a planning aid to encourage people to search for work (</w:t>
            </w:r>
            <w:proofErr w:type="spellStart"/>
            <w:r w:rsidR="00717449">
              <w:fldChar w:fldCharType="begin"/>
            </w:r>
            <w:r w:rsidR="00717449">
              <w:instrText>HYPERLINK "https://read.oecd-ilibrary.org/governance/behavioural-insights-and-public-policy_9789264270480-en" \l "page284" \h</w:instrText>
            </w:r>
            <w:r w:rsidR="00717449">
              <w:fldChar w:fldCharType="separate"/>
            </w:r>
            <w:r w:rsidRPr="00DA2300">
              <w:rPr>
                <w:rStyle w:val="Hyperlink"/>
                <w:sz w:val="22"/>
                <w:szCs w:val="22"/>
              </w:rPr>
              <w:t>Behavioural</w:t>
            </w:r>
            <w:proofErr w:type="spellEnd"/>
            <w:r w:rsidRPr="00DA2300">
              <w:rPr>
                <w:rStyle w:val="Hyperlink"/>
                <w:sz w:val="22"/>
                <w:szCs w:val="22"/>
              </w:rPr>
              <w:t xml:space="preserve"> Insights Team (BIT) UK, 2013-2014</w:t>
            </w:r>
            <w:r w:rsidR="00717449">
              <w:rPr>
                <w:rStyle w:val="Hyperlink"/>
                <w:sz w:val="22"/>
                <w:szCs w:val="22"/>
              </w:rPr>
              <w:fldChar w:fldCharType="end"/>
            </w:r>
            <w:r w:rsidRPr="00DA2300">
              <w:rPr>
                <w:sz w:val="22"/>
                <w:szCs w:val="22"/>
              </w:rPr>
              <w:t>).</w:t>
            </w:r>
          </w:p>
        </w:tc>
        <w:tc>
          <w:tcPr>
            <w:tcW w:w="1465" w:type="dxa"/>
            <w:shd w:val="clear" w:color="auto" w:fill="D9EAD3"/>
            <w:tcMar>
              <w:top w:w="100" w:type="dxa"/>
              <w:left w:w="100" w:type="dxa"/>
              <w:bottom w:w="100" w:type="dxa"/>
              <w:right w:w="100" w:type="dxa"/>
            </w:tcMar>
          </w:tcPr>
          <w:p w14:paraId="65168FB6" w14:textId="60C6F51D" w:rsidR="00DA2300" w:rsidRPr="00DA2300" w:rsidRDefault="00DA2300" w:rsidP="00DA2300">
            <w:pPr>
              <w:spacing w:line="276" w:lineRule="auto"/>
              <w:rPr>
                <w:sz w:val="22"/>
                <w:szCs w:val="22"/>
              </w:rPr>
            </w:pPr>
            <w:r w:rsidRPr="00DA2300">
              <w:rPr>
                <w:rFonts w:ascii="Segoe UI Symbol" w:hAnsi="Segoe UI Symbol" w:cs="Segoe UI Symbol"/>
                <w:sz w:val="22"/>
                <w:szCs w:val="22"/>
              </w:rPr>
              <w:t>★★★★</w:t>
            </w:r>
          </w:p>
        </w:tc>
      </w:tr>
      <w:tr w:rsidR="00DA2300" w:rsidRPr="00DA2300" w14:paraId="48E2EAE1" w14:textId="77777777" w:rsidTr="00AE0940">
        <w:tc>
          <w:tcPr>
            <w:tcW w:w="1440" w:type="dxa"/>
            <w:shd w:val="clear" w:color="auto" w:fill="D9EAD3"/>
            <w:tcMar>
              <w:top w:w="100" w:type="dxa"/>
              <w:left w:w="100" w:type="dxa"/>
              <w:bottom w:w="100" w:type="dxa"/>
              <w:right w:w="100" w:type="dxa"/>
            </w:tcMar>
          </w:tcPr>
          <w:p w14:paraId="25AAC70A" w14:textId="77777777" w:rsidR="00DA2300" w:rsidRPr="00DA2300" w:rsidRDefault="00DA2300" w:rsidP="00DA2300">
            <w:pPr>
              <w:spacing w:line="276" w:lineRule="auto"/>
              <w:rPr>
                <w:sz w:val="22"/>
                <w:szCs w:val="22"/>
              </w:rPr>
            </w:pPr>
            <w:r w:rsidRPr="00DA2300">
              <w:rPr>
                <w:sz w:val="22"/>
                <w:szCs w:val="22"/>
              </w:rPr>
              <w:t>Federal Allowances</w:t>
            </w:r>
          </w:p>
        </w:tc>
        <w:tc>
          <w:tcPr>
            <w:tcW w:w="1665" w:type="dxa"/>
            <w:shd w:val="clear" w:color="auto" w:fill="D9EAD3"/>
            <w:tcMar>
              <w:top w:w="100" w:type="dxa"/>
              <w:left w:w="100" w:type="dxa"/>
              <w:bottom w:w="100" w:type="dxa"/>
              <w:right w:w="100" w:type="dxa"/>
            </w:tcMar>
          </w:tcPr>
          <w:p w14:paraId="23A28A66" w14:textId="77777777" w:rsidR="00DA2300" w:rsidRPr="00DA2300" w:rsidRDefault="00717449" w:rsidP="00DA2300">
            <w:pPr>
              <w:spacing w:line="276" w:lineRule="auto"/>
              <w:rPr>
                <w:sz w:val="22"/>
                <w:szCs w:val="22"/>
              </w:rPr>
            </w:pPr>
            <w:hyperlink r:id="rId49">
              <w:r w:rsidR="00DA2300" w:rsidRPr="00DA2300">
                <w:rPr>
                  <w:rStyle w:val="Hyperlink"/>
                  <w:sz w:val="22"/>
                  <w:szCs w:val="22"/>
                </w:rPr>
                <w:t>Rotary Service in Action</w:t>
              </w:r>
            </w:hyperlink>
          </w:p>
          <w:p w14:paraId="2DA434A3" w14:textId="77777777" w:rsidR="00DA2300" w:rsidRPr="00DA2300" w:rsidRDefault="00DA2300" w:rsidP="00DA2300">
            <w:pPr>
              <w:spacing w:line="276" w:lineRule="auto"/>
              <w:rPr>
                <w:sz w:val="22"/>
                <w:szCs w:val="22"/>
              </w:rPr>
            </w:pPr>
            <w:r w:rsidRPr="00DA2300">
              <w:rPr>
                <w:sz w:val="22"/>
                <w:szCs w:val="22"/>
              </w:rPr>
              <w:t>(1905-present)</w:t>
            </w:r>
          </w:p>
        </w:tc>
        <w:tc>
          <w:tcPr>
            <w:tcW w:w="1485" w:type="dxa"/>
            <w:shd w:val="clear" w:color="auto" w:fill="D9EAD3"/>
            <w:tcMar>
              <w:top w:w="100" w:type="dxa"/>
              <w:left w:w="100" w:type="dxa"/>
              <w:bottom w:w="100" w:type="dxa"/>
              <w:right w:w="100" w:type="dxa"/>
            </w:tcMar>
          </w:tcPr>
          <w:p w14:paraId="0F8412EE" w14:textId="77777777" w:rsidR="00DA2300" w:rsidRPr="00DA2300" w:rsidRDefault="00DA2300" w:rsidP="00DA2300">
            <w:pPr>
              <w:spacing w:line="276" w:lineRule="auto"/>
              <w:rPr>
                <w:sz w:val="22"/>
                <w:szCs w:val="22"/>
              </w:rPr>
            </w:pPr>
            <w:r w:rsidRPr="00DA2300">
              <w:rPr>
                <w:sz w:val="22"/>
                <w:szCs w:val="22"/>
              </w:rPr>
              <w:t>Rotary International (NGO)</w:t>
            </w:r>
          </w:p>
        </w:tc>
        <w:tc>
          <w:tcPr>
            <w:tcW w:w="2970" w:type="dxa"/>
            <w:shd w:val="clear" w:color="auto" w:fill="D9EAD3"/>
            <w:tcMar>
              <w:top w:w="100" w:type="dxa"/>
              <w:left w:w="100" w:type="dxa"/>
              <w:bottom w:w="100" w:type="dxa"/>
              <w:right w:w="100" w:type="dxa"/>
            </w:tcMar>
          </w:tcPr>
          <w:p w14:paraId="58D6F366" w14:textId="77777777" w:rsidR="00DA2300" w:rsidRPr="00DA2300" w:rsidRDefault="00DA2300" w:rsidP="00DA2300">
            <w:pPr>
              <w:spacing w:line="276" w:lineRule="auto"/>
              <w:rPr>
                <w:sz w:val="22"/>
                <w:szCs w:val="22"/>
              </w:rPr>
            </w:pPr>
            <w:r w:rsidRPr="00DA2300">
              <w:rPr>
                <w:sz w:val="22"/>
                <w:szCs w:val="22"/>
              </w:rPr>
              <w:t>Provides basic financial services, microloans, and training to women (</w:t>
            </w:r>
            <w:hyperlink r:id="rId50">
              <w:r w:rsidRPr="00DA2300">
                <w:rPr>
                  <w:rStyle w:val="Hyperlink"/>
                  <w:sz w:val="22"/>
                  <w:szCs w:val="22"/>
                </w:rPr>
                <w:t>Guatemala</w:t>
              </w:r>
            </w:hyperlink>
            <w:r w:rsidRPr="00DA2300">
              <w:rPr>
                <w:sz w:val="22"/>
                <w:szCs w:val="22"/>
              </w:rPr>
              <w:t xml:space="preserve"> as an example) for them to build their own business and gain economic independence. Overall, it is successful in breaking down poverty cycles </w:t>
            </w:r>
            <w:r w:rsidRPr="00DA2300">
              <w:rPr>
                <w:sz w:val="22"/>
                <w:szCs w:val="22"/>
              </w:rPr>
              <w:lastRenderedPageBreak/>
              <w:t>in rural and urban areas. About 400 women, organized into 22 groups, received financial literacy training (</w:t>
            </w:r>
            <w:hyperlink r:id="rId51">
              <w:r w:rsidRPr="00DA2300">
                <w:rPr>
                  <w:rStyle w:val="Hyperlink"/>
                  <w:sz w:val="22"/>
                  <w:szCs w:val="22"/>
                </w:rPr>
                <w:t>Rotary</w:t>
              </w:r>
            </w:hyperlink>
            <w:r w:rsidRPr="00DA2300">
              <w:rPr>
                <w:sz w:val="22"/>
                <w:szCs w:val="22"/>
              </w:rPr>
              <w:t xml:space="preserve">). </w:t>
            </w:r>
          </w:p>
        </w:tc>
        <w:tc>
          <w:tcPr>
            <w:tcW w:w="5490" w:type="dxa"/>
            <w:shd w:val="clear" w:color="auto" w:fill="D9EAD3"/>
            <w:tcMar>
              <w:top w:w="100" w:type="dxa"/>
              <w:left w:w="100" w:type="dxa"/>
              <w:bottom w:w="100" w:type="dxa"/>
              <w:right w:w="100" w:type="dxa"/>
            </w:tcMar>
          </w:tcPr>
          <w:p w14:paraId="49448012" w14:textId="77777777" w:rsidR="00DA2300" w:rsidRPr="00DA2300" w:rsidRDefault="00DA2300" w:rsidP="00DA2300">
            <w:pPr>
              <w:spacing w:line="276" w:lineRule="auto"/>
              <w:rPr>
                <w:sz w:val="22"/>
                <w:szCs w:val="22"/>
              </w:rPr>
            </w:pPr>
            <w:r w:rsidRPr="00DA2300">
              <w:rPr>
                <w:i/>
                <w:sz w:val="22"/>
                <w:szCs w:val="22"/>
              </w:rPr>
              <w:lastRenderedPageBreak/>
              <w:t xml:space="preserve">Economic: </w:t>
            </w:r>
            <w:r w:rsidRPr="00DA2300">
              <w:rPr>
                <w:sz w:val="22"/>
                <w:szCs w:val="22"/>
              </w:rPr>
              <w:t>Strengthens local entrepreneurship; gives access to well-paying jobs and financial management institutions (</w:t>
            </w:r>
            <w:hyperlink r:id="rId52">
              <w:r w:rsidRPr="00DA2300">
                <w:rPr>
                  <w:rStyle w:val="Hyperlink"/>
                  <w:sz w:val="22"/>
                  <w:szCs w:val="22"/>
                </w:rPr>
                <w:t>Rotary</w:t>
              </w:r>
            </w:hyperlink>
            <w:r w:rsidRPr="00DA2300">
              <w:rPr>
                <w:sz w:val="22"/>
                <w:szCs w:val="22"/>
              </w:rPr>
              <w:t>).</w:t>
            </w:r>
          </w:p>
          <w:p w14:paraId="63F22195" w14:textId="77777777" w:rsidR="00DA2300" w:rsidRPr="00DA2300" w:rsidRDefault="00DA2300" w:rsidP="00DA2300">
            <w:pPr>
              <w:spacing w:line="276" w:lineRule="auto"/>
              <w:rPr>
                <w:i/>
                <w:sz w:val="22"/>
                <w:szCs w:val="22"/>
              </w:rPr>
            </w:pPr>
          </w:p>
          <w:p w14:paraId="5AFF324F" w14:textId="77777777" w:rsidR="00DA2300" w:rsidRPr="00DA2300" w:rsidRDefault="00DA2300" w:rsidP="00DA2300">
            <w:pPr>
              <w:spacing w:line="276" w:lineRule="auto"/>
              <w:rPr>
                <w:sz w:val="22"/>
                <w:szCs w:val="22"/>
              </w:rPr>
            </w:pPr>
            <w:r w:rsidRPr="00DA2300">
              <w:rPr>
                <w:i/>
                <w:sz w:val="22"/>
                <w:szCs w:val="22"/>
              </w:rPr>
              <w:t>Behavioral</w:t>
            </w:r>
            <w:r w:rsidRPr="00DA2300">
              <w:rPr>
                <w:sz w:val="22"/>
                <w:szCs w:val="22"/>
              </w:rPr>
              <w:t>: Participants have become funders of their own microloans as members pool together their savings to distribute these loans to each other; providing seed funding for profitable businesses (</w:t>
            </w:r>
            <w:hyperlink r:id="rId53">
              <w:r w:rsidRPr="00DA2300">
                <w:rPr>
                  <w:rStyle w:val="Hyperlink"/>
                  <w:sz w:val="22"/>
                  <w:szCs w:val="22"/>
                </w:rPr>
                <w:t>Rotary</w:t>
              </w:r>
            </w:hyperlink>
            <w:r w:rsidRPr="00DA2300">
              <w:rPr>
                <w:sz w:val="22"/>
                <w:szCs w:val="22"/>
              </w:rPr>
              <w:t>).</w:t>
            </w:r>
          </w:p>
        </w:tc>
        <w:tc>
          <w:tcPr>
            <w:tcW w:w="1465" w:type="dxa"/>
            <w:shd w:val="clear" w:color="auto" w:fill="D9EAD3"/>
            <w:tcMar>
              <w:top w:w="100" w:type="dxa"/>
              <w:left w:w="100" w:type="dxa"/>
              <w:bottom w:w="100" w:type="dxa"/>
              <w:right w:w="100" w:type="dxa"/>
            </w:tcMar>
          </w:tcPr>
          <w:p w14:paraId="0B39F118" w14:textId="77777777" w:rsidR="00DA2300" w:rsidRPr="00DA2300" w:rsidRDefault="00DA2300" w:rsidP="00DA2300">
            <w:pPr>
              <w:spacing w:line="276" w:lineRule="auto"/>
              <w:rPr>
                <w:sz w:val="22"/>
                <w:szCs w:val="22"/>
              </w:rPr>
            </w:pPr>
            <w:r w:rsidRPr="00DA2300">
              <w:rPr>
                <w:rFonts w:ascii="Segoe UI Symbol" w:hAnsi="Segoe UI Symbol" w:cs="Segoe UI Symbol"/>
                <w:sz w:val="22"/>
                <w:szCs w:val="22"/>
              </w:rPr>
              <w:t>★★★</w:t>
            </w:r>
          </w:p>
        </w:tc>
      </w:tr>
      <w:tr w:rsidR="00DA2300" w:rsidRPr="00DA2300" w14:paraId="1058EE43" w14:textId="77777777" w:rsidTr="00AE0940">
        <w:trPr>
          <w:trHeight w:val="522"/>
        </w:trPr>
        <w:tc>
          <w:tcPr>
            <w:tcW w:w="1440" w:type="dxa"/>
            <w:shd w:val="clear" w:color="auto" w:fill="D9EAD3"/>
            <w:tcMar>
              <w:top w:w="100" w:type="dxa"/>
              <w:left w:w="100" w:type="dxa"/>
              <w:bottom w:w="100" w:type="dxa"/>
              <w:right w:w="100" w:type="dxa"/>
            </w:tcMar>
          </w:tcPr>
          <w:p w14:paraId="44598651" w14:textId="77777777" w:rsidR="00DA2300" w:rsidRPr="00DA2300" w:rsidRDefault="00DA2300" w:rsidP="00DA2300">
            <w:pPr>
              <w:spacing w:line="276" w:lineRule="auto"/>
              <w:rPr>
                <w:sz w:val="22"/>
                <w:szCs w:val="22"/>
              </w:rPr>
            </w:pPr>
            <w:r w:rsidRPr="00DA2300">
              <w:rPr>
                <w:sz w:val="22"/>
                <w:szCs w:val="22"/>
              </w:rPr>
              <w:t>Housing/</w:t>
            </w:r>
          </w:p>
          <w:p w14:paraId="39829D54" w14:textId="77777777" w:rsidR="00DA2300" w:rsidRPr="00DA2300" w:rsidRDefault="00DA2300" w:rsidP="00DA2300">
            <w:pPr>
              <w:spacing w:line="276" w:lineRule="auto"/>
              <w:rPr>
                <w:sz w:val="22"/>
                <w:szCs w:val="22"/>
              </w:rPr>
            </w:pPr>
            <w:r w:rsidRPr="00DA2300">
              <w:rPr>
                <w:sz w:val="22"/>
                <w:szCs w:val="22"/>
              </w:rPr>
              <w:t>Children</w:t>
            </w:r>
          </w:p>
          <w:p w14:paraId="62DA796E" w14:textId="77777777" w:rsidR="00DA2300" w:rsidRPr="00DA2300" w:rsidRDefault="00DA2300" w:rsidP="00DA2300">
            <w:pPr>
              <w:spacing w:line="276" w:lineRule="auto"/>
              <w:rPr>
                <w:sz w:val="22"/>
                <w:szCs w:val="22"/>
              </w:rPr>
            </w:pPr>
          </w:p>
          <w:p w14:paraId="72714999" w14:textId="77777777" w:rsidR="00DA2300" w:rsidRPr="00DA2300" w:rsidRDefault="00DA2300" w:rsidP="00DA2300">
            <w:pPr>
              <w:spacing w:line="276" w:lineRule="auto"/>
              <w:rPr>
                <w:sz w:val="22"/>
                <w:szCs w:val="22"/>
              </w:rPr>
            </w:pPr>
          </w:p>
          <w:p w14:paraId="7F216E36" w14:textId="77777777" w:rsidR="00DA2300" w:rsidRPr="00DA2300" w:rsidRDefault="00DA2300" w:rsidP="00DA2300">
            <w:pPr>
              <w:spacing w:line="276" w:lineRule="auto"/>
              <w:rPr>
                <w:sz w:val="22"/>
                <w:szCs w:val="22"/>
              </w:rPr>
            </w:pPr>
          </w:p>
          <w:p w14:paraId="408E02BB" w14:textId="77777777" w:rsidR="00DA2300" w:rsidRPr="00DA2300" w:rsidRDefault="00DA2300" w:rsidP="00DA2300">
            <w:pPr>
              <w:spacing w:line="276" w:lineRule="auto"/>
              <w:rPr>
                <w:sz w:val="22"/>
                <w:szCs w:val="22"/>
              </w:rPr>
            </w:pPr>
          </w:p>
          <w:p w14:paraId="230B962E" w14:textId="77777777" w:rsidR="00DA2300" w:rsidRPr="00DA2300" w:rsidRDefault="00DA2300" w:rsidP="00DA2300">
            <w:pPr>
              <w:spacing w:line="276" w:lineRule="auto"/>
              <w:rPr>
                <w:sz w:val="22"/>
                <w:szCs w:val="22"/>
              </w:rPr>
            </w:pPr>
          </w:p>
          <w:p w14:paraId="0E8D18D0" w14:textId="77777777" w:rsidR="00DA2300" w:rsidRPr="00DA2300" w:rsidRDefault="00DA2300" w:rsidP="00DA2300">
            <w:pPr>
              <w:spacing w:line="276" w:lineRule="auto"/>
              <w:rPr>
                <w:sz w:val="22"/>
                <w:szCs w:val="22"/>
              </w:rPr>
            </w:pPr>
          </w:p>
          <w:p w14:paraId="55FD9C95" w14:textId="77777777" w:rsidR="00DA2300" w:rsidRPr="00DA2300" w:rsidRDefault="00DA2300" w:rsidP="00DA2300">
            <w:pPr>
              <w:spacing w:line="276" w:lineRule="auto"/>
              <w:rPr>
                <w:sz w:val="22"/>
                <w:szCs w:val="22"/>
              </w:rPr>
            </w:pPr>
          </w:p>
          <w:p w14:paraId="7D6CE2BB" w14:textId="77777777" w:rsidR="00DA2300" w:rsidRPr="00DA2300" w:rsidRDefault="00DA2300" w:rsidP="00DA2300">
            <w:pPr>
              <w:spacing w:line="276" w:lineRule="auto"/>
              <w:rPr>
                <w:sz w:val="22"/>
                <w:szCs w:val="22"/>
              </w:rPr>
            </w:pPr>
          </w:p>
          <w:p w14:paraId="554321A2" w14:textId="77777777" w:rsidR="00DA2300" w:rsidRPr="00DA2300" w:rsidRDefault="00DA2300" w:rsidP="00DA2300">
            <w:pPr>
              <w:spacing w:line="276" w:lineRule="auto"/>
              <w:rPr>
                <w:sz w:val="22"/>
                <w:szCs w:val="22"/>
              </w:rPr>
            </w:pPr>
          </w:p>
          <w:p w14:paraId="0B6E2DE1" w14:textId="77777777" w:rsidR="00DA2300" w:rsidRPr="00DA2300" w:rsidRDefault="00DA2300" w:rsidP="00DA2300">
            <w:pPr>
              <w:spacing w:line="276" w:lineRule="auto"/>
              <w:rPr>
                <w:sz w:val="22"/>
                <w:szCs w:val="22"/>
              </w:rPr>
            </w:pPr>
          </w:p>
          <w:p w14:paraId="1CE2C50A" w14:textId="77777777" w:rsidR="00DA2300" w:rsidRPr="00DA2300" w:rsidRDefault="00DA2300" w:rsidP="00DA2300">
            <w:pPr>
              <w:spacing w:line="276" w:lineRule="auto"/>
              <w:rPr>
                <w:sz w:val="22"/>
                <w:szCs w:val="22"/>
              </w:rPr>
            </w:pPr>
          </w:p>
        </w:tc>
        <w:tc>
          <w:tcPr>
            <w:tcW w:w="1665" w:type="dxa"/>
            <w:shd w:val="clear" w:color="auto" w:fill="D9EAD3"/>
            <w:tcMar>
              <w:top w:w="100" w:type="dxa"/>
              <w:left w:w="100" w:type="dxa"/>
              <w:bottom w:w="100" w:type="dxa"/>
              <w:right w:w="100" w:type="dxa"/>
            </w:tcMar>
          </w:tcPr>
          <w:p w14:paraId="42ADE23B" w14:textId="77777777" w:rsidR="00DA2300" w:rsidRPr="00DA2300" w:rsidRDefault="00717449" w:rsidP="00DA2300">
            <w:pPr>
              <w:spacing w:line="276" w:lineRule="auto"/>
              <w:rPr>
                <w:sz w:val="22"/>
                <w:szCs w:val="22"/>
              </w:rPr>
            </w:pPr>
            <w:hyperlink r:id="rId54">
              <w:r w:rsidR="00DA2300" w:rsidRPr="00DA2300">
                <w:rPr>
                  <w:rStyle w:val="Hyperlink"/>
                  <w:sz w:val="22"/>
                  <w:szCs w:val="22"/>
                </w:rPr>
                <w:t xml:space="preserve">Moving to Opportunity (MTO) </w:t>
              </w:r>
            </w:hyperlink>
          </w:p>
          <w:p w14:paraId="23CCC3DB" w14:textId="77777777" w:rsidR="00DA2300" w:rsidRPr="00DA2300" w:rsidRDefault="00DA2300" w:rsidP="00DA2300">
            <w:pPr>
              <w:spacing w:line="276" w:lineRule="auto"/>
              <w:rPr>
                <w:sz w:val="22"/>
                <w:szCs w:val="22"/>
              </w:rPr>
            </w:pPr>
            <w:r w:rsidRPr="00DA2300">
              <w:rPr>
                <w:sz w:val="22"/>
                <w:szCs w:val="22"/>
              </w:rPr>
              <w:t>(2002-2010, evaluated 2011)</w:t>
            </w:r>
          </w:p>
        </w:tc>
        <w:tc>
          <w:tcPr>
            <w:tcW w:w="1485" w:type="dxa"/>
            <w:shd w:val="clear" w:color="auto" w:fill="D9EAD3"/>
            <w:tcMar>
              <w:top w:w="100" w:type="dxa"/>
              <w:left w:w="100" w:type="dxa"/>
              <w:bottom w:w="100" w:type="dxa"/>
              <w:right w:w="100" w:type="dxa"/>
            </w:tcMar>
          </w:tcPr>
          <w:p w14:paraId="01827AE9" w14:textId="77777777" w:rsidR="00DA2300" w:rsidRPr="00DA2300" w:rsidRDefault="00DA2300" w:rsidP="00DA2300">
            <w:pPr>
              <w:spacing w:line="276" w:lineRule="auto"/>
              <w:rPr>
                <w:sz w:val="22"/>
                <w:szCs w:val="22"/>
              </w:rPr>
            </w:pPr>
            <w:r w:rsidRPr="00DA2300">
              <w:rPr>
                <w:sz w:val="22"/>
                <w:szCs w:val="22"/>
              </w:rPr>
              <w:t>United States</w:t>
            </w:r>
          </w:p>
        </w:tc>
        <w:tc>
          <w:tcPr>
            <w:tcW w:w="2970" w:type="dxa"/>
            <w:shd w:val="clear" w:color="auto" w:fill="D9EAD3"/>
            <w:tcMar>
              <w:top w:w="100" w:type="dxa"/>
              <w:left w:w="100" w:type="dxa"/>
              <w:bottom w:w="100" w:type="dxa"/>
              <w:right w:w="100" w:type="dxa"/>
            </w:tcMar>
          </w:tcPr>
          <w:p w14:paraId="05B1E1AA" w14:textId="77777777" w:rsidR="00DA2300" w:rsidRPr="00DA2300" w:rsidRDefault="00DA2300" w:rsidP="00DA2300">
            <w:pPr>
              <w:spacing w:line="276" w:lineRule="auto"/>
              <w:rPr>
                <w:sz w:val="22"/>
                <w:szCs w:val="22"/>
              </w:rPr>
            </w:pPr>
            <w:r w:rsidRPr="00DA2300">
              <w:rPr>
                <w:sz w:val="22"/>
                <w:szCs w:val="22"/>
              </w:rPr>
              <w:t>Major randomized housing mobility experiment sponsored by the U.S. Department of Housing and Urban Development in which 4,600 low-income families with children from impoverished urban neighborhoods were randomly assigned to a control group, offered a housing voucher that could only be used to move to a low-poverty neighborhood, or offered a traditional Section 8 housing voucher.</w:t>
            </w:r>
          </w:p>
        </w:tc>
        <w:tc>
          <w:tcPr>
            <w:tcW w:w="5490" w:type="dxa"/>
            <w:shd w:val="clear" w:color="auto" w:fill="D9EAD3"/>
            <w:tcMar>
              <w:top w:w="100" w:type="dxa"/>
              <w:left w:w="100" w:type="dxa"/>
              <w:bottom w:w="100" w:type="dxa"/>
              <w:right w:w="100" w:type="dxa"/>
            </w:tcMar>
          </w:tcPr>
          <w:p w14:paraId="142ADFE6" w14:textId="77777777" w:rsidR="00DA2300" w:rsidRPr="00DA2300" w:rsidRDefault="00DA2300" w:rsidP="00DA2300">
            <w:pPr>
              <w:spacing w:line="276" w:lineRule="auto"/>
              <w:rPr>
                <w:sz w:val="22"/>
                <w:szCs w:val="22"/>
              </w:rPr>
            </w:pPr>
            <w:r w:rsidRPr="00DA2300">
              <w:rPr>
                <w:i/>
                <w:sz w:val="22"/>
                <w:szCs w:val="22"/>
              </w:rPr>
              <w:t>Economic</w:t>
            </w:r>
            <w:r w:rsidRPr="00DA2300">
              <w:rPr>
                <w:sz w:val="22"/>
                <w:szCs w:val="22"/>
              </w:rPr>
              <w:t>: Children under 13 whose families moved to a lower-poverty area had an annual income that was $3,477 (31%) higher on average in their mid-twenties compared to the average $11,270 income of the control group (</w:t>
            </w:r>
            <w:hyperlink r:id="rId55">
              <w:r w:rsidRPr="00DA2300">
                <w:rPr>
                  <w:rStyle w:val="Hyperlink"/>
                  <w:sz w:val="22"/>
                  <w:szCs w:val="22"/>
                </w:rPr>
                <w:t>Chetty et al. 2015)</w:t>
              </w:r>
            </w:hyperlink>
            <w:r w:rsidRPr="00DA2300">
              <w:rPr>
                <w:sz w:val="22"/>
                <w:szCs w:val="22"/>
              </w:rPr>
              <w:t>.</w:t>
            </w:r>
          </w:p>
          <w:p w14:paraId="4BDC2ED0" w14:textId="77777777" w:rsidR="00DA2300" w:rsidRPr="00DA2300" w:rsidRDefault="00DA2300" w:rsidP="00DA2300">
            <w:pPr>
              <w:spacing w:line="276" w:lineRule="auto"/>
              <w:rPr>
                <w:sz w:val="22"/>
                <w:szCs w:val="22"/>
              </w:rPr>
            </w:pPr>
          </w:p>
          <w:p w14:paraId="58FCBB3B" w14:textId="77777777" w:rsidR="00DA2300" w:rsidRPr="00DA2300" w:rsidRDefault="00DA2300" w:rsidP="00DA2300">
            <w:pPr>
              <w:spacing w:line="276" w:lineRule="auto"/>
              <w:rPr>
                <w:sz w:val="22"/>
                <w:szCs w:val="22"/>
              </w:rPr>
            </w:pPr>
            <w:r w:rsidRPr="00DA2300">
              <w:rPr>
                <w:i/>
                <w:sz w:val="22"/>
                <w:szCs w:val="22"/>
              </w:rPr>
              <w:t>Behavioral</w:t>
            </w:r>
            <w:r w:rsidRPr="00DA2300">
              <w:rPr>
                <w:sz w:val="22"/>
                <w:szCs w:val="22"/>
              </w:rPr>
              <w:t>: Conferred major benefits (improved college attendance rates and earnings, living in better neighborhoods as adults, being less likely to become single parents) for children 13 and below who moved to better neighborhoods, but children over 13 experienced negative effects due to the disruption of moving (</w:t>
            </w:r>
            <w:hyperlink r:id="rId56">
              <w:r w:rsidRPr="00DA2300">
                <w:rPr>
                  <w:rStyle w:val="Hyperlink"/>
                  <w:sz w:val="22"/>
                  <w:szCs w:val="22"/>
                </w:rPr>
                <w:t>Chetty et al. 2015)</w:t>
              </w:r>
            </w:hyperlink>
            <w:r w:rsidRPr="00DA2300">
              <w:rPr>
                <w:sz w:val="22"/>
                <w:szCs w:val="22"/>
              </w:rPr>
              <w:t>.</w:t>
            </w:r>
          </w:p>
          <w:p w14:paraId="72A7B866" w14:textId="77777777" w:rsidR="00DA2300" w:rsidRPr="00DA2300" w:rsidRDefault="00DA2300" w:rsidP="00DA2300">
            <w:pPr>
              <w:spacing w:line="276" w:lineRule="auto"/>
              <w:rPr>
                <w:sz w:val="22"/>
                <w:szCs w:val="22"/>
              </w:rPr>
            </w:pPr>
          </w:p>
          <w:p w14:paraId="275A0576" w14:textId="77777777" w:rsidR="00DA2300" w:rsidRPr="00DA2300" w:rsidRDefault="00DA2300" w:rsidP="00DA2300">
            <w:pPr>
              <w:spacing w:line="276" w:lineRule="auto"/>
              <w:rPr>
                <w:sz w:val="22"/>
                <w:szCs w:val="22"/>
              </w:rPr>
            </w:pPr>
            <w:r w:rsidRPr="00DA2300">
              <w:rPr>
                <w:sz w:val="22"/>
                <w:szCs w:val="22"/>
              </w:rPr>
              <w:t>*As such, future policy should consider age as a significant factor</w:t>
            </w:r>
          </w:p>
        </w:tc>
        <w:tc>
          <w:tcPr>
            <w:tcW w:w="1465" w:type="dxa"/>
            <w:shd w:val="clear" w:color="auto" w:fill="D9EAD3"/>
            <w:tcMar>
              <w:top w:w="100" w:type="dxa"/>
              <w:left w:w="100" w:type="dxa"/>
              <w:bottom w:w="100" w:type="dxa"/>
              <w:right w:w="100" w:type="dxa"/>
            </w:tcMar>
          </w:tcPr>
          <w:p w14:paraId="439042A1" w14:textId="77777777" w:rsidR="00DA2300" w:rsidRPr="00DA2300" w:rsidRDefault="00DA2300" w:rsidP="00DA2300">
            <w:pPr>
              <w:spacing w:line="276" w:lineRule="auto"/>
              <w:rPr>
                <w:sz w:val="22"/>
                <w:szCs w:val="22"/>
              </w:rPr>
            </w:pPr>
            <w:r w:rsidRPr="00DA2300">
              <w:rPr>
                <w:rFonts w:ascii="Segoe UI Symbol" w:hAnsi="Segoe UI Symbol" w:cs="Segoe UI Symbol"/>
                <w:sz w:val="22"/>
                <w:szCs w:val="22"/>
              </w:rPr>
              <w:t>★★★</w:t>
            </w:r>
          </w:p>
        </w:tc>
      </w:tr>
      <w:tr w:rsidR="00DA2300" w:rsidRPr="00DA2300" w14:paraId="7FC7EFB7" w14:textId="77777777" w:rsidTr="00AE0940">
        <w:trPr>
          <w:trHeight w:val="522"/>
        </w:trPr>
        <w:tc>
          <w:tcPr>
            <w:tcW w:w="1440" w:type="dxa"/>
            <w:shd w:val="clear" w:color="auto" w:fill="D9EAD3"/>
            <w:tcMar>
              <w:top w:w="100" w:type="dxa"/>
              <w:left w:w="100" w:type="dxa"/>
              <w:bottom w:w="100" w:type="dxa"/>
              <w:right w:w="100" w:type="dxa"/>
            </w:tcMar>
          </w:tcPr>
          <w:p w14:paraId="3EB936AA" w14:textId="77777777" w:rsidR="00DA2300" w:rsidRPr="00DA2300" w:rsidRDefault="00DA2300" w:rsidP="00DA2300">
            <w:pPr>
              <w:spacing w:line="276" w:lineRule="auto"/>
              <w:rPr>
                <w:sz w:val="22"/>
                <w:szCs w:val="22"/>
              </w:rPr>
            </w:pPr>
            <w:r w:rsidRPr="00DA2300">
              <w:rPr>
                <w:sz w:val="22"/>
                <w:szCs w:val="22"/>
              </w:rPr>
              <w:t>Employment</w:t>
            </w:r>
          </w:p>
        </w:tc>
        <w:tc>
          <w:tcPr>
            <w:tcW w:w="1665" w:type="dxa"/>
            <w:shd w:val="clear" w:color="auto" w:fill="D9EAD3"/>
            <w:tcMar>
              <w:top w:w="100" w:type="dxa"/>
              <w:left w:w="100" w:type="dxa"/>
              <w:bottom w:w="100" w:type="dxa"/>
              <w:right w:w="100" w:type="dxa"/>
            </w:tcMar>
          </w:tcPr>
          <w:p w14:paraId="6272E5AE" w14:textId="77777777" w:rsidR="00DA2300" w:rsidRPr="00DA2300" w:rsidRDefault="00717449" w:rsidP="00DA2300">
            <w:pPr>
              <w:spacing w:line="276" w:lineRule="auto"/>
              <w:rPr>
                <w:sz w:val="22"/>
                <w:szCs w:val="22"/>
              </w:rPr>
            </w:pPr>
            <w:hyperlink r:id="rId57">
              <w:r w:rsidR="00DA2300" w:rsidRPr="00DA2300">
                <w:rPr>
                  <w:rStyle w:val="Hyperlink"/>
                  <w:sz w:val="22"/>
                  <w:szCs w:val="22"/>
                </w:rPr>
                <w:t>India’s National Rural Employment Guarantee Scheme ​​(Mahatma Gandhi National Rural Employment Guarantee Scheme)</w:t>
              </w:r>
            </w:hyperlink>
          </w:p>
          <w:p w14:paraId="6CE240D0" w14:textId="77777777" w:rsidR="00DA2300" w:rsidRPr="00DA2300" w:rsidRDefault="00DA2300" w:rsidP="00DA2300">
            <w:pPr>
              <w:spacing w:line="276" w:lineRule="auto"/>
              <w:rPr>
                <w:sz w:val="22"/>
                <w:szCs w:val="22"/>
              </w:rPr>
            </w:pPr>
            <w:r w:rsidRPr="00DA2300">
              <w:rPr>
                <w:sz w:val="22"/>
                <w:szCs w:val="22"/>
              </w:rPr>
              <w:lastRenderedPageBreak/>
              <w:t>(2006-Present, evaluated 2006-2008 data)</w:t>
            </w:r>
          </w:p>
        </w:tc>
        <w:tc>
          <w:tcPr>
            <w:tcW w:w="1485" w:type="dxa"/>
            <w:shd w:val="clear" w:color="auto" w:fill="D9EAD3"/>
            <w:tcMar>
              <w:top w:w="100" w:type="dxa"/>
              <w:left w:w="100" w:type="dxa"/>
              <w:bottom w:w="100" w:type="dxa"/>
              <w:right w:w="100" w:type="dxa"/>
            </w:tcMar>
          </w:tcPr>
          <w:p w14:paraId="3EDD6E63" w14:textId="77777777" w:rsidR="00DA2300" w:rsidRPr="00DA2300" w:rsidRDefault="00DA2300" w:rsidP="00DA2300">
            <w:pPr>
              <w:spacing w:line="276" w:lineRule="auto"/>
              <w:rPr>
                <w:sz w:val="22"/>
                <w:szCs w:val="22"/>
              </w:rPr>
            </w:pPr>
            <w:r w:rsidRPr="00DA2300">
              <w:rPr>
                <w:sz w:val="22"/>
                <w:szCs w:val="22"/>
              </w:rPr>
              <w:lastRenderedPageBreak/>
              <w:t>India</w:t>
            </w:r>
          </w:p>
        </w:tc>
        <w:tc>
          <w:tcPr>
            <w:tcW w:w="2970" w:type="dxa"/>
            <w:shd w:val="clear" w:color="auto" w:fill="D9EAD3"/>
            <w:tcMar>
              <w:top w:w="100" w:type="dxa"/>
              <w:left w:w="100" w:type="dxa"/>
              <w:bottom w:w="100" w:type="dxa"/>
              <w:right w:w="100" w:type="dxa"/>
            </w:tcMar>
          </w:tcPr>
          <w:p w14:paraId="4FE0AB7F" w14:textId="77777777" w:rsidR="00DA2300" w:rsidRPr="00DA2300" w:rsidRDefault="00DA2300" w:rsidP="00DA2300">
            <w:pPr>
              <w:spacing w:line="276" w:lineRule="auto"/>
              <w:rPr>
                <w:sz w:val="22"/>
                <w:szCs w:val="22"/>
              </w:rPr>
            </w:pPr>
            <w:r w:rsidRPr="00DA2300">
              <w:rPr>
                <w:sz w:val="22"/>
                <w:szCs w:val="22"/>
              </w:rPr>
              <w:t>The program guarantees employment for unskilled manual labor work up to 100 days per year for each rural household, with wages equal for men and women. One of its aims is to improve and build up infrastructures around rural areas of India, including canals, roads, bridges, etc.</w:t>
            </w:r>
          </w:p>
          <w:p w14:paraId="792017AD" w14:textId="77777777" w:rsidR="00DA2300" w:rsidRPr="00DA2300" w:rsidRDefault="00DA2300" w:rsidP="00DA2300">
            <w:pPr>
              <w:spacing w:line="276" w:lineRule="auto"/>
              <w:rPr>
                <w:sz w:val="22"/>
                <w:szCs w:val="22"/>
              </w:rPr>
            </w:pPr>
            <w:r w:rsidRPr="00DA2300">
              <w:rPr>
                <w:sz w:val="22"/>
                <w:szCs w:val="22"/>
              </w:rPr>
              <w:lastRenderedPageBreak/>
              <w:t>If people who applied failed to receive work assignments within 15 days, they are entitled to receive unemployment allowances.</w:t>
            </w:r>
          </w:p>
          <w:p w14:paraId="5F39414E" w14:textId="77777777" w:rsidR="00DA2300" w:rsidRPr="00DA2300" w:rsidRDefault="00DA2300" w:rsidP="00DA2300">
            <w:pPr>
              <w:spacing w:line="276" w:lineRule="auto"/>
              <w:rPr>
                <w:sz w:val="22"/>
                <w:szCs w:val="22"/>
              </w:rPr>
            </w:pPr>
          </w:p>
        </w:tc>
        <w:tc>
          <w:tcPr>
            <w:tcW w:w="5490" w:type="dxa"/>
            <w:shd w:val="clear" w:color="auto" w:fill="D9EAD3"/>
            <w:tcMar>
              <w:top w:w="100" w:type="dxa"/>
              <w:left w:w="100" w:type="dxa"/>
              <w:bottom w:w="100" w:type="dxa"/>
              <w:right w:w="100" w:type="dxa"/>
            </w:tcMar>
          </w:tcPr>
          <w:p w14:paraId="328B381C" w14:textId="77777777" w:rsidR="00DA2300" w:rsidRPr="00DA2300" w:rsidRDefault="00DA2300" w:rsidP="00DA2300">
            <w:pPr>
              <w:spacing w:line="276" w:lineRule="auto"/>
              <w:rPr>
                <w:sz w:val="22"/>
                <w:szCs w:val="22"/>
              </w:rPr>
            </w:pPr>
            <w:r w:rsidRPr="00DA2300">
              <w:rPr>
                <w:i/>
                <w:sz w:val="22"/>
                <w:szCs w:val="22"/>
              </w:rPr>
              <w:lastRenderedPageBreak/>
              <w:t xml:space="preserve">Economic: </w:t>
            </w:r>
            <w:r w:rsidRPr="00DA2300">
              <w:rPr>
                <w:sz w:val="22"/>
                <w:szCs w:val="22"/>
              </w:rPr>
              <w:t>Two years into the program, participants increased non-financial assets by 16% (</w:t>
            </w:r>
            <w:hyperlink r:id="rId58">
              <w:r w:rsidRPr="00DA2300">
                <w:rPr>
                  <w:rStyle w:val="Hyperlink"/>
                  <w:sz w:val="22"/>
                  <w:szCs w:val="22"/>
                </w:rPr>
                <w:t>Deininger, and Liu, 2019</w:t>
              </w:r>
            </w:hyperlink>
            <w:r w:rsidRPr="00DA2300">
              <w:rPr>
                <w:sz w:val="22"/>
                <w:szCs w:val="22"/>
              </w:rPr>
              <w:t>) strengthening their resilience to economic or environmental shock in the future. The policy didn’t change the gender wage gap in field labor such as agriculture (agriculture is a representative field of work for lower-income families). (</w:t>
            </w:r>
            <w:hyperlink r:id="rId59">
              <w:r w:rsidRPr="00DA2300">
                <w:rPr>
                  <w:rStyle w:val="Hyperlink"/>
                  <w:sz w:val="22"/>
                  <w:szCs w:val="22"/>
                </w:rPr>
                <w:t>Berg et al., 2012</w:t>
              </w:r>
            </w:hyperlink>
            <w:r w:rsidRPr="00DA2300">
              <w:rPr>
                <w:sz w:val="22"/>
                <w:szCs w:val="22"/>
              </w:rPr>
              <w:t>)</w:t>
            </w:r>
          </w:p>
          <w:p w14:paraId="21F45DCB" w14:textId="77777777" w:rsidR="00DA2300" w:rsidRPr="00DA2300" w:rsidRDefault="00DA2300" w:rsidP="00DA2300">
            <w:pPr>
              <w:spacing w:line="276" w:lineRule="auto"/>
              <w:rPr>
                <w:sz w:val="22"/>
                <w:szCs w:val="22"/>
              </w:rPr>
            </w:pPr>
          </w:p>
          <w:p w14:paraId="36BF037F" w14:textId="77777777" w:rsidR="00DA2300" w:rsidRPr="00DA2300" w:rsidRDefault="00DA2300" w:rsidP="00DA2300">
            <w:pPr>
              <w:spacing w:line="276" w:lineRule="auto"/>
              <w:rPr>
                <w:sz w:val="22"/>
                <w:szCs w:val="22"/>
              </w:rPr>
            </w:pPr>
            <w:r w:rsidRPr="00DA2300">
              <w:rPr>
                <w:i/>
                <w:sz w:val="22"/>
                <w:szCs w:val="22"/>
              </w:rPr>
              <w:t xml:space="preserve">Behavioral/Structural: </w:t>
            </w:r>
            <w:r w:rsidRPr="00DA2300">
              <w:rPr>
                <w:sz w:val="22"/>
                <w:szCs w:val="22"/>
              </w:rPr>
              <w:t>Participants increased protein intake and energy by 6.9% on average after one-year exposure to the program, improving the nutrition in their diet (</w:t>
            </w:r>
            <w:hyperlink r:id="rId60">
              <w:r w:rsidRPr="00DA2300">
                <w:rPr>
                  <w:rStyle w:val="Hyperlink"/>
                  <w:sz w:val="22"/>
                  <w:szCs w:val="22"/>
                </w:rPr>
                <w:t>Deininger, and Liu, 2019</w:t>
              </w:r>
            </w:hyperlink>
            <w:r w:rsidRPr="00DA2300">
              <w:rPr>
                <w:sz w:val="22"/>
                <w:szCs w:val="22"/>
              </w:rPr>
              <w:t xml:space="preserve">). Helped reduce gender </w:t>
            </w:r>
            <w:r w:rsidRPr="00DA2300">
              <w:rPr>
                <w:sz w:val="22"/>
                <w:szCs w:val="22"/>
              </w:rPr>
              <w:lastRenderedPageBreak/>
              <w:t xml:space="preserve">inequality by giving priorities to female employments for public </w:t>
            </w:r>
            <w:proofErr w:type="gramStart"/>
            <w:r w:rsidRPr="00DA2300">
              <w:rPr>
                <w:sz w:val="22"/>
                <w:szCs w:val="22"/>
              </w:rPr>
              <w:t>work, and</w:t>
            </w:r>
            <w:proofErr w:type="gramEnd"/>
            <w:r w:rsidRPr="00DA2300">
              <w:rPr>
                <w:sz w:val="22"/>
                <w:szCs w:val="22"/>
              </w:rPr>
              <w:t xml:space="preserve"> reserving one-third of the jobs in the program for women. The higher income for women in rural areas help increasing their investments in the education of their children.(</w:t>
            </w:r>
            <w:hyperlink r:id="rId61">
              <w:r w:rsidRPr="00DA2300">
                <w:rPr>
                  <w:rStyle w:val="Hyperlink"/>
                  <w:sz w:val="22"/>
                  <w:szCs w:val="22"/>
                </w:rPr>
                <w:t>Afridi et al., 2016</w:t>
              </w:r>
            </w:hyperlink>
            <w:r w:rsidRPr="00DA2300">
              <w:rPr>
                <w:sz w:val="22"/>
                <w:szCs w:val="22"/>
              </w:rPr>
              <w:t>)</w:t>
            </w:r>
          </w:p>
          <w:p w14:paraId="58F5F54E" w14:textId="77777777" w:rsidR="00DA2300" w:rsidRPr="00DA2300" w:rsidRDefault="00DA2300" w:rsidP="00DA2300">
            <w:pPr>
              <w:spacing w:line="276" w:lineRule="auto"/>
              <w:rPr>
                <w:sz w:val="22"/>
                <w:szCs w:val="22"/>
              </w:rPr>
            </w:pPr>
          </w:p>
          <w:p w14:paraId="6ED086D4" w14:textId="77777777" w:rsidR="00DA2300" w:rsidRPr="00DA2300" w:rsidRDefault="00DA2300" w:rsidP="00DA2300">
            <w:pPr>
              <w:spacing w:line="276" w:lineRule="auto"/>
              <w:rPr>
                <w:sz w:val="22"/>
                <w:szCs w:val="22"/>
              </w:rPr>
            </w:pPr>
            <w:r w:rsidRPr="00DA2300">
              <w:rPr>
                <w:sz w:val="22"/>
                <w:szCs w:val="22"/>
              </w:rPr>
              <w:t>*Problem: However, in Bihar, India’s poorest state for example, people are not getting all the work they were looking for and not receiving all the wages they were due to get. Local governments also fail to implement the program effectively due to local complications and incapability of financial management (</w:t>
            </w:r>
            <w:hyperlink r:id="rId62">
              <w:r w:rsidRPr="00DA2300">
                <w:rPr>
                  <w:rStyle w:val="Hyperlink"/>
                  <w:sz w:val="22"/>
                  <w:szCs w:val="22"/>
                </w:rPr>
                <w:t xml:space="preserve">Puja et al., </w:t>
              </w:r>
              <w:proofErr w:type="spellStart"/>
              <w:r w:rsidRPr="00DA2300">
                <w:rPr>
                  <w:rStyle w:val="Hyperlink"/>
                  <w:sz w:val="22"/>
                  <w:szCs w:val="22"/>
                </w:rPr>
                <w:t>Worldbank</w:t>
              </w:r>
              <w:proofErr w:type="spellEnd"/>
              <w:r w:rsidRPr="00DA2300">
                <w:rPr>
                  <w:rStyle w:val="Hyperlink"/>
                  <w:sz w:val="22"/>
                  <w:szCs w:val="22"/>
                </w:rPr>
                <w:t>, 2014</w:t>
              </w:r>
            </w:hyperlink>
            <w:r w:rsidRPr="00DA2300">
              <w:rPr>
                <w:sz w:val="22"/>
                <w:szCs w:val="22"/>
              </w:rPr>
              <w:t>).</w:t>
            </w:r>
          </w:p>
          <w:p w14:paraId="50D15685" w14:textId="77777777" w:rsidR="00DA2300" w:rsidRPr="00DA2300" w:rsidRDefault="00DA2300" w:rsidP="00DA2300">
            <w:pPr>
              <w:spacing w:line="276" w:lineRule="auto"/>
              <w:rPr>
                <w:sz w:val="22"/>
                <w:szCs w:val="22"/>
              </w:rPr>
            </w:pPr>
            <w:r w:rsidRPr="00DA2300">
              <w:rPr>
                <w:sz w:val="22"/>
                <w:szCs w:val="22"/>
              </w:rPr>
              <w:t xml:space="preserve"> </w:t>
            </w:r>
          </w:p>
        </w:tc>
        <w:tc>
          <w:tcPr>
            <w:tcW w:w="1465" w:type="dxa"/>
            <w:shd w:val="clear" w:color="auto" w:fill="D9EAD3"/>
            <w:tcMar>
              <w:top w:w="100" w:type="dxa"/>
              <w:left w:w="100" w:type="dxa"/>
              <w:bottom w:w="100" w:type="dxa"/>
              <w:right w:w="100" w:type="dxa"/>
            </w:tcMar>
          </w:tcPr>
          <w:p w14:paraId="09F10E8D" w14:textId="77777777" w:rsidR="00DA2300" w:rsidRPr="00DA2300" w:rsidRDefault="00DA2300" w:rsidP="00DA2300">
            <w:pPr>
              <w:spacing w:line="276" w:lineRule="auto"/>
              <w:rPr>
                <w:sz w:val="22"/>
                <w:szCs w:val="22"/>
              </w:rPr>
            </w:pPr>
            <w:r w:rsidRPr="00DA2300">
              <w:rPr>
                <w:rFonts w:ascii="Segoe UI Symbol" w:hAnsi="Segoe UI Symbol" w:cs="Segoe UI Symbol"/>
                <w:sz w:val="22"/>
                <w:szCs w:val="22"/>
              </w:rPr>
              <w:lastRenderedPageBreak/>
              <w:t>★★★</w:t>
            </w:r>
          </w:p>
        </w:tc>
      </w:tr>
      <w:tr w:rsidR="00DA2300" w:rsidRPr="00DA2300" w14:paraId="31B516D9" w14:textId="77777777" w:rsidTr="00AE0940">
        <w:tc>
          <w:tcPr>
            <w:tcW w:w="1440" w:type="dxa"/>
            <w:shd w:val="clear" w:color="auto" w:fill="D9EAD3"/>
            <w:tcMar>
              <w:top w:w="100" w:type="dxa"/>
              <w:left w:w="100" w:type="dxa"/>
              <w:bottom w:w="100" w:type="dxa"/>
              <w:right w:w="100" w:type="dxa"/>
            </w:tcMar>
          </w:tcPr>
          <w:p w14:paraId="34443E09" w14:textId="77777777" w:rsidR="00DA2300" w:rsidRPr="00DA2300" w:rsidRDefault="00DA2300" w:rsidP="00DA2300">
            <w:pPr>
              <w:spacing w:line="276" w:lineRule="auto"/>
              <w:rPr>
                <w:sz w:val="22"/>
                <w:szCs w:val="22"/>
              </w:rPr>
            </w:pPr>
            <w:r w:rsidRPr="00DA2300">
              <w:rPr>
                <w:sz w:val="22"/>
                <w:szCs w:val="22"/>
              </w:rPr>
              <w:t>Federal Allowances</w:t>
            </w:r>
          </w:p>
        </w:tc>
        <w:tc>
          <w:tcPr>
            <w:tcW w:w="1665" w:type="dxa"/>
            <w:shd w:val="clear" w:color="auto" w:fill="D9EAD3"/>
            <w:tcMar>
              <w:top w:w="100" w:type="dxa"/>
              <w:left w:w="100" w:type="dxa"/>
              <w:bottom w:w="100" w:type="dxa"/>
              <w:right w:w="100" w:type="dxa"/>
            </w:tcMar>
          </w:tcPr>
          <w:p w14:paraId="390CB12B" w14:textId="77777777" w:rsidR="00DA2300" w:rsidRPr="00DA2300" w:rsidRDefault="00717449" w:rsidP="00DA2300">
            <w:pPr>
              <w:spacing w:line="276" w:lineRule="auto"/>
              <w:rPr>
                <w:sz w:val="22"/>
                <w:szCs w:val="22"/>
              </w:rPr>
            </w:pPr>
            <w:hyperlink r:id="rId63">
              <w:r w:rsidR="00DA2300" w:rsidRPr="00DA2300">
                <w:rPr>
                  <w:rStyle w:val="Hyperlink"/>
                  <w:sz w:val="22"/>
                  <w:szCs w:val="22"/>
                </w:rPr>
                <w:t>Supplementary Child Allowance</w:t>
              </w:r>
            </w:hyperlink>
            <w:r w:rsidR="00DA2300" w:rsidRPr="00DA2300">
              <w:rPr>
                <w:sz w:val="22"/>
                <w:szCs w:val="22"/>
              </w:rPr>
              <w:t xml:space="preserve"> </w:t>
            </w:r>
            <w:r w:rsidR="00DA2300" w:rsidRPr="00DA2300">
              <w:rPr>
                <w:sz w:val="22"/>
                <w:szCs w:val="22"/>
              </w:rPr>
              <w:br/>
              <w:t>(2005-present)</w:t>
            </w:r>
          </w:p>
        </w:tc>
        <w:tc>
          <w:tcPr>
            <w:tcW w:w="1485" w:type="dxa"/>
            <w:shd w:val="clear" w:color="auto" w:fill="D9EAD3"/>
            <w:tcMar>
              <w:top w:w="100" w:type="dxa"/>
              <w:left w:w="100" w:type="dxa"/>
              <w:bottom w:w="100" w:type="dxa"/>
              <w:right w:w="100" w:type="dxa"/>
            </w:tcMar>
          </w:tcPr>
          <w:p w14:paraId="36F5868E" w14:textId="77777777" w:rsidR="00DA2300" w:rsidRPr="00DA2300" w:rsidRDefault="00DA2300" w:rsidP="00DA2300">
            <w:pPr>
              <w:spacing w:line="276" w:lineRule="auto"/>
              <w:rPr>
                <w:sz w:val="22"/>
                <w:szCs w:val="22"/>
              </w:rPr>
            </w:pPr>
            <w:r w:rsidRPr="00DA2300">
              <w:rPr>
                <w:sz w:val="22"/>
                <w:szCs w:val="22"/>
              </w:rPr>
              <w:t>Germany</w:t>
            </w:r>
          </w:p>
        </w:tc>
        <w:tc>
          <w:tcPr>
            <w:tcW w:w="2970" w:type="dxa"/>
            <w:shd w:val="clear" w:color="auto" w:fill="D9EAD3"/>
            <w:tcMar>
              <w:top w:w="100" w:type="dxa"/>
              <w:left w:w="100" w:type="dxa"/>
              <w:bottom w:w="100" w:type="dxa"/>
              <w:right w:w="100" w:type="dxa"/>
            </w:tcMar>
          </w:tcPr>
          <w:p w14:paraId="0437B774" w14:textId="77777777" w:rsidR="00DA2300" w:rsidRPr="00DA2300" w:rsidRDefault="00DA2300" w:rsidP="00DA2300">
            <w:pPr>
              <w:spacing w:line="276" w:lineRule="auto"/>
              <w:rPr>
                <w:sz w:val="22"/>
                <w:szCs w:val="22"/>
              </w:rPr>
            </w:pPr>
            <w:r w:rsidRPr="00DA2300">
              <w:rPr>
                <w:sz w:val="22"/>
                <w:szCs w:val="22"/>
              </w:rPr>
              <w:t xml:space="preserve">Monthly payments for families where parents earn enough money to support themselves but not their children; amount depends on financial </w:t>
            </w:r>
            <w:proofErr w:type="gramStart"/>
            <w:r w:rsidRPr="00DA2300">
              <w:rPr>
                <w:sz w:val="22"/>
                <w:szCs w:val="22"/>
              </w:rPr>
              <w:t>situation;</w:t>
            </w:r>
            <w:proofErr w:type="gramEnd"/>
            <w:r w:rsidRPr="00DA2300">
              <w:rPr>
                <w:sz w:val="22"/>
                <w:szCs w:val="22"/>
              </w:rPr>
              <w:t xml:space="preserve"> </w:t>
            </w:r>
          </w:p>
          <w:p w14:paraId="688583A7" w14:textId="77777777" w:rsidR="00DA2300" w:rsidRPr="00DA2300" w:rsidRDefault="00DA2300" w:rsidP="00DA2300">
            <w:pPr>
              <w:spacing w:line="276" w:lineRule="auto"/>
              <w:rPr>
                <w:sz w:val="22"/>
                <w:szCs w:val="22"/>
              </w:rPr>
            </w:pPr>
            <w:r w:rsidRPr="00DA2300">
              <w:rPr>
                <w:sz w:val="22"/>
                <w:szCs w:val="22"/>
              </w:rPr>
              <w:t>parents’ wages must lay between a min. and max. value.</w:t>
            </w:r>
          </w:p>
        </w:tc>
        <w:tc>
          <w:tcPr>
            <w:tcW w:w="5490" w:type="dxa"/>
            <w:shd w:val="clear" w:color="auto" w:fill="D9EAD3"/>
            <w:tcMar>
              <w:top w:w="100" w:type="dxa"/>
              <w:left w:w="100" w:type="dxa"/>
              <w:bottom w:w="100" w:type="dxa"/>
              <w:right w:w="100" w:type="dxa"/>
            </w:tcMar>
          </w:tcPr>
          <w:p w14:paraId="65188571" w14:textId="77777777" w:rsidR="00DA2300" w:rsidRPr="00DA2300" w:rsidRDefault="00DA2300" w:rsidP="00DA2300">
            <w:pPr>
              <w:spacing w:line="276" w:lineRule="auto"/>
              <w:rPr>
                <w:sz w:val="22"/>
                <w:szCs w:val="22"/>
              </w:rPr>
            </w:pPr>
            <w:r w:rsidRPr="00DA2300">
              <w:rPr>
                <w:i/>
                <w:sz w:val="22"/>
                <w:szCs w:val="22"/>
              </w:rPr>
              <w:t>Economic:</w:t>
            </w:r>
            <w:r w:rsidRPr="00DA2300">
              <w:rPr>
                <w:sz w:val="22"/>
                <w:szCs w:val="22"/>
              </w:rPr>
              <w:t xml:space="preserve"> Improved financial situation for 81% of the recipients, especially for households with several children; worsened financial situation for 9% (</w:t>
            </w:r>
            <w:hyperlink r:id="rId64">
              <w:r w:rsidRPr="00DA2300">
                <w:rPr>
                  <w:rStyle w:val="Hyperlink"/>
                  <w:sz w:val="22"/>
                  <w:szCs w:val="22"/>
                </w:rPr>
                <w:t>Bonin et al., 2013</w:t>
              </w:r>
            </w:hyperlink>
            <w:r w:rsidRPr="00DA2300">
              <w:rPr>
                <w:sz w:val="22"/>
                <w:szCs w:val="22"/>
              </w:rPr>
              <w:t xml:space="preserve">; </w:t>
            </w:r>
            <w:hyperlink r:id="rId65">
              <w:proofErr w:type="spellStart"/>
              <w:r w:rsidRPr="00DA2300">
                <w:rPr>
                  <w:rStyle w:val="Hyperlink"/>
                  <w:sz w:val="22"/>
                  <w:szCs w:val="22"/>
                </w:rPr>
                <w:t>Bundesministerium</w:t>
              </w:r>
              <w:proofErr w:type="spellEnd"/>
              <w:r w:rsidRPr="00DA2300">
                <w:rPr>
                  <w:rStyle w:val="Hyperlink"/>
                  <w:sz w:val="22"/>
                  <w:szCs w:val="22"/>
                </w:rPr>
                <w:t xml:space="preserve"> für </w:t>
              </w:r>
              <w:proofErr w:type="spellStart"/>
              <w:r w:rsidRPr="00DA2300">
                <w:rPr>
                  <w:rStyle w:val="Hyperlink"/>
                  <w:sz w:val="22"/>
                  <w:szCs w:val="22"/>
                </w:rPr>
                <w:t>Familie</w:t>
              </w:r>
              <w:proofErr w:type="spellEnd"/>
              <w:r w:rsidRPr="00DA2300">
                <w:rPr>
                  <w:rStyle w:val="Hyperlink"/>
                  <w:sz w:val="22"/>
                  <w:szCs w:val="22"/>
                </w:rPr>
                <w:t xml:space="preserve">, </w:t>
              </w:r>
              <w:proofErr w:type="spellStart"/>
              <w:r w:rsidRPr="00DA2300">
                <w:rPr>
                  <w:rStyle w:val="Hyperlink"/>
                  <w:sz w:val="22"/>
                  <w:szCs w:val="22"/>
                </w:rPr>
                <w:t>Senioren</w:t>
              </w:r>
              <w:proofErr w:type="spellEnd"/>
              <w:r w:rsidRPr="00DA2300">
                <w:rPr>
                  <w:rStyle w:val="Hyperlink"/>
                  <w:sz w:val="22"/>
                  <w:szCs w:val="22"/>
                </w:rPr>
                <w:t xml:space="preserve">, Frauen und </w:t>
              </w:r>
              <w:proofErr w:type="spellStart"/>
              <w:r w:rsidRPr="00DA2300">
                <w:rPr>
                  <w:rStyle w:val="Hyperlink"/>
                  <w:sz w:val="22"/>
                  <w:szCs w:val="22"/>
                </w:rPr>
                <w:t>Jugend</w:t>
              </w:r>
              <w:proofErr w:type="spellEnd"/>
              <w:r w:rsidRPr="00DA2300">
                <w:rPr>
                  <w:rStyle w:val="Hyperlink"/>
                  <w:sz w:val="22"/>
                  <w:szCs w:val="22"/>
                </w:rPr>
                <w:t>, 2009</w:t>
              </w:r>
            </w:hyperlink>
            <w:r w:rsidRPr="00DA2300">
              <w:rPr>
                <w:sz w:val="22"/>
                <w:szCs w:val="22"/>
              </w:rPr>
              <w:t>).</w:t>
            </w:r>
            <w:r w:rsidRPr="00DA2300">
              <w:rPr>
                <w:sz w:val="22"/>
                <w:szCs w:val="22"/>
              </w:rPr>
              <w:br/>
              <w:t xml:space="preserve"> </w:t>
            </w:r>
          </w:p>
          <w:p w14:paraId="78C42FD7" w14:textId="77777777" w:rsidR="00DA2300" w:rsidRPr="00DA2300" w:rsidRDefault="00DA2300" w:rsidP="00DA2300">
            <w:pPr>
              <w:spacing w:line="276" w:lineRule="auto"/>
              <w:rPr>
                <w:sz w:val="22"/>
                <w:szCs w:val="22"/>
              </w:rPr>
            </w:pPr>
            <w:r w:rsidRPr="00DA2300">
              <w:rPr>
                <w:i/>
                <w:sz w:val="22"/>
                <w:szCs w:val="22"/>
              </w:rPr>
              <w:t>Behavioral:</w:t>
            </w:r>
            <w:r w:rsidRPr="00DA2300">
              <w:rPr>
                <w:sz w:val="22"/>
                <w:szCs w:val="22"/>
              </w:rPr>
              <w:t xml:space="preserve"> Overall, no change in employment rate. Parents close to the minimum wage limit are motivated to pick up employment, parents close to the maximum wage limit are motivated to decrease employment (</w:t>
            </w:r>
            <w:hyperlink r:id="rId66">
              <w:r w:rsidRPr="00DA2300">
                <w:rPr>
                  <w:rStyle w:val="Hyperlink"/>
                  <w:sz w:val="22"/>
                  <w:szCs w:val="22"/>
                </w:rPr>
                <w:t>Bonin et al., 2013</w:t>
              </w:r>
            </w:hyperlink>
            <w:r w:rsidRPr="00DA2300">
              <w:rPr>
                <w:sz w:val="22"/>
                <w:szCs w:val="22"/>
              </w:rPr>
              <w:t xml:space="preserve">; </w:t>
            </w:r>
            <w:hyperlink r:id="rId67">
              <w:proofErr w:type="spellStart"/>
              <w:r w:rsidRPr="00DA2300">
                <w:rPr>
                  <w:rStyle w:val="Hyperlink"/>
                  <w:sz w:val="22"/>
                  <w:szCs w:val="22"/>
                </w:rPr>
                <w:t>Bundesministerium</w:t>
              </w:r>
              <w:proofErr w:type="spellEnd"/>
              <w:r w:rsidRPr="00DA2300">
                <w:rPr>
                  <w:rStyle w:val="Hyperlink"/>
                  <w:sz w:val="22"/>
                  <w:szCs w:val="22"/>
                </w:rPr>
                <w:t xml:space="preserve"> für </w:t>
              </w:r>
              <w:proofErr w:type="spellStart"/>
              <w:r w:rsidRPr="00DA2300">
                <w:rPr>
                  <w:rStyle w:val="Hyperlink"/>
                  <w:sz w:val="22"/>
                  <w:szCs w:val="22"/>
                </w:rPr>
                <w:t>Familie</w:t>
              </w:r>
              <w:proofErr w:type="spellEnd"/>
              <w:r w:rsidRPr="00DA2300">
                <w:rPr>
                  <w:rStyle w:val="Hyperlink"/>
                  <w:sz w:val="22"/>
                  <w:szCs w:val="22"/>
                </w:rPr>
                <w:t xml:space="preserve">, </w:t>
              </w:r>
              <w:proofErr w:type="spellStart"/>
              <w:r w:rsidRPr="00DA2300">
                <w:rPr>
                  <w:rStyle w:val="Hyperlink"/>
                  <w:sz w:val="22"/>
                  <w:szCs w:val="22"/>
                </w:rPr>
                <w:t>Senioren</w:t>
              </w:r>
              <w:proofErr w:type="spellEnd"/>
              <w:r w:rsidRPr="00DA2300">
                <w:rPr>
                  <w:rStyle w:val="Hyperlink"/>
                  <w:sz w:val="22"/>
                  <w:szCs w:val="22"/>
                </w:rPr>
                <w:t xml:space="preserve">, Frauen und </w:t>
              </w:r>
              <w:proofErr w:type="spellStart"/>
              <w:r w:rsidRPr="00DA2300">
                <w:rPr>
                  <w:rStyle w:val="Hyperlink"/>
                  <w:sz w:val="22"/>
                  <w:szCs w:val="22"/>
                </w:rPr>
                <w:t>Jugend</w:t>
              </w:r>
              <w:proofErr w:type="spellEnd"/>
              <w:r w:rsidRPr="00DA2300">
                <w:rPr>
                  <w:rStyle w:val="Hyperlink"/>
                  <w:sz w:val="22"/>
                  <w:szCs w:val="22"/>
                </w:rPr>
                <w:t>, 2009</w:t>
              </w:r>
            </w:hyperlink>
            <w:r w:rsidRPr="00DA2300">
              <w:rPr>
                <w:sz w:val="22"/>
                <w:szCs w:val="22"/>
              </w:rPr>
              <w:t>).</w:t>
            </w:r>
          </w:p>
          <w:p w14:paraId="196C4B9C" w14:textId="77777777" w:rsidR="00DA2300" w:rsidRPr="00DA2300" w:rsidRDefault="00DA2300" w:rsidP="00DA2300">
            <w:pPr>
              <w:spacing w:line="276" w:lineRule="auto"/>
              <w:rPr>
                <w:sz w:val="22"/>
                <w:szCs w:val="22"/>
              </w:rPr>
            </w:pPr>
          </w:p>
          <w:p w14:paraId="6A9D66ED" w14:textId="77777777" w:rsidR="00DA2300" w:rsidRPr="00DA2300" w:rsidRDefault="00DA2300" w:rsidP="00DA2300">
            <w:pPr>
              <w:spacing w:line="276" w:lineRule="auto"/>
              <w:rPr>
                <w:sz w:val="22"/>
                <w:szCs w:val="22"/>
              </w:rPr>
            </w:pPr>
            <w:r w:rsidRPr="00DA2300">
              <w:rPr>
                <w:sz w:val="22"/>
                <w:szCs w:val="22"/>
              </w:rPr>
              <w:t>*Problem: Many eligible families did not apply due to lack of awareness and complicated requirements (</w:t>
            </w:r>
            <w:hyperlink r:id="rId68">
              <w:r w:rsidRPr="00DA2300">
                <w:rPr>
                  <w:rStyle w:val="Hyperlink"/>
                  <w:sz w:val="22"/>
                  <w:szCs w:val="22"/>
                </w:rPr>
                <w:t>Bonin et al., 2013</w:t>
              </w:r>
            </w:hyperlink>
            <w:r w:rsidRPr="00DA2300">
              <w:rPr>
                <w:sz w:val="22"/>
                <w:szCs w:val="22"/>
              </w:rPr>
              <w:t xml:space="preserve">; </w:t>
            </w:r>
            <w:hyperlink r:id="rId69">
              <w:proofErr w:type="spellStart"/>
              <w:r w:rsidRPr="00DA2300">
                <w:rPr>
                  <w:rStyle w:val="Hyperlink"/>
                  <w:sz w:val="22"/>
                  <w:szCs w:val="22"/>
                </w:rPr>
                <w:t>Bundesministerium</w:t>
              </w:r>
              <w:proofErr w:type="spellEnd"/>
              <w:r w:rsidRPr="00DA2300">
                <w:rPr>
                  <w:rStyle w:val="Hyperlink"/>
                  <w:sz w:val="22"/>
                  <w:szCs w:val="22"/>
                </w:rPr>
                <w:t xml:space="preserve"> für </w:t>
              </w:r>
              <w:proofErr w:type="spellStart"/>
              <w:r w:rsidRPr="00DA2300">
                <w:rPr>
                  <w:rStyle w:val="Hyperlink"/>
                  <w:sz w:val="22"/>
                  <w:szCs w:val="22"/>
                </w:rPr>
                <w:t>Familie</w:t>
              </w:r>
              <w:proofErr w:type="spellEnd"/>
              <w:r w:rsidRPr="00DA2300">
                <w:rPr>
                  <w:rStyle w:val="Hyperlink"/>
                  <w:sz w:val="22"/>
                  <w:szCs w:val="22"/>
                </w:rPr>
                <w:t xml:space="preserve">, </w:t>
              </w:r>
              <w:proofErr w:type="spellStart"/>
              <w:r w:rsidRPr="00DA2300">
                <w:rPr>
                  <w:rStyle w:val="Hyperlink"/>
                  <w:sz w:val="22"/>
                  <w:szCs w:val="22"/>
                </w:rPr>
                <w:t>Senioren</w:t>
              </w:r>
              <w:proofErr w:type="spellEnd"/>
              <w:r w:rsidRPr="00DA2300">
                <w:rPr>
                  <w:rStyle w:val="Hyperlink"/>
                  <w:sz w:val="22"/>
                  <w:szCs w:val="22"/>
                </w:rPr>
                <w:t xml:space="preserve">, Frauen und </w:t>
              </w:r>
              <w:proofErr w:type="spellStart"/>
              <w:r w:rsidRPr="00DA2300">
                <w:rPr>
                  <w:rStyle w:val="Hyperlink"/>
                  <w:sz w:val="22"/>
                  <w:szCs w:val="22"/>
                </w:rPr>
                <w:t>Jugend</w:t>
              </w:r>
              <w:proofErr w:type="spellEnd"/>
              <w:r w:rsidRPr="00DA2300">
                <w:rPr>
                  <w:rStyle w:val="Hyperlink"/>
                  <w:sz w:val="22"/>
                  <w:szCs w:val="22"/>
                </w:rPr>
                <w:t>, 2009</w:t>
              </w:r>
            </w:hyperlink>
            <w:r w:rsidRPr="00DA2300">
              <w:rPr>
                <w:sz w:val="22"/>
                <w:szCs w:val="22"/>
              </w:rPr>
              <w:t>).</w:t>
            </w:r>
          </w:p>
        </w:tc>
        <w:tc>
          <w:tcPr>
            <w:tcW w:w="1465" w:type="dxa"/>
            <w:shd w:val="clear" w:color="auto" w:fill="D9EAD3"/>
            <w:tcMar>
              <w:top w:w="100" w:type="dxa"/>
              <w:left w:w="100" w:type="dxa"/>
              <w:bottom w:w="100" w:type="dxa"/>
              <w:right w:w="100" w:type="dxa"/>
            </w:tcMar>
          </w:tcPr>
          <w:p w14:paraId="33828856" w14:textId="77777777" w:rsidR="00DA2300" w:rsidRPr="00DA2300" w:rsidRDefault="00DA2300" w:rsidP="00DA2300">
            <w:pPr>
              <w:spacing w:line="276" w:lineRule="auto"/>
              <w:rPr>
                <w:sz w:val="22"/>
                <w:szCs w:val="22"/>
              </w:rPr>
            </w:pPr>
            <w:r w:rsidRPr="00DA2300">
              <w:rPr>
                <w:rFonts w:ascii="Segoe UI Symbol" w:hAnsi="Segoe UI Symbol" w:cs="Segoe UI Symbol"/>
                <w:sz w:val="22"/>
                <w:szCs w:val="22"/>
              </w:rPr>
              <w:t>★★</w:t>
            </w:r>
          </w:p>
        </w:tc>
      </w:tr>
      <w:tr w:rsidR="00DA2300" w:rsidRPr="00DA2300" w14:paraId="077EC9E7" w14:textId="77777777" w:rsidTr="00AE0940">
        <w:trPr>
          <w:trHeight w:val="2979"/>
        </w:trPr>
        <w:tc>
          <w:tcPr>
            <w:tcW w:w="1440" w:type="dxa"/>
            <w:shd w:val="clear" w:color="auto" w:fill="D9EAD3"/>
            <w:tcMar>
              <w:top w:w="100" w:type="dxa"/>
              <w:left w:w="100" w:type="dxa"/>
              <w:bottom w:w="100" w:type="dxa"/>
              <w:right w:w="100" w:type="dxa"/>
            </w:tcMar>
          </w:tcPr>
          <w:p w14:paraId="0B3A40E0" w14:textId="77777777" w:rsidR="00DA2300" w:rsidRPr="00DA2300" w:rsidRDefault="00DA2300" w:rsidP="00DA2300">
            <w:pPr>
              <w:spacing w:line="276" w:lineRule="auto"/>
              <w:rPr>
                <w:sz w:val="22"/>
                <w:szCs w:val="22"/>
              </w:rPr>
            </w:pPr>
            <w:r w:rsidRPr="00DA2300">
              <w:rPr>
                <w:sz w:val="22"/>
                <w:szCs w:val="22"/>
              </w:rPr>
              <w:lastRenderedPageBreak/>
              <w:t>Education/</w:t>
            </w:r>
          </w:p>
          <w:p w14:paraId="54D79423" w14:textId="77777777" w:rsidR="00DA2300" w:rsidRPr="00DA2300" w:rsidRDefault="00DA2300" w:rsidP="00DA2300">
            <w:pPr>
              <w:spacing w:line="276" w:lineRule="auto"/>
              <w:rPr>
                <w:sz w:val="22"/>
                <w:szCs w:val="22"/>
              </w:rPr>
            </w:pPr>
            <w:r w:rsidRPr="00DA2300">
              <w:rPr>
                <w:sz w:val="22"/>
                <w:szCs w:val="22"/>
              </w:rPr>
              <w:t>Child Labor/</w:t>
            </w:r>
          </w:p>
          <w:p w14:paraId="6D5AD67B" w14:textId="77777777" w:rsidR="00DA2300" w:rsidRPr="00DA2300" w:rsidRDefault="00DA2300" w:rsidP="00DA2300">
            <w:pPr>
              <w:spacing w:line="276" w:lineRule="auto"/>
              <w:rPr>
                <w:sz w:val="22"/>
                <w:szCs w:val="22"/>
              </w:rPr>
            </w:pPr>
            <w:r w:rsidRPr="00DA2300">
              <w:rPr>
                <w:sz w:val="22"/>
                <w:szCs w:val="22"/>
              </w:rPr>
              <w:t>Vocational Training</w:t>
            </w:r>
          </w:p>
        </w:tc>
        <w:tc>
          <w:tcPr>
            <w:tcW w:w="1665" w:type="dxa"/>
            <w:shd w:val="clear" w:color="auto" w:fill="D9EAD3"/>
            <w:tcMar>
              <w:top w:w="100" w:type="dxa"/>
              <w:left w:w="100" w:type="dxa"/>
              <w:bottom w:w="100" w:type="dxa"/>
              <w:right w:w="100" w:type="dxa"/>
            </w:tcMar>
          </w:tcPr>
          <w:p w14:paraId="50E32FBC" w14:textId="77777777" w:rsidR="00DA2300" w:rsidRPr="00DA2300" w:rsidRDefault="00717449" w:rsidP="00DA2300">
            <w:pPr>
              <w:spacing w:line="276" w:lineRule="auto"/>
              <w:rPr>
                <w:sz w:val="22"/>
                <w:szCs w:val="22"/>
              </w:rPr>
            </w:pPr>
            <w:hyperlink r:id="rId70">
              <w:r w:rsidR="00DA2300" w:rsidRPr="00DA2300">
                <w:rPr>
                  <w:rStyle w:val="Hyperlink"/>
                  <w:sz w:val="22"/>
                  <w:szCs w:val="22"/>
                </w:rPr>
                <w:t>The Khyber Pakhtunkhwa Free Compulsory Primary and Secondary Education Act, 2017</w:t>
              </w:r>
            </w:hyperlink>
            <w:r w:rsidR="00DA2300" w:rsidRPr="00DA2300">
              <w:rPr>
                <w:sz w:val="22"/>
                <w:szCs w:val="22"/>
              </w:rPr>
              <w:t xml:space="preserve"> (Act. No XII of 2017).</w:t>
            </w:r>
          </w:p>
        </w:tc>
        <w:tc>
          <w:tcPr>
            <w:tcW w:w="1485" w:type="dxa"/>
            <w:shd w:val="clear" w:color="auto" w:fill="D9EAD3"/>
            <w:tcMar>
              <w:top w:w="100" w:type="dxa"/>
              <w:left w:w="100" w:type="dxa"/>
              <w:bottom w:w="100" w:type="dxa"/>
              <w:right w:w="100" w:type="dxa"/>
            </w:tcMar>
          </w:tcPr>
          <w:p w14:paraId="36AB0D4C" w14:textId="77777777" w:rsidR="00DA2300" w:rsidRPr="00DA2300" w:rsidRDefault="00DA2300" w:rsidP="00DA2300">
            <w:pPr>
              <w:spacing w:line="276" w:lineRule="auto"/>
              <w:rPr>
                <w:sz w:val="22"/>
                <w:szCs w:val="22"/>
              </w:rPr>
            </w:pPr>
            <w:r w:rsidRPr="00DA2300">
              <w:rPr>
                <w:sz w:val="22"/>
                <w:szCs w:val="22"/>
              </w:rPr>
              <w:t>Pakistan (Khyber Pakhtunkhwa)</w:t>
            </w:r>
          </w:p>
        </w:tc>
        <w:tc>
          <w:tcPr>
            <w:tcW w:w="2970" w:type="dxa"/>
            <w:shd w:val="clear" w:color="auto" w:fill="D9EAD3"/>
            <w:tcMar>
              <w:top w:w="100" w:type="dxa"/>
              <w:left w:w="100" w:type="dxa"/>
              <w:bottom w:w="100" w:type="dxa"/>
              <w:right w:w="100" w:type="dxa"/>
            </w:tcMar>
          </w:tcPr>
          <w:p w14:paraId="5B29F9D2" w14:textId="77777777" w:rsidR="00DA2300" w:rsidRPr="00DA2300" w:rsidRDefault="00DA2300" w:rsidP="00DA2300">
            <w:pPr>
              <w:spacing w:line="276" w:lineRule="auto"/>
              <w:rPr>
                <w:sz w:val="22"/>
                <w:szCs w:val="22"/>
              </w:rPr>
            </w:pPr>
            <w:r w:rsidRPr="00DA2300">
              <w:rPr>
                <w:sz w:val="22"/>
                <w:szCs w:val="22"/>
              </w:rPr>
              <w:t xml:space="preserve">Children between 5 and 16 years of age residing in the Pakistan region of Khyber Pakhtunkhwa are provided free mandatory education through the enactment of this Act </w:t>
            </w:r>
            <w:proofErr w:type="gramStart"/>
            <w:r w:rsidRPr="00DA2300">
              <w:rPr>
                <w:sz w:val="22"/>
                <w:szCs w:val="22"/>
              </w:rPr>
              <w:t>in an effort to</w:t>
            </w:r>
            <w:proofErr w:type="gramEnd"/>
            <w:r w:rsidRPr="00DA2300">
              <w:rPr>
                <w:sz w:val="22"/>
                <w:szCs w:val="22"/>
              </w:rPr>
              <w:t xml:space="preserve"> eradicate child </w:t>
            </w:r>
            <w:proofErr w:type="spellStart"/>
            <w:r w:rsidRPr="00DA2300">
              <w:rPr>
                <w:sz w:val="22"/>
                <w:szCs w:val="22"/>
              </w:rPr>
              <w:t>labour</w:t>
            </w:r>
            <w:proofErr w:type="spellEnd"/>
            <w:r w:rsidRPr="00DA2300">
              <w:rPr>
                <w:sz w:val="22"/>
                <w:szCs w:val="22"/>
              </w:rPr>
              <w:t xml:space="preserve"> and improve access to vocational training.</w:t>
            </w:r>
          </w:p>
        </w:tc>
        <w:tc>
          <w:tcPr>
            <w:tcW w:w="5490" w:type="dxa"/>
            <w:shd w:val="clear" w:color="auto" w:fill="D9EAD3"/>
            <w:tcMar>
              <w:top w:w="100" w:type="dxa"/>
              <w:left w:w="100" w:type="dxa"/>
              <w:bottom w:w="100" w:type="dxa"/>
              <w:right w:w="100" w:type="dxa"/>
            </w:tcMar>
          </w:tcPr>
          <w:p w14:paraId="7461C5A0" w14:textId="77777777" w:rsidR="00DA2300" w:rsidRPr="00DA2300" w:rsidRDefault="00DA2300" w:rsidP="00DA2300">
            <w:pPr>
              <w:spacing w:line="276" w:lineRule="auto"/>
              <w:rPr>
                <w:i/>
                <w:sz w:val="22"/>
                <w:szCs w:val="22"/>
              </w:rPr>
            </w:pPr>
            <w:r w:rsidRPr="00DA2300">
              <w:rPr>
                <w:i/>
                <w:sz w:val="22"/>
                <w:szCs w:val="22"/>
              </w:rPr>
              <w:t>Economic:</w:t>
            </w:r>
          </w:p>
          <w:p w14:paraId="65E7913F" w14:textId="77777777" w:rsidR="00DA2300" w:rsidRPr="00DA2300" w:rsidRDefault="00DA2300" w:rsidP="00DA2300">
            <w:pPr>
              <w:spacing w:line="276" w:lineRule="auto"/>
              <w:rPr>
                <w:sz w:val="22"/>
                <w:szCs w:val="22"/>
              </w:rPr>
            </w:pPr>
            <w:r w:rsidRPr="00DA2300">
              <w:rPr>
                <w:sz w:val="22"/>
                <w:szCs w:val="22"/>
              </w:rPr>
              <w:t xml:space="preserve">No significant patterns of overall economic improvement have been reported as the Act was locally implemented in Khyber Pakhtunkhwa. </w:t>
            </w:r>
          </w:p>
          <w:p w14:paraId="7FBBFD1E" w14:textId="77777777" w:rsidR="00DA2300" w:rsidRPr="00DA2300" w:rsidRDefault="00DA2300" w:rsidP="00DA2300">
            <w:pPr>
              <w:spacing w:line="276" w:lineRule="auto"/>
              <w:rPr>
                <w:sz w:val="22"/>
                <w:szCs w:val="22"/>
              </w:rPr>
            </w:pPr>
          </w:p>
          <w:p w14:paraId="69EA62EE" w14:textId="77777777" w:rsidR="00DA2300" w:rsidRPr="00DA2300" w:rsidRDefault="00DA2300" w:rsidP="00DA2300">
            <w:pPr>
              <w:spacing w:line="276" w:lineRule="auto"/>
              <w:rPr>
                <w:i/>
                <w:sz w:val="22"/>
                <w:szCs w:val="22"/>
              </w:rPr>
            </w:pPr>
            <w:r w:rsidRPr="00DA2300">
              <w:rPr>
                <w:i/>
                <w:sz w:val="22"/>
                <w:szCs w:val="22"/>
              </w:rPr>
              <w:t>Behavioral:</w:t>
            </w:r>
          </w:p>
          <w:p w14:paraId="5FE22830" w14:textId="77777777" w:rsidR="00DA2300" w:rsidRPr="00DA2300" w:rsidRDefault="00DA2300" w:rsidP="00DA2300">
            <w:pPr>
              <w:spacing w:line="276" w:lineRule="auto"/>
              <w:rPr>
                <w:sz w:val="22"/>
                <w:szCs w:val="22"/>
              </w:rPr>
            </w:pPr>
            <w:r w:rsidRPr="00DA2300">
              <w:rPr>
                <w:sz w:val="22"/>
                <w:szCs w:val="22"/>
              </w:rPr>
              <w:t xml:space="preserve">Overall, no significant change in enrollment rate, except for that of positive trends are reflected in Khyber Pakhtunkhwa. According to the government of Khyber Pakhtunkhwa’s </w:t>
            </w:r>
            <w:hyperlink r:id="rId71">
              <w:r w:rsidRPr="00DA2300">
                <w:rPr>
                  <w:rStyle w:val="Hyperlink"/>
                  <w:i/>
                  <w:sz w:val="22"/>
                  <w:szCs w:val="22"/>
                </w:rPr>
                <w:t>Annual School Census Report</w:t>
              </w:r>
            </w:hyperlink>
            <w:r w:rsidRPr="00DA2300">
              <w:rPr>
                <w:sz w:val="22"/>
                <w:szCs w:val="22"/>
              </w:rPr>
              <w:t xml:space="preserve"> 2020-2021, overall enrollment of primary and secondary level is at 66.5% and 33.5%, respectively. </w:t>
            </w:r>
          </w:p>
        </w:tc>
        <w:tc>
          <w:tcPr>
            <w:tcW w:w="1465" w:type="dxa"/>
            <w:shd w:val="clear" w:color="auto" w:fill="D9EAD3"/>
            <w:tcMar>
              <w:top w:w="100" w:type="dxa"/>
              <w:left w:w="100" w:type="dxa"/>
              <w:bottom w:w="100" w:type="dxa"/>
              <w:right w:w="100" w:type="dxa"/>
            </w:tcMar>
          </w:tcPr>
          <w:p w14:paraId="022CB094" w14:textId="77777777" w:rsidR="00DA2300" w:rsidRPr="00DA2300" w:rsidRDefault="00DA2300" w:rsidP="00DA2300">
            <w:pPr>
              <w:spacing w:line="276" w:lineRule="auto"/>
              <w:rPr>
                <w:sz w:val="22"/>
                <w:szCs w:val="22"/>
              </w:rPr>
            </w:pPr>
            <w:r w:rsidRPr="00DA2300">
              <w:rPr>
                <w:rFonts w:ascii="Segoe UI Symbol" w:hAnsi="Segoe UI Symbol" w:cs="Segoe UI Symbol"/>
                <w:sz w:val="22"/>
                <w:szCs w:val="22"/>
              </w:rPr>
              <w:t>★★★</w:t>
            </w:r>
          </w:p>
        </w:tc>
      </w:tr>
      <w:tr w:rsidR="00DA2300" w:rsidRPr="00DA2300" w14:paraId="34930039" w14:textId="77777777" w:rsidTr="00AE0940">
        <w:trPr>
          <w:trHeight w:val="522"/>
        </w:trPr>
        <w:tc>
          <w:tcPr>
            <w:tcW w:w="1440" w:type="dxa"/>
            <w:shd w:val="clear" w:color="auto" w:fill="FFF2CC"/>
            <w:tcMar>
              <w:top w:w="100" w:type="dxa"/>
              <w:left w:w="100" w:type="dxa"/>
              <w:bottom w:w="100" w:type="dxa"/>
              <w:right w:w="100" w:type="dxa"/>
            </w:tcMar>
          </w:tcPr>
          <w:p w14:paraId="261455E0" w14:textId="77777777" w:rsidR="00DA2300" w:rsidRPr="00DA2300" w:rsidRDefault="00DA2300" w:rsidP="00DA2300">
            <w:pPr>
              <w:spacing w:line="276" w:lineRule="auto"/>
              <w:rPr>
                <w:sz w:val="22"/>
                <w:szCs w:val="22"/>
              </w:rPr>
            </w:pPr>
            <w:r w:rsidRPr="00DA2300">
              <w:rPr>
                <w:sz w:val="22"/>
                <w:szCs w:val="22"/>
              </w:rPr>
              <w:t>Employment</w:t>
            </w:r>
          </w:p>
        </w:tc>
        <w:tc>
          <w:tcPr>
            <w:tcW w:w="1665" w:type="dxa"/>
            <w:shd w:val="clear" w:color="auto" w:fill="FFF2CC"/>
            <w:tcMar>
              <w:top w:w="100" w:type="dxa"/>
              <w:left w:w="100" w:type="dxa"/>
              <w:bottom w:w="100" w:type="dxa"/>
              <w:right w:w="100" w:type="dxa"/>
            </w:tcMar>
          </w:tcPr>
          <w:p w14:paraId="752F2A42" w14:textId="77777777" w:rsidR="00DA2300" w:rsidRPr="00DA2300" w:rsidRDefault="00717449" w:rsidP="00DA2300">
            <w:pPr>
              <w:spacing w:line="276" w:lineRule="auto"/>
              <w:rPr>
                <w:sz w:val="22"/>
                <w:szCs w:val="22"/>
              </w:rPr>
            </w:pPr>
            <w:hyperlink r:id="rId72">
              <w:r w:rsidR="00DA2300" w:rsidRPr="00DA2300">
                <w:rPr>
                  <w:rStyle w:val="Hyperlink"/>
                  <w:sz w:val="22"/>
                  <w:szCs w:val="22"/>
                </w:rPr>
                <w:t>Sindh Home-Based Workers Act</w:t>
              </w:r>
            </w:hyperlink>
          </w:p>
          <w:p w14:paraId="2D752A44" w14:textId="77777777" w:rsidR="00DA2300" w:rsidRPr="00DA2300" w:rsidRDefault="00DA2300" w:rsidP="00DA2300">
            <w:pPr>
              <w:spacing w:line="276" w:lineRule="auto"/>
              <w:rPr>
                <w:sz w:val="22"/>
                <w:szCs w:val="22"/>
              </w:rPr>
            </w:pPr>
            <w:r w:rsidRPr="00DA2300">
              <w:rPr>
                <w:sz w:val="22"/>
                <w:szCs w:val="22"/>
              </w:rPr>
              <w:t>(Passed May 9, 2018)</w:t>
            </w:r>
          </w:p>
        </w:tc>
        <w:tc>
          <w:tcPr>
            <w:tcW w:w="1485" w:type="dxa"/>
            <w:shd w:val="clear" w:color="auto" w:fill="FFF2CC"/>
            <w:tcMar>
              <w:top w:w="100" w:type="dxa"/>
              <w:left w:w="100" w:type="dxa"/>
              <w:bottom w:w="100" w:type="dxa"/>
              <w:right w:w="100" w:type="dxa"/>
            </w:tcMar>
          </w:tcPr>
          <w:p w14:paraId="02E32D60" w14:textId="77777777" w:rsidR="00DA2300" w:rsidRPr="00DA2300" w:rsidRDefault="00DA2300" w:rsidP="00DA2300">
            <w:pPr>
              <w:spacing w:line="276" w:lineRule="auto"/>
              <w:rPr>
                <w:sz w:val="22"/>
                <w:szCs w:val="22"/>
              </w:rPr>
            </w:pPr>
            <w:r w:rsidRPr="00DA2300">
              <w:rPr>
                <w:sz w:val="22"/>
                <w:szCs w:val="22"/>
              </w:rPr>
              <w:t>Pakistan (Sindh)</w:t>
            </w:r>
          </w:p>
        </w:tc>
        <w:tc>
          <w:tcPr>
            <w:tcW w:w="2970" w:type="dxa"/>
            <w:shd w:val="clear" w:color="auto" w:fill="FFF2CC"/>
            <w:tcMar>
              <w:top w:w="100" w:type="dxa"/>
              <w:left w:w="100" w:type="dxa"/>
              <w:bottom w:w="100" w:type="dxa"/>
              <w:right w:w="100" w:type="dxa"/>
            </w:tcMar>
          </w:tcPr>
          <w:p w14:paraId="605077F7" w14:textId="77777777" w:rsidR="00DA2300" w:rsidRPr="00DA2300" w:rsidRDefault="00DA2300" w:rsidP="00DA2300">
            <w:pPr>
              <w:spacing w:line="276" w:lineRule="auto"/>
              <w:rPr>
                <w:sz w:val="22"/>
                <w:szCs w:val="22"/>
              </w:rPr>
            </w:pPr>
            <w:proofErr w:type="gramStart"/>
            <w:r w:rsidRPr="00DA2300">
              <w:rPr>
                <w:sz w:val="22"/>
                <w:szCs w:val="22"/>
              </w:rPr>
              <w:t>In an attempt to</w:t>
            </w:r>
            <w:proofErr w:type="gramEnd"/>
            <w:r w:rsidRPr="00DA2300">
              <w:rPr>
                <w:sz w:val="22"/>
                <w:szCs w:val="22"/>
              </w:rPr>
              <w:t xml:space="preserve"> legislatively incorporate </w:t>
            </w:r>
            <w:proofErr w:type="spellStart"/>
            <w:r w:rsidRPr="00DA2300">
              <w:rPr>
                <w:sz w:val="22"/>
                <w:szCs w:val="22"/>
              </w:rPr>
              <w:t>labour</w:t>
            </w:r>
            <w:proofErr w:type="spellEnd"/>
            <w:r w:rsidRPr="00DA2300">
              <w:rPr>
                <w:sz w:val="22"/>
                <w:szCs w:val="22"/>
              </w:rPr>
              <w:t xml:space="preserve"> rights for the welfare of the neglected communities, the Sindh government introduced and passed this act to protect the rights of home-based workers who work in informal or unorganized settings. </w:t>
            </w:r>
          </w:p>
        </w:tc>
        <w:tc>
          <w:tcPr>
            <w:tcW w:w="5490" w:type="dxa"/>
            <w:shd w:val="clear" w:color="auto" w:fill="FFF2CC"/>
            <w:tcMar>
              <w:top w:w="100" w:type="dxa"/>
              <w:left w:w="100" w:type="dxa"/>
              <w:bottom w:w="100" w:type="dxa"/>
              <w:right w:w="100" w:type="dxa"/>
            </w:tcMar>
          </w:tcPr>
          <w:p w14:paraId="0A173280" w14:textId="77777777" w:rsidR="00DA2300" w:rsidRPr="00DA2300" w:rsidRDefault="00DA2300" w:rsidP="00DA2300">
            <w:pPr>
              <w:spacing w:line="276" w:lineRule="auto"/>
              <w:rPr>
                <w:sz w:val="22"/>
                <w:szCs w:val="22"/>
              </w:rPr>
            </w:pPr>
            <w:r w:rsidRPr="00DA2300">
              <w:rPr>
                <w:i/>
                <w:sz w:val="22"/>
                <w:szCs w:val="22"/>
              </w:rPr>
              <w:t>Economic</w:t>
            </w:r>
            <w:r w:rsidRPr="00DA2300">
              <w:rPr>
                <w:sz w:val="22"/>
                <w:szCs w:val="22"/>
              </w:rPr>
              <w:t xml:space="preserve">: </w:t>
            </w:r>
          </w:p>
          <w:p w14:paraId="36F914F8" w14:textId="77777777" w:rsidR="00DA2300" w:rsidRPr="00DA2300" w:rsidRDefault="00DA2300" w:rsidP="00DA2300">
            <w:pPr>
              <w:spacing w:line="276" w:lineRule="auto"/>
              <w:rPr>
                <w:sz w:val="22"/>
                <w:szCs w:val="22"/>
              </w:rPr>
            </w:pPr>
            <w:r w:rsidRPr="00DA2300">
              <w:rPr>
                <w:sz w:val="22"/>
                <w:szCs w:val="22"/>
              </w:rPr>
              <w:t>Sindh home-based workers contribute almost Rs. 400 billion in wages to the economy of which 65% of these workers were women (</w:t>
            </w:r>
            <w:hyperlink r:id="rId73">
              <w:r w:rsidRPr="00DA2300">
                <w:rPr>
                  <w:rStyle w:val="Hyperlink"/>
                  <w:sz w:val="22"/>
                  <w:szCs w:val="22"/>
                </w:rPr>
                <w:t>UN, 2016</w:t>
              </w:r>
            </w:hyperlink>
            <w:r w:rsidRPr="00DA2300">
              <w:rPr>
                <w:sz w:val="22"/>
                <w:szCs w:val="22"/>
              </w:rPr>
              <w:t>). Since this is a provincially passed law, the overall Pakistan economy has not seen much development.</w:t>
            </w:r>
          </w:p>
          <w:p w14:paraId="0CA637FA" w14:textId="77777777" w:rsidR="00DA2300" w:rsidRPr="00DA2300" w:rsidRDefault="00DA2300" w:rsidP="00DA2300">
            <w:pPr>
              <w:spacing w:line="276" w:lineRule="auto"/>
              <w:rPr>
                <w:sz w:val="22"/>
                <w:szCs w:val="22"/>
              </w:rPr>
            </w:pPr>
          </w:p>
          <w:p w14:paraId="5FBE290A" w14:textId="77777777" w:rsidR="00DA2300" w:rsidRPr="00DA2300" w:rsidRDefault="00DA2300" w:rsidP="00DA2300">
            <w:pPr>
              <w:spacing w:line="276" w:lineRule="auto"/>
              <w:rPr>
                <w:sz w:val="22"/>
                <w:szCs w:val="22"/>
              </w:rPr>
            </w:pPr>
            <w:r w:rsidRPr="00DA2300">
              <w:rPr>
                <w:i/>
                <w:sz w:val="22"/>
                <w:szCs w:val="22"/>
              </w:rPr>
              <w:t>Behavioral</w:t>
            </w:r>
            <w:r w:rsidRPr="00DA2300">
              <w:rPr>
                <w:sz w:val="22"/>
                <w:szCs w:val="22"/>
              </w:rPr>
              <w:t>:</w:t>
            </w:r>
          </w:p>
          <w:p w14:paraId="1D395FD1" w14:textId="77777777" w:rsidR="00DA2300" w:rsidRPr="00DA2300" w:rsidRDefault="00DA2300" w:rsidP="00DA2300">
            <w:pPr>
              <w:spacing w:line="276" w:lineRule="auto"/>
              <w:rPr>
                <w:sz w:val="22"/>
                <w:szCs w:val="22"/>
              </w:rPr>
            </w:pPr>
            <w:r w:rsidRPr="00DA2300">
              <w:rPr>
                <w:sz w:val="22"/>
                <w:szCs w:val="22"/>
              </w:rPr>
              <w:t>Other provinces in Pakistan are formulating legislative drafts to replicate similar rights for home-based workers across the country. However, workers remain idle as 100 million home-based workers are still deprived of their legal identity and rights as they wait for policy implementation (</w:t>
            </w:r>
            <w:hyperlink r:id="rId74">
              <w:r w:rsidRPr="00DA2300">
                <w:rPr>
                  <w:rStyle w:val="Hyperlink"/>
                  <w:sz w:val="22"/>
                  <w:szCs w:val="22"/>
                </w:rPr>
                <w:t>FPAR</w:t>
              </w:r>
            </w:hyperlink>
            <w:r w:rsidRPr="00DA2300">
              <w:rPr>
                <w:sz w:val="22"/>
                <w:szCs w:val="22"/>
              </w:rPr>
              <w:t>)</w:t>
            </w:r>
          </w:p>
        </w:tc>
        <w:tc>
          <w:tcPr>
            <w:tcW w:w="1465" w:type="dxa"/>
            <w:shd w:val="clear" w:color="auto" w:fill="FFF2CC"/>
            <w:tcMar>
              <w:top w:w="100" w:type="dxa"/>
              <w:left w:w="100" w:type="dxa"/>
              <w:bottom w:w="100" w:type="dxa"/>
              <w:right w:w="100" w:type="dxa"/>
            </w:tcMar>
          </w:tcPr>
          <w:p w14:paraId="3D1DA014" w14:textId="77777777" w:rsidR="00DA2300" w:rsidRPr="00DA2300" w:rsidRDefault="00DA2300" w:rsidP="00DA2300">
            <w:pPr>
              <w:spacing w:line="276" w:lineRule="auto"/>
              <w:rPr>
                <w:sz w:val="22"/>
                <w:szCs w:val="22"/>
              </w:rPr>
            </w:pPr>
            <w:r w:rsidRPr="00DA2300">
              <w:rPr>
                <w:rFonts w:ascii="Segoe UI Symbol" w:hAnsi="Segoe UI Symbol" w:cs="Segoe UI Symbol"/>
                <w:sz w:val="22"/>
                <w:szCs w:val="22"/>
              </w:rPr>
              <w:t>★★★</w:t>
            </w:r>
          </w:p>
        </w:tc>
      </w:tr>
      <w:tr w:rsidR="00DA2300" w:rsidRPr="00DA2300" w14:paraId="4A3D7298" w14:textId="77777777" w:rsidTr="00AE0940">
        <w:trPr>
          <w:trHeight w:val="7449"/>
        </w:trPr>
        <w:tc>
          <w:tcPr>
            <w:tcW w:w="1440" w:type="dxa"/>
            <w:shd w:val="clear" w:color="auto" w:fill="E06666"/>
            <w:tcMar>
              <w:top w:w="100" w:type="dxa"/>
              <w:left w:w="100" w:type="dxa"/>
              <w:bottom w:w="100" w:type="dxa"/>
              <w:right w:w="100" w:type="dxa"/>
            </w:tcMar>
          </w:tcPr>
          <w:p w14:paraId="067C6633" w14:textId="77777777" w:rsidR="00DA2300" w:rsidRPr="00DA2300" w:rsidRDefault="00DA2300" w:rsidP="00DA2300">
            <w:pPr>
              <w:spacing w:line="276" w:lineRule="auto"/>
              <w:rPr>
                <w:sz w:val="22"/>
                <w:szCs w:val="22"/>
              </w:rPr>
            </w:pPr>
            <w:r w:rsidRPr="00DA2300">
              <w:rPr>
                <w:sz w:val="22"/>
                <w:szCs w:val="22"/>
              </w:rPr>
              <w:lastRenderedPageBreak/>
              <w:t>Employment</w:t>
            </w:r>
          </w:p>
        </w:tc>
        <w:tc>
          <w:tcPr>
            <w:tcW w:w="1665" w:type="dxa"/>
            <w:shd w:val="clear" w:color="auto" w:fill="E06666"/>
            <w:tcMar>
              <w:top w:w="100" w:type="dxa"/>
              <w:left w:w="100" w:type="dxa"/>
              <w:bottom w:w="100" w:type="dxa"/>
              <w:right w:w="100" w:type="dxa"/>
            </w:tcMar>
          </w:tcPr>
          <w:p w14:paraId="6D695DAF" w14:textId="77777777" w:rsidR="00DA2300" w:rsidRPr="00DA2300" w:rsidRDefault="00717449" w:rsidP="00DA2300">
            <w:pPr>
              <w:spacing w:line="276" w:lineRule="auto"/>
              <w:rPr>
                <w:sz w:val="22"/>
                <w:szCs w:val="22"/>
              </w:rPr>
            </w:pPr>
            <w:hyperlink r:id="rId75">
              <w:r w:rsidR="00DA2300" w:rsidRPr="00DA2300">
                <w:rPr>
                  <w:rStyle w:val="Hyperlink"/>
                  <w:sz w:val="22"/>
                  <w:szCs w:val="22"/>
                </w:rPr>
                <w:t>747 Plan</w:t>
              </w:r>
            </w:hyperlink>
            <w:r w:rsidR="00DA2300" w:rsidRPr="00DA2300">
              <w:rPr>
                <w:sz w:val="22"/>
                <w:szCs w:val="22"/>
                <w:u w:val="single"/>
                <w:vertAlign w:val="superscript"/>
              </w:rPr>
              <w:footnoteReference w:id="1"/>
            </w:r>
            <w:hyperlink r:id="rId76">
              <w:r w:rsidR="00DA2300" w:rsidRPr="00DA2300">
                <w:rPr>
                  <w:rStyle w:val="Hyperlink"/>
                  <w:sz w:val="22"/>
                  <w:szCs w:val="22"/>
                </w:rPr>
                <w:t xml:space="preserve"> </w:t>
              </w:r>
            </w:hyperlink>
            <w:r w:rsidR="00DA2300" w:rsidRPr="00DA2300">
              <w:rPr>
                <w:sz w:val="22"/>
                <w:szCs w:val="22"/>
              </w:rPr>
              <w:t>(December 2007)</w:t>
            </w:r>
          </w:p>
        </w:tc>
        <w:tc>
          <w:tcPr>
            <w:tcW w:w="1485" w:type="dxa"/>
            <w:shd w:val="clear" w:color="auto" w:fill="E06666"/>
            <w:tcMar>
              <w:top w:w="100" w:type="dxa"/>
              <w:left w:w="100" w:type="dxa"/>
              <w:bottom w:w="100" w:type="dxa"/>
              <w:right w:w="100" w:type="dxa"/>
            </w:tcMar>
          </w:tcPr>
          <w:p w14:paraId="7E3BF463" w14:textId="77777777" w:rsidR="00DA2300" w:rsidRPr="00DA2300" w:rsidRDefault="00DA2300" w:rsidP="00DA2300">
            <w:pPr>
              <w:spacing w:line="276" w:lineRule="auto"/>
              <w:rPr>
                <w:sz w:val="22"/>
                <w:szCs w:val="22"/>
              </w:rPr>
            </w:pPr>
            <w:r w:rsidRPr="00DA2300">
              <w:rPr>
                <w:sz w:val="22"/>
                <w:szCs w:val="22"/>
              </w:rPr>
              <w:t>South Korea</w:t>
            </w:r>
          </w:p>
        </w:tc>
        <w:tc>
          <w:tcPr>
            <w:tcW w:w="2970" w:type="dxa"/>
            <w:shd w:val="clear" w:color="auto" w:fill="E06666"/>
            <w:tcMar>
              <w:top w:w="100" w:type="dxa"/>
              <w:left w:w="100" w:type="dxa"/>
              <w:bottom w:w="100" w:type="dxa"/>
              <w:right w:w="100" w:type="dxa"/>
            </w:tcMar>
          </w:tcPr>
          <w:p w14:paraId="5D1B76DE" w14:textId="77777777" w:rsidR="00DA2300" w:rsidRPr="00DA2300" w:rsidRDefault="00DA2300" w:rsidP="00DA2300">
            <w:pPr>
              <w:spacing w:line="276" w:lineRule="auto"/>
              <w:rPr>
                <w:sz w:val="22"/>
                <w:szCs w:val="22"/>
              </w:rPr>
            </w:pPr>
            <w:r w:rsidRPr="00DA2300">
              <w:rPr>
                <w:sz w:val="22"/>
                <w:szCs w:val="22"/>
              </w:rPr>
              <w:t>Presidential campaign and program led by President Lee Myung-</w:t>
            </w:r>
            <w:proofErr w:type="spellStart"/>
            <w:r w:rsidRPr="00DA2300">
              <w:rPr>
                <w:sz w:val="22"/>
                <w:szCs w:val="22"/>
              </w:rPr>
              <w:t>Bak</w:t>
            </w:r>
            <w:proofErr w:type="spellEnd"/>
            <w:r w:rsidRPr="00DA2300">
              <w:rPr>
                <w:sz w:val="22"/>
                <w:szCs w:val="22"/>
              </w:rPr>
              <w:t xml:space="preserve"> aimed to structurally reform macroeconomic policies from privatization, taxation, and housing markets by opening much of its economy to private enterprise and market forces </w:t>
            </w:r>
            <w:proofErr w:type="gramStart"/>
            <w:r w:rsidRPr="00DA2300">
              <w:rPr>
                <w:sz w:val="22"/>
                <w:szCs w:val="22"/>
              </w:rPr>
              <w:t>in order to</w:t>
            </w:r>
            <w:proofErr w:type="gramEnd"/>
            <w:r w:rsidRPr="00DA2300">
              <w:rPr>
                <w:sz w:val="22"/>
                <w:szCs w:val="22"/>
              </w:rPr>
              <w:t xml:space="preserve"> boost the Korean economy. The primary goal was to boost the annual economic growth rate of 7% in 10 years, raise per capita income to $40,000, and make Korea the seventh in economic ranking.</w:t>
            </w:r>
          </w:p>
        </w:tc>
        <w:tc>
          <w:tcPr>
            <w:tcW w:w="5490" w:type="dxa"/>
            <w:shd w:val="clear" w:color="auto" w:fill="E06666"/>
            <w:tcMar>
              <w:top w:w="100" w:type="dxa"/>
              <w:left w:w="100" w:type="dxa"/>
              <w:bottom w:w="100" w:type="dxa"/>
              <w:right w:w="100" w:type="dxa"/>
            </w:tcMar>
          </w:tcPr>
          <w:p w14:paraId="01AC1B10" w14:textId="77777777" w:rsidR="00DA2300" w:rsidRPr="00DA2300" w:rsidRDefault="00DA2300" w:rsidP="00DA2300">
            <w:pPr>
              <w:spacing w:line="276" w:lineRule="auto"/>
              <w:rPr>
                <w:sz w:val="22"/>
                <w:szCs w:val="22"/>
              </w:rPr>
            </w:pPr>
            <w:r w:rsidRPr="00DA2300">
              <w:rPr>
                <w:i/>
                <w:sz w:val="22"/>
                <w:szCs w:val="22"/>
              </w:rPr>
              <w:t xml:space="preserve">Economic: </w:t>
            </w:r>
            <w:r w:rsidRPr="00DA2300">
              <w:rPr>
                <w:sz w:val="22"/>
                <w:szCs w:val="22"/>
              </w:rPr>
              <w:t xml:space="preserve">Corporate tax cuts incentivized the private sector followed by income tax cuts. Ultimately, large corporations were given more power. Increased focus on international exports. </w:t>
            </w:r>
            <w:hyperlink r:id="rId77">
              <w:r w:rsidRPr="00DA2300">
                <w:rPr>
                  <w:rStyle w:val="Hyperlink"/>
                  <w:sz w:val="22"/>
                  <w:szCs w:val="22"/>
                </w:rPr>
                <w:t>(Michell, T. 2011)</w:t>
              </w:r>
            </w:hyperlink>
            <w:r w:rsidRPr="00DA2300">
              <w:rPr>
                <w:sz w:val="22"/>
                <w:szCs w:val="22"/>
              </w:rPr>
              <w:t>.</w:t>
            </w:r>
          </w:p>
          <w:p w14:paraId="4296E451" w14:textId="77777777" w:rsidR="00DA2300" w:rsidRPr="00DA2300" w:rsidRDefault="00DA2300" w:rsidP="00DA2300">
            <w:pPr>
              <w:spacing w:line="276" w:lineRule="auto"/>
              <w:rPr>
                <w:sz w:val="22"/>
                <w:szCs w:val="22"/>
              </w:rPr>
            </w:pPr>
          </w:p>
          <w:p w14:paraId="31C1D76A" w14:textId="77777777" w:rsidR="00DA2300" w:rsidRPr="00DA2300" w:rsidRDefault="00DA2300" w:rsidP="00DA2300">
            <w:pPr>
              <w:spacing w:line="276" w:lineRule="auto"/>
              <w:rPr>
                <w:sz w:val="22"/>
                <w:szCs w:val="22"/>
              </w:rPr>
            </w:pPr>
            <w:r w:rsidRPr="00DA2300">
              <w:rPr>
                <w:i/>
                <w:sz w:val="22"/>
                <w:szCs w:val="22"/>
              </w:rPr>
              <w:t>Behavioral</w:t>
            </w:r>
            <w:r w:rsidRPr="00DA2300">
              <w:rPr>
                <w:sz w:val="22"/>
                <w:szCs w:val="22"/>
              </w:rPr>
              <w:t xml:space="preserve">: Since the goal was geared towards boosting the overall economy, outcomes across disparate socioeconomic groups differ widely. Individual disparities were overlooked by policy makers and decision makers as government officials and leaders placed importance in the overall growth rate of the Korean economy rather than improving economic disparities. Fostering export-led economic growth created greater division between industry and services, temporary and permanent workers, as well as large and small businesses </w:t>
            </w:r>
            <w:hyperlink r:id="rId78">
              <w:r w:rsidRPr="00DA2300">
                <w:rPr>
                  <w:rStyle w:val="Hyperlink"/>
                  <w:sz w:val="22"/>
                  <w:szCs w:val="22"/>
                </w:rPr>
                <w:t xml:space="preserve">(Pak, et al., 2022). </w:t>
              </w:r>
            </w:hyperlink>
          </w:p>
        </w:tc>
        <w:tc>
          <w:tcPr>
            <w:tcW w:w="1465" w:type="dxa"/>
            <w:shd w:val="clear" w:color="auto" w:fill="E06666"/>
            <w:tcMar>
              <w:top w:w="100" w:type="dxa"/>
              <w:left w:w="100" w:type="dxa"/>
              <w:bottom w:w="100" w:type="dxa"/>
              <w:right w:w="100" w:type="dxa"/>
            </w:tcMar>
          </w:tcPr>
          <w:p w14:paraId="7471BBC5" w14:textId="77777777" w:rsidR="00DA2300" w:rsidRPr="00DA2300" w:rsidRDefault="00DA2300" w:rsidP="00DA2300">
            <w:pPr>
              <w:spacing w:line="276" w:lineRule="auto"/>
              <w:rPr>
                <w:sz w:val="22"/>
                <w:szCs w:val="22"/>
              </w:rPr>
            </w:pPr>
            <w:r w:rsidRPr="00DA2300">
              <w:rPr>
                <w:rFonts w:ascii="Segoe UI Symbol" w:hAnsi="Segoe UI Symbol" w:cs="Segoe UI Symbol"/>
                <w:sz w:val="22"/>
                <w:szCs w:val="22"/>
              </w:rPr>
              <w:t>★★★</w:t>
            </w:r>
          </w:p>
        </w:tc>
      </w:tr>
    </w:tbl>
    <w:p w14:paraId="52B94AF1" w14:textId="77777777" w:rsidR="009054C0" w:rsidRDefault="006F3A8E">
      <w:pPr>
        <w:spacing w:line="276" w:lineRule="auto"/>
        <w:rPr>
          <w:b/>
        </w:rPr>
      </w:pPr>
      <w:r>
        <w:rPr>
          <w:sz w:val="22"/>
          <w:szCs w:val="22"/>
        </w:rPr>
        <w:t xml:space="preserve">1: 1-star evidence rating (Theoretical) means that a concept has been discussed but lacks empirical validation; 2-star evidence rating (Empirical) means that a concept has been validated but lacks more robust data; 3-star evidence rating (Applicable) means that results are taken from controlled, reasonably powered trials; 4-star evidence rating (Replicable) means that the results have been successfully replicated in terms of setting, procedure and measurement; and 5-star evidence </w:t>
      </w:r>
      <w:r>
        <w:rPr>
          <w:sz w:val="22"/>
          <w:szCs w:val="22"/>
        </w:rPr>
        <w:lastRenderedPageBreak/>
        <w:t>rating (Impact) means that result insights have been implemented and applied at scale” (</w:t>
      </w:r>
      <w:hyperlink r:id="rId79">
        <w:r>
          <w:rPr>
            <w:color w:val="1155CC"/>
            <w:sz w:val="22"/>
            <w:szCs w:val="22"/>
            <w:u w:val="single"/>
          </w:rPr>
          <w:t>THEARI Rating System</w:t>
        </w:r>
      </w:hyperlink>
      <w:r>
        <w:rPr>
          <w:sz w:val="22"/>
          <w:szCs w:val="22"/>
        </w:rPr>
        <w:t>). An unshaded fifth star indicates the need for further research.</w:t>
      </w:r>
    </w:p>
    <w:p w14:paraId="297CEC93" w14:textId="77777777" w:rsidR="009054C0" w:rsidRDefault="009054C0">
      <w:pPr>
        <w:spacing w:line="276" w:lineRule="auto"/>
        <w:rPr>
          <w:sz w:val="22"/>
          <w:szCs w:val="22"/>
        </w:rPr>
      </w:pPr>
    </w:p>
    <w:p w14:paraId="015FF467" w14:textId="77777777" w:rsidR="009054C0" w:rsidRDefault="006F3A8E">
      <w:pPr>
        <w:spacing w:line="276" w:lineRule="auto"/>
        <w:rPr>
          <w:b/>
        </w:rPr>
      </w:pPr>
      <w:r>
        <w:rPr>
          <w:b/>
        </w:rPr>
        <w:t xml:space="preserve">Table S4. </w:t>
      </w:r>
      <w:r>
        <w:rPr>
          <w:b/>
          <w:sz w:val="22"/>
          <w:szCs w:val="22"/>
        </w:rPr>
        <w:t>Gender Gap Policy Interventions</w:t>
      </w:r>
    </w:p>
    <w:p w14:paraId="592FCE76" w14:textId="77777777" w:rsidR="009054C0" w:rsidRDefault="009054C0">
      <w:pPr>
        <w:spacing w:line="276" w:lineRule="auto"/>
        <w:rPr>
          <w:b/>
        </w:rPr>
      </w:pPr>
    </w:p>
    <w:tbl>
      <w:tblPr>
        <w:tblStyle w:val="a3"/>
        <w:tblW w:w="145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1305"/>
        <w:gridCol w:w="3420"/>
        <w:gridCol w:w="5725"/>
        <w:gridCol w:w="1890"/>
      </w:tblGrid>
      <w:tr w:rsidR="009054C0" w14:paraId="0CD3840A" w14:textId="77777777" w:rsidTr="00DA2300">
        <w:trPr>
          <w:trHeight w:val="522"/>
        </w:trPr>
        <w:tc>
          <w:tcPr>
            <w:tcW w:w="2160" w:type="dxa"/>
            <w:shd w:val="clear" w:color="auto" w:fill="auto"/>
            <w:tcMar>
              <w:top w:w="100" w:type="dxa"/>
              <w:left w:w="100" w:type="dxa"/>
              <w:bottom w:w="100" w:type="dxa"/>
              <w:right w:w="100" w:type="dxa"/>
            </w:tcMar>
          </w:tcPr>
          <w:p w14:paraId="1A1063CE" w14:textId="77777777" w:rsidR="009054C0" w:rsidRDefault="006F3A8E">
            <w:pPr>
              <w:widowControl w:val="0"/>
              <w:rPr>
                <w:b/>
                <w:sz w:val="22"/>
                <w:szCs w:val="22"/>
              </w:rPr>
            </w:pPr>
            <w:r>
              <w:rPr>
                <w:b/>
                <w:sz w:val="22"/>
                <w:szCs w:val="22"/>
              </w:rPr>
              <w:t>Policy (Year)</w:t>
            </w:r>
          </w:p>
        </w:tc>
        <w:tc>
          <w:tcPr>
            <w:tcW w:w="1305" w:type="dxa"/>
            <w:shd w:val="clear" w:color="auto" w:fill="auto"/>
            <w:tcMar>
              <w:top w:w="100" w:type="dxa"/>
              <w:left w:w="100" w:type="dxa"/>
              <w:bottom w:w="100" w:type="dxa"/>
              <w:right w:w="100" w:type="dxa"/>
            </w:tcMar>
          </w:tcPr>
          <w:p w14:paraId="01D19A1A" w14:textId="77777777" w:rsidR="009054C0" w:rsidRDefault="006F3A8E">
            <w:pPr>
              <w:widowControl w:val="0"/>
              <w:rPr>
                <w:b/>
                <w:sz w:val="22"/>
                <w:szCs w:val="22"/>
              </w:rPr>
            </w:pPr>
            <w:r>
              <w:rPr>
                <w:b/>
                <w:sz w:val="22"/>
                <w:szCs w:val="22"/>
              </w:rPr>
              <w:t>Country</w:t>
            </w:r>
          </w:p>
        </w:tc>
        <w:tc>
          <w:tcPr>
            <w:tcW w:w="3420" w:type="dxa"/>
            <w:shd w:val="clear" w:color="auto" w:fill="auto"/>
            <w:tcMar>
              <w:top w:w="100" w:type="dxa"/>
              <w:left w:w="100" w:type="dxa"/>
              <w:bottom w:w="100" w:type="dxa"/>
              <w:right w:w="100" w:type="dxa"/>
            </w:tcMar>
          </w:tcPr>
          <w:p w14:paraId="611176C3" w14:textId="77777777" w:rsidR="009054C0" w:rsidRDefault="006F3A8E">
            <w:pPr>
              <w:widowControl w:val="0"/>
              <w:rPr>
                <w:b/>
                <w:sz w:val="22"/>
                <w:szCs w:val="22"/>
              </w:rPr>
            </w:pPr>
            <w:r>
              <w:rPr>
                <w:b/>
                <w:sz w:val="22"/>
                <w:szCs w:val="22"/>
              </w:rPr>
              <w:t>Policy Synopsis</w:t>
            </w:r>
          </w:p>
        </w:tc>
        <w:tc>
          <w:tcPr>
            <w:tcW w:w="5725" w:type="dxa"/>
            <w:shd w:val="clear" w:color="auto" w:fill="auto"/>
            <w:tcMar>
              <w:top w:w="100" w:type="dxa"/>
              <w:left w:w="100" w:type="dxa"/>
              <w:bottom w:w="100" w:type="dxa"/>
              <w:right w:w="100" w:type="dxa"/>
            </w:tcMar>
          </w:tcPr>
          <w:p w14:paraId="76061432" w14:textId="77777777" w:rsidR="009054C0" w:rsidRDefault="006F3A8E">
            <w:pPr>
              <w:widowControl w:val="0"/>
              <w:rPr>
                <w:b/>
                <w:sz w:val="22"/>
                <w:szCs w:val="22"/>
              </w:rPr>
            </w:pPr>
            <w:r>
              <w:rPr>
                <w:b/>
                <w:sz w:val="22"/>
                <w:szCs w:val="22"/>
              </w:rPr>
              <w:t>Impact/Progress</w:t>
            </w:r>
          </w:p>
        </w:tc>
        <w:tc>
          <w:tcPr>
            <w:tcW w:w="1890" w:type="dxa"/>
            <w:shd w:val="clear" w:color="auto" w:fill="auto"/>
            <w:tcMar>
              <w:top w:w="100" w:type="dxa"/>
              <w:left w:w="100" w:type="dxa"/>
              <w:bottom w:w="100" w:type="dxa"/>
              <w:right w:w="100" w:type="dxa"/>
            </w:tcMar>
          </w:tcPr>
          <w:p w14:paraId="6241AE95" w14:textId="394DC19D" w:rsidR="009054C0" w:rsidRDefault="006F3A8E">
            <w:pPr>
              <w:widowControl w:val="0"/>
              <w:jc w:val="center"/>
              <w:rPr>
                <w:b/>
                <w:sz w:val="22"/>
                <w:szCs w:val="22"/>
                <w:vertAlign w:val="superscript"/>
              </w:rPr>
            </w:pPr>
            <w:r>
              <w:rPr>
                <w:b/>
                <w:sz w:val="22"/>
                <w:szCs w:val="22"/>
              </w:rPr>
              <w:t>Evidence Rating</w:t>
            </w:r>
            <w:r>
              <w:rPr>
                <w:b/>
                <w:sz w:val="22"/>
                <w:szCs w:val="22"/>
                <w:vertAlign w:val="superscript"/>
              </w:rPr>
              <w:t>1</w:t>
            </w:r>
          </w:p>
        </w:tc>
      </w:tr>
      <w:tr w:rsidR="009054C0" w14:paraId="49940277" w14:textId="77777777" w:rsidTr="00DA2300">
        <w:trPr>
          <w:trHeight w:val="1577"/>
        </w:trPr>
        <w:tc>
          <w:tcPr>
            <w:tcW w:w="2160" w:type="dxa"/>
            <w:tcMar>
              <w:top w:w="100" w:type="dxa"/>
              <w:left w:w="100" w:type="dxa"/>
              <w:bottom w:w="100" w:type="dxa"/>
              <w:right w:w="100" w:type="dxa"/>
            </w:tcMar>
          </w:tcPr>
          <w:p w14:paraId="297D3B6A" w14:textId="77777777" w:rsidR="009054C0" w:rsidRDefault="00717449">
            <w:pPr>
              <w:widowControl w:val="0"/>
              <w:shd w:val="clear" w:color="auto" w:fill="FFFFFF"/>
              <w:spacing w:line="276" w:lineRule="auto"/>
              <w:rPr>
                <w:sz w:val="22"/>
                <w:szCs w:val="22"/>
                <w:highlight w:val="white"/>
              </w:rPr>
            </w:pPr>
            <w:hyperlink r:id="rId80">
              <w:r w:rsidR="006F3A8E">
                <w:rPr>
                  <w:color w:val="1155CC"/>
                  <w:sz w:val="22"/>
                  <w:szCs w:val="22"/>
                  <w:highlight w:val="white"/>
                  <w:u w:val="single"/>
                </w:rPr>
                <w:t>Zakat Poverty Alleviation</w:t>
              </w:r>
            </w:hyperlink>
          </w:p>
          <w:p w14:paraId="445D2BCC" w14:textId="77777777" w:rsidR="009054C0" w:rsidRDefault="006F3A8E">
            <w:pPr>
              <w:widowControl w:val="0"/>
              <w:shd w:val="clear" w:color="auto" w:fill="FFFFFF"/>
              <w:spacing w:line="276" w:lineRule="auto"/>
              <w:rPr>
                <w:sz w:val="22"/>
                <w:szCs w:val="22"/>
                <w:highlight w:val="white"/>
              </w:rPr>
            </w:pPr>
            <w:r>
              <w:rPr>
                <w:sz w:val="22"/>
                <w:szCs w:val="22"/>
                <w:highlight w:val="white"/>
              </w:rPr>
              <w:t>(2022-present)</w:t>
            </w:r>
          </w:p>
        </w:tc>
        <w:tc>
          <w:tcPr>
            <w:tcW w:w="1305" w:type="dxa"/>
            <w:tcMar>
              <w:top w:w="100" w:type="dxa"/>
              <w:left w:w="100" w:type="dxa"/>
              <w:bottom w:w="100" w:type="dxa"/>
              <w:right w:w="100" w:type="dxa"/>
            </w:tcMar>
          </w:tcPr>
          <w:p w14:paraId="4566063A" w14:textId="77777777" w:rsidR="009054C0" w:rsidRDefault="006F3A8E">
            <w:pPr>
              <w:widowControl w:val="0"/>
              <w:rPr>
                <w:sz w:val="22"/>
                <w:szCs w:val="22"/>
              </w:rPr>
            </w:pPr>
            <w:r>
              <w:rPr>
                <w:sz w:val="22"/>
                <w:szCs w:val="22"/>
              </w:rPr>
              <w:t>West Java, Indonesia</w:t>
            </w:r>
          </w:p>
        </w:tc>
        <w:tc>
          <w:tcPr>
            <w:tcW w:w="3420" w:type="dxa"/>
            <w:tcMar>
              <w:top w:w="100" w:type="dxa"/>
              <w:left w:w="100" w:type="dxa"/>
              <w:bottom w:w="100" w:type="dxa"/>
              <w:right w:w="100" w:type="dxa"/>
            </w:tcMar>
          </w:tcPr>
          <w:p w14:paraId="7609C618" w14:textId="77777777" w:rsidR="009054C0" w:rsidRDefault="006F3A8E">
            <w:pPr>
              <w:pStyle w:val="Heading1"/>
              <w:keepNext w:val="0"/>
              <w:widowControl w:val="0"/>
              <w:shd w:val="clear" w:color="auto" w:fill="FFFFFF"/>
              <w:spacing w:before="0" w:after="0" w:line="326" w:lineRule="auto"/>
              <w:rPr>
                <w:b w:val="0"/>
                <w:sz w:val="22"/>
                <w:szCs w:val="22"/>
                <w:highlight w:val="white"/>
              </w:rPr>
            </w:pPr>
            <w:bookmarkStart w:id="2" w:name="_3o1dxsfeg94f" w:colFirst="0" w:colLast="0"/>
            <w:bookmarkEnd w:id="2"/>
            <w:r>
              <w:rPr>
                <w:b w:val="0"/>
                <w:sz w:val="22"/>
                <w:szCs w:val="22"/>
                <w:highlight w:val="white"/>
              </w:rPr>
              <w:t xml:space="preserve">Analyzed the role of zakat in poverty alleviation and income inequality reduction based on the gender of zakat </w:t>
            </w:r>
            <w:proofErr w:type="gramStart"/>
            <w:r>
              <w:rPr>
                <w:b w:val="0"/>
                <w:sz w:val="22"/>
                <w:szCs w:val="22"/>
                <w:highlight w:val="white"/>
              </w:rPr>
              <w:t>recipients</w:t>
            </w:r>
            <w:proofErr w:type="gramEnd"/>
          </w:p>
          <w:p w14:paraId="70017D8D" w14:textId="77777777" w:rsidR="009054C0" w:rsidRDefault="006F3A8E">
            <w:pPr>
              <w:pStyle w:val="Heading1"/>
              <w:keepNext w:val="0"/>
              <w:widowControl w:val="0"/>
              <w:shd w:val="clear" w:color="auto" w:fill="FFFFFF"/>
              <w:spacing w:before="0" w:after="0" w:line="326" w:lineRule="auto"/>
              <w:rPr>
                <w:b w:val="0"/>
                <w:sz w:val="22"/>
                <w:szCs w:val="22"/>
                <w:highlight w:val="white"/>
              </w:rPr>
            </w:pPr>
            <w:bookmarkStart w:id="3" w:name="_qj3yruxnug72" w:colFirst="0" w:colLast="0"/>
            <w:bookmarkEnd w:id="3"/>
            <w:r>
              <w:rPr>
                <w:b w:val="0"/>
                <w:sz w:val="22"/>
                <w:szCs w:val="22"/>
                <w:highlight w:val="white"/>
              </w:rPr>
              <w:t xml:space="preserve">(Zakat is a form of almsgiving). </w:t>
            </w:r>
          </w:p>
          <w:p w14:paraId="043A8DBA" w14:textId="77777777" w:rsidR="009054C0" w:rsidRDefault="009054C0">
            <w:pPr>
              <w:spacing w:line="276" w:lineRule="auto"/>
              <w:rPr>
                <w:sz w:val="22"/>
                <w:szCs w:val="22"/>
              </w:rPr>
            </w:pPr>
          </w:p>
          <w:p w14:paraId="555BC3A7" w14:textId="77777777" w:rsidR="009054C0" w:rsidRDefault="006F3A8E">
            <w:pPr>
              <w:spacing w:line="276" w:lineRule="auto"/>
              <w:rPr>
                <w:sz w:val="22"/>
                <w:szCs w:val="22"/>
                <w:highlight w:val="white"/>
              </w:rPr>
            </w:pPr>
            <w:r>
              <w:rPr>
                <w:sz w:val="22"/>
                <w:szCs w:val="22"/>
              </w:rPr>
              <w:t xml:space="preserve">Methodology: </w:t>
            </w:r>
            <w:r>
              <w:rPr>
                <w:sz w:val="22"/>
                <w:szCs w:val="22"/>
                <w:highlight w:val="white"/>
              </w:rPr>
              <w:t>Centre of Islamic Economic and Business Studies (CIBEST) model used as a poverty measure. Gini coefficient and Atkinson index used as income inequality measures to analyze 1,300 zakat recipients.</w:t>
            </w:r>
          </w:p>
          <w:p w14:paraId="3C6DC884" w14:textId="77777777" w:rsidR="009054C0" w:rsidRDefault="009054C0">
            <w:pPr>
              <w:widowControl w:val="0"/>
              <w:shd w:val="clear" w:color="auto" w:fill="FFFFFF"/>
              <w:spacing w:line="276" w:lineRule="auto"/>
              <w:rPr>
                <w:sz w:val="22"/>
                <w:szCs w:val="22"/>
              </w:rPr>
            </w:pPr>
          </w:p>
        </w:tc>
        <w:tc>
          <w:tcPr>
            <w:tcW w:w="5725" w:type="dxa"/>
            <w:tcMar>
              <w:top w:w="100" w:type="dxa"/>
              <w:left w:w="100" w:type="dxa"/>
              <w:bottom w:w="100" w:type="dxa"/>
              <w:right w:w="100" w:type="dxa"/>
            </w:tcMar>
          </w:tcPr>
          <w:p w14:paraId="5AB24A8A" w14:textId="77777777" w:rsidR="009054C0" w:rsidRDefault="006F3A8E">
            <w:pPr>
              <w:shd w:val="clear" w:color="auto" w:fill="FFFFFF"/>
              <w:spacing w:line="276" w:lineRule="auto"/>
              <w:rPr>
                <w:sz w:val="22"/>
                <w:szCs w:val="22"/>
              </w:rPr>
            </w:pPr>
            <w:r>
              <w:rPr>
                <w:sz w:val="22"/>
                <w:szCs w:val="22"/>
              </w:rPr>
              <w:t xml:space="preserve">Results: female-headed households had better income distribution 1 year after zakat distribution </w:t>
            </w:r>
            <w:proofErr w:type="spellStart"/>
            <w:r>
              <w:rPr>
                <w:sz w:val="22"/>
                <w:szCs w:val="22"/>
              </w:rPr>
              <w:t>programmes</w:t>
            </w:r>
            <w:proofErr w:type="spellEnd"/>
            <w:r>
              <w:rPr>
                <w:sz w:val="22"/>
                <w:szCs w:val="22"/>
              </w:rPr>
              <w:t xml:space="preserve">. </w:t>
            </w:r>
          </w:p>
          <w:p w14:paraId="04E28121" w14:textId="77777777" w:rsidR="009054C0" w:rsidRDefault="009054C0">
            <w:pPr>
              <w:shd w:val="clear" w:color="auto" w:fill="FFFFFF"/>
              <w:spacing w:line="276" w:lineRule="auto"/>
              <w:rPr>
                <w:sz w:val="22"/>
                <w:szCs w:val="22"/>
              </w:rPr>
            </w:pPr>
          </w:p>
          <w:p w14:paraId="00807F2C" w14:textId="77777777" w:rsidR="009054C0" w:rsidRDefault="006F3A8E">
            <w:pPr>
              <w:shd w:val="clear" w:color="auto" w:fill="FFFFFF"/>
              <w:spacing w:line="276" w:lineRule="auto"/>
              <w:rPr>
                <w:sz w:val="22"/>
                <w:szCs w:val="22"/>
              </w:rPr>
            </w:pPr>
            <w:r>
              <w:rPr>
                <w:sz w:val="22"/>
                <w:szCs w:val="22"/>
              </w:rPr>
              <w:t>Research limitations/implications: used the poverty line standard published by the Central Board of Statistics from the Republic of Indonesia to identify respondents who live under the poverty line.</w:t>
            </w:r>
          </w:p>
          <w:p w14:paraId="5C9B6697" w14:textId="77777777" w:rsidR="009054C0" w:rsidRDefault="009054C0">
            <w:pPr>
              <w:widowControl w:val="0"/>
              <w:rPr>
                <w:sz w:val="22"/>
                <w:szCs w:val="22"/>
              </w:rPr>
            </w:pPr>
          </w:p>
        </w:tc>
        <w:tc>
          <w:tcPr>
            <w:tcW w:w="1890" w:type="dxa"/>
            <w:tcMar>
              <w:top w:w="100" w:type="dxa"/>
              <w:left w:w="100" w:type="dxa"/>
              <w:bottom w:w="100" w:type="dxa"/>
              <w:right w:w="100" w:type="dxa"/>
            </w:tcMar>
          </w:tcPr>
          <w:p w14:paraId="50BBA41E" w14:textId="77777777" w:rsidR="009054C0" w:rsidRDefault="006F3A8E">
            <w:pPr>
              <w:widowControl w:val="0"/>
              <w:jc w:val="center"/>
              <w:rPr>
                <w:sz w:val="22"/>
                <w:szCs w:val="22"/>
              </w:rPr>
            </w:pPr>
            <w:r>
              <w:rPr>
                <w:sz w:val="22"/>
                <w:szCs w:val="22"/>
              </w:rPr>
              <w:t>★★★★</w:t>
            </w:r>
          </w:p>
        </w:tc>
      </w:tr>
      <w:tr w:rsidR="009054C0" w14:paraId="075C9066" w14:textId="77777777" w:rsidTr="00DA2300">
        <w:trPr>
          <w:trHeight w:val="1577"/>
        </w:trPr>
        <w:tc>
          <w:tcPr>
            <w:tcW w:w="2160" w:type="dxa"/>
            <w:tcMar>
              <w:top w:w="100" w:type="dxa"/>
              <w:left w:w="100" w:type="dxa"/>
              <w:bottom w:w="100" w:type="dxa"/>
              <w:right w:w="100" w:type="dxa"/>
            </w:tcMar>
          </w:tcPr>
          <w:p w14:paraId="4E2F7AD4" w14:textId="77777777" w:rsidR="009054C0" w:rsidRDefault="00717449">
            <w:pPr>
              <w:widowControl w:val="0"/>
              <w:shd w:val="clear" w:color="auto" w:fill="FFFFFF"/>
              <w:spacing w:after="240"/>
              <w:rPr>
                <w:sz w:val="22"/>
                <w:szCs w:val="22"/>
                <w:highlight w:val="white"/>
              </w:rPr>
            </w:pPr>
            <w:hyperlink r:id="rId81">
              <w:r w:rsidR="006F3A8E">
                <w:rPr>
                  <w:color w:val="1155CC"/>
                  <w:sz w:val="22"/>
                  <w:szCs w:val="22"/>
                  <w:highlight w:val="white"/>
                  <w:u w:val="single"/>
                </w:rPr>
                <w:t>Salary History Ban</w:t>
              </w:r>
            </w:hyperlink>
          </w:p>
          <w:p w14:paraId="0E87EA90" w14:textId="77777777" w:rsidR="009054C0" w:rsidRDefault="006F3A8E">
            <w:pPr>
              <w:widowControl w:val="0"/>
              <w:shd w:val="clear" w:color="auto" w:fill="FFFFFF"/>
              <w:spacing w:after="240"/>
              <w:rPr>
                <w:sz w:val="22"/>
                <w:szCs w:val="22"/>
                <w:highlight w:val="white"/>
              </w:rPr>
            </w:pPr>
            <w:r>
              <w:rPr>
                <w:sz w:val="22"/>
                <w:szCs w:val="22"/>
                <w:highlight w:val="white"/>
              </w:rPr>
              <w:t>(August 2016- present)</w:t>
            </w:r>
          </w:p>
          <w:p w14:paraId="0F3E5E19" w14:textId="77777777" w:rsidR="009054C0" w:rsidRDefault="009054C0">
            <w:pPr>
              <w:widowControl w:val="0"/>
              <w:shd w:val="clear" w:color="auto" w:fill="FFFFFF"/>
              <w:spacing w:line="276" w:lineRule="auto"/>
              <w:rPr>
                <w:sz w:val="22"/>
                <w:szCs w:val="22"/>
                <w:highlight w:val="white"/>
              </w:rPr>
            </w:pPr>
          </w:p>
        </w:tc>
        <w:tc>
          <w:tcPr>
            <w:tcW w:w="1305" w:type="dxa"/>
            <w:tcMar>
              <w:top w:w="100" w:type="dxa"/>
              <w:left w:w="100" w:type="dxa"/>
              <w:bottom w:w="100" w:type="dxa"/>
              <w:right w:w="100" w:type="dxa"/>
            </w:tcMar>
          </w:tcPr>
          <w:p w14:paraId="66AC9901" w14:textId="77777777" w:rsidR="009054C0" w:rsidRDefault="006F3A8E">
            <w:pPr>
              <w:widowControl w:val="0"/>
              <w:rPr>
                <w:sz w:val="22"/>
                <w:szCs w:val="22"/>
              </w:rPr>
            </w:pPr>
            <w:r>
              <w:rPr>
                <w:sz w:val="22"/>
                <w:szCs w:val="22"/>
              </w:rPr>
              <w:t>United States</w:t>
            </w:r>
          </w:p>
          <w:p w14:paraId="0676B6D9" w14:textId="77777777" w:rsidR="009054C0" w:rsidRDefault="006F3A8E">
            <w:pPr>
              <w:widowControl w:val="0"/>
              <w:rPr>
                <w:sz w:val="22"/>
                <w:szCs w:val="22"/>
              </w:rPr>
            </w:pPr>
            <w:r>
              <w:rPr>
                <w:sz w:val="22"/>
                <w:szCs w:val="22"/>
              </w:rPr>
              <w:t>(29 States)</w:t>
            </w:r>
          </w:p>
          <w:p w14:paraId="13516380" w14:textId="77777777" w:rsidR="009054C0" w:rsidRDefault="009054C0">
            <w:pPr>
              <w:widowControl w:val="0"/>
              <w:rPr>
                <w:sz w:val="22"/>
                <w:szCs w:val="22"/>
              </w:rPr>
            </w:pPr>
          </w:p>
        </w:tc>
        <w:tc>
          <w:tcPr>
            <w:tcW w:w="3420" w:type="dxa"/>
            <w:tcMar>
              <w:top w:w="100" w:type="dxa"/>
              <w:left w:w="100" w:type="dxa"/>
              <w:bottom w:w="100" w:type="dxa"/>
              <w:right w:w="100" w:type="dxa"/>
            </w:tcMar>
          </w:tcPr>
          <w:p w14:paraId="3462CF9C" w14:textId="77777777" w:rsidR="009054C0" w:rsidRDefault="006F3A8E">
            <w:pPr>
              <w:widowControl w:val="0"/>
              <w:shd w:val="clear" w:color="auto" w:fill="FFFFFF"/>
              <w:spacing w:line="276" w:lineRule="auto"/>
              <w:rPr>
                <w:sz w:val="22"/>
                <w:szCs w:val="22"/>
              </w:rPr>
            </w:pPr>
            <w:r>
              <w:rPr>
                <w:sz w:val="22"/>
                <w:szCs w:val="22"/>
              </w:rPr>
              <w:t>The salary history ban prevents employers from inquiring about applicants’ pay history during the hiring process.</w:t>
            </w:r>
          </w:p>
        </w:tc>
        <w:tc>
          <w:tcPr>
            <w:tcW w:w="5725" w:type="dxa"/>
            <w:tcMar>
              <w:top w:w="100" w:type="dxa"/>
              <w:left w:w="100" w:type="dxa"/>
              <w:bottom w:w="100" w:type="dxa"/>
              <w:right w:w="100" w:type="dxa"/>
            </w:tcMar>
          </w:tcPr>
          <w:p w14:paraId="4DC370A8" w14:textId="77777777" w:rsidR="009054C0" w:rsidRDefault="006F3A8E">
            <w:pPr>
              <w:widowControl w:val="0"/>
              <w:rPr>
                <w:sz w:val="22"/>
                <w:szCs w:val="22"/>
              </w:rPr>
            </w:pPr>
            <w:r>
              <w:rPr>
                <w:sz w:val="22"/>
                <w:szCs w:val="22"/>
              </w:rPr>
              <w:t xml:space="preserve">Bans reduced the gender pay gap by 4.2 percentage points in hourly </w:t>
            </w:r>
            <w:proofErr w:type="gramStart"/>
            <w:r>
              <w:rPr>
                <w:sz w:val="22"/>
                <w:szCs w:val="22"/>
              </w:rPr>
              <w:t>wages  and</w:t>
            </w:r>
            <w:proofErr w:type="gramEnd"/>
            <w:r>
              <w:rPr>
                <w:sz w:val="22"/>
                <w:szCs w:val="22"/>
              </w:rPr>
              <w:t xml:space="preserve"> by 4.5 percentage points in weekly earnings.</w:t>
            </w:r>
          </w:p>
          <w:p w14:paraId="5DC5C6D4" w14:textId="77777777" w:rsidR="009054C0" w:rsidRDefault="009054C0">
            <w:pPr>
              <w:widowControl w:val="0"/>
              <w:rPr>
                <w:sz w:val="22"/>
                <w:szCs w:val="22"/>
              </w:rPr>
            </w:pPr>
          </w:p>
          <w:p w14:paraId="07699F24" w14:textId="77777777" w:rsidR="009054C0" w:rsidRDefault="006F3A8E">
            <w:pPr>
              <w:widowControl w:val="0"/>
              <w:rPr>
                <w:sz w:val="22"/>
                <w:szCs w:val="22"/>
              </w:rPr>
            </w:pPr>
            <w:r>
              <w:rPr>
                <w:sz w:val="22"/>
                <w:szCs w:val="22"/>
              </w:rPr>
              <w:t>However, about 40% of the reduction in the weekly earnings gap is a result of a decrease in the earnings of middle-aged men.</w:t>
            </w:r>
          </w:p>
          <w:p w14:paraId="7A0ADFAC" w14:textId="77777777" w:rsidR="009054C0" w:rsidRDefault="009054C0">
            <w:pPr>
              <w:widowControl w:val="0"/>
              <w:rPr>
                <w:sz w:val="22"/>
                <w:szCs w:val="22"/>
              </w:rPr>
            </w:pPr>
          </w:p>
          <w:p w14:paraId="0E33C126" w14:textId="77777777" w:rsidR="009054C0" w:rsidRDefault="006F3A8E">
            <w:pPr>
              <w:widowControl w:val="0"/>
              <w:rPr>
                <w:sz w:val="22"/>
                <w:szCs w:val="22"/>
              </w:rPr>
            </w:pPr>
            <w:r>
              <w:rPr>
                <w:sz w:val="22"/>
                <w:szCs w:val="22"/>
              </w:rPr>
              <w:t xml:space="preserve">While the gender pay gap decreased in the private sector, the gaps in the public sector </w:t>
            </w:r>
            <w:proofErr w:type="gramStart"/>
            <w:r>
              <w:rPr>
                <w:sz w:val="22"/>
                <w:szCs w:val="22"/>
              </w:rPr>
              <w:t>increased  due</w:t>
            </w:r>
            <w:proofErr w:type="gramEnd"/>
            <w:r>
              <w:rPr>
                <w:sz w:val="22"/>
                <w:szCs w:val="22"/>
              </w:rPr>
              <w:t xml:space="preserve"> to an increase in men’s earnings.</w:t>
            </w:r>
          </w:p>
        </w:tc>
        <w:tc>
          <w:tcPr>
            <w:tcW w:w="1890" w:type="dxa"/>
            <w:tcMar>
              <w:top w:w="100" w:type="dxa"/>
              <w:left w:w="100" w:type="dxa"/>
              <w:bottom w:w="100" w:type="dxa"/>
              <w:right w:w="100" w:type="dxa"/>
            </w:tcMar>
          </w:tcPr>
          <w:p w14:paraId="7285856D" w14:textId="77777777" w:rsidR="009054C0" w:rsidRDefault="006F3A8E">
            <w:pPr>
              <w:widowControl w:val="0"/>
              <w:jc w:val="center"/>
              <w:rPr>
                <w:sz w:val="22"/>
                <w:szCs w:val="22"/>
              </w:rPr>
            </w:pPr>
            <w:r>
              <w:rPr>
                <w:sz w:val="22"/>
                <w:szCs w:val="22"/>
              </w:rPr>
              <w:t>★★★★</w:t>
            </w:r>
          </w:p>
        </w:tc>
      </w:tr>
      <w:tr w:rsidR="009054C0" w14:paraId="01D6D3CB" w14:textId="77777777" w:rsidTr="00DA2300">
        <w:trPr>
          <w:trHeight w:val="522"/>
        </w:trPr>
        <w:tc>
          <w:tcPr>
            <w:tcW w:w="2160" w:type="dxa"/>
            <w:tcMar>
              <w:top w:w="100" w:type="dxa"/>
              <w:left w:w="100" w:type="dxa"/>
              <w:bottom w:w="100" w:type="dxa"/>
              <w:right w:w="100" w:type="dxa"/>
            </w:tcMar>
          </w:tcPr>
          <w:p w14:paraId="051C5ED1" w14:textId="77777777" w:rsidR="009054C0" w:rsidRDefault="00717449">
            <w:pPr>
              <w:widowControl w:val="0"/>
              <w:shd w:val="clear" w:color="auto" w:fill="FFFFFF"/>
              <w:spacing w:line="276" w:lineRule="auto"/>
              <w:rPr>
                <w:sz w:val="22"/>
                <w:szCs w:val="22"/>
                <w:highlight w:val="white"/>
              </w:rPr>
            </w:pPr>
            <w:hyperlink r:id="rId82">
              <w:r w:rsidR="006F3A8E">
                <w:rPr>
                  <w:color w:val="1155CC"/>
                  <w:sz w:val="22"/>
                  <w:szCs w:val="22"/>
                  <w:highlight w:val="white"/>
                  <w:u w:val="single"/>
                </w:rPr>
                <w:t>Pay Transparency Initiative</w:t>
              </w:r>
            </w:hyperlink>
            <w:r w:rsidR="006F3A8E">
              <w:rPr>
                <w:sz w:val="22"/>
                <w:szCs w:val="22"/>
                <w:highlight w:val="white"/>
              </w:rPr>
              <w:t xml:space="preserve"> </w:t>
            </w:r>
          </w:p>
          <w:p w14:paraId="2C6E2F86" w14:textId="77777777" w:rsidR="009054C0" w:rsidRDefault="006F3A8E">
            <w:pPr>
              <w:widowControl w:val="0"/>
              <w:shd w:val="clear" w:color="auto" w:fill="FFFFFF"/>
              <w:spacing w:line="276" w:lineRule="auto"/>
              <w:rPr>
                <w:sz w:val="22"/>
                <w:szCs w:val="22"/>
                <w:highlight w:val="white"/>
              </w:rPr>
            </w:pPr>
            <w:r>
              <w:rPr>
                <w:sz w:val="22"/>
                <w:szCs w:val="22"/>
                <w:highlight w:val="white"/>
              </w:rPr>
              <w:t>(2007)</w:t>
            </w:r>
          </w:p>
        </w:tc>
        <w:tc>
          <w:tcPr>
            <w:tcW w:w="1305" w:type="dxa"/>
            <w:tcMar>
              <w:top w:w="100" w:type="dxa"/>
              <w:left w:w="100" w:type="dxa"/>
              <w:bottom w:w="100" w:type="dxa"/>
              <w:right w:w="100" w:type="dxa"/>
            </w:tcMar>
          </w:tcPr>
          <w:p w14:paraId="1A21F8FB" w14:textId="77777777" w:rsidR="009054C0" w:rsidRDefault="006F3A8E">
            <w:pPr>
              <w:widowControl w:val="0"/>
              <w:rPr>
                <w:sz w:val="22"/>
                <w:szCs w:val="22"/>
              </w:rPr>
            </w:pPr>
            <w:r>
              <w:rPr>
                <w:sz w:val="22"/>
                <w:szCs w:val="22"/>
              </w:rPr>
              <w:t>United Kingdom</w:t>
            </w:r>
          </w:p>
        </w:tc>
        <w:tc>
          <w:tcPr>
            <w:tcW w:w="3420" w:type="dxa"/>
            <w:tcMar>
              <w:top w:w="100" w:type="dxa"/>
              <w:left w:w="100" w:type="dxa"/>
              <w:bottom w:w="100" w:type="dxa"/>
              <w:right w:w="100" w:type="dxa"/>
            </w:tcMar>
          </w:tcPr>
          <w:p w14:paraId="24596BBC" w14:textId="77777777" w:rsidR="009054C0" w:rsidRDefault="006F3A8E">
            <w:pPr>
              <w:widowControl w:val="0"/>
              <w:shd w:val="clear" w:color="auto" w:fill="FFFFFF"/>
              <w:spacing w:line="276" w:lineRule="auto"/>
              <w:rPr>
                <w:sz w:val="22"/>
                <w:szCs w:val="22"/>
              </w:rPr>
            </w:pPr>
            <w:r>
              <w:rPr>
                <w:sz w:val="22"/>
                <w:szCs w:val="22"/>
              </w:rPr>
              <w:t>Enabled public access to mean salaries of men and women in UK universities</w:t>
            </w:r>
          </w:p>
        </w:tc>
        <w:tc>
          <w:tcPr>
            <w:tcW w:w="5725" w:type="dxa"/>
            <w:tcMar>
              <w:top w:w="100" w:type="dxa"/>
              <w:left w:w="100" w:type="dxa"/>
              <w:bottom w:w="100" w:type="dxa"/>
              <w:right w:w="100" w:type="dxa"/>
            </w:tcMar>
          </w:tcPr>
          <w:p w14:paraId="1586C7C4" w14:textId="77777777" w:rsidR="009054C0" w:rsidRDefault="006F3A8E">
            <w:pPr>
              <w:widowControl w:val="0"/>
              <w:rPr>
                <w:sz w:val="22"/>
                <w:szCs w:val="22"/>
              </w:rPr>
            </w:pPr>
            <w:r>
              <w:rPr>
                <w:sz w:val="22"/>
                <w:szCs w:val="22"/>
              </w:rPr>
              <w:t xml:space="preserve">Salaries of female academics increased by around </w:t>
            </w:r>
            <w:proofErr w:type="gramStart"/>
            <w:r>
              <w:rPr>
                <w:sz w:val="22"/>
                <w:szCs w:val="22"/>
              </w:rPr>
              <w:t>0.62  percentage</w:t>
            </w:r>
            <w:proofErr w:type="gramEnd"/>
            <w:r>
              <w:rPr>
                <w:sz w:val="22"/>
                <w:szCs w:val="22"/>
              </w:rPr>
              <w:t xml:space="preserve"> points compared to male academics and the gender pay gap was reduced by 4.37%</w:t>
            </w:r>
          </w:p>
          <w:p w14:paraId="6EAA7414" w14:textId="77777777" w:rsidR="009054C0" w:rsidRDefault="009054C0">
            <w:pPr>
              <w:widowControl w:val="0"/>
              <w:rPr>
                <w:sz w:val="22"/>
                <w:szCs w:val="22"/>
              </w:rPr>
            </w:pPr>
          </w:p>
          <w:p w14:paraId="1C342738" w14:textId="77777777" w:rsidR="009054C0" w:rsidRDefault="006F3A8E">
            <w:pPr>
              <w:widowControl w:val="0"/>
              <w:rPr>
                <w:sz w:val="22"/>
                <w:szCs w:val="22"/>
              </w:rPr>
            </w:pPr>
            <w:r>
              <w:rPr>
                <w:sz w:val="22"/>
                <w:szCs w:val="22"/>
              </w:rPr>
              <w:t xml:space="preserve">The reduction in the pay gap was driven by senior female academics negotiating higher wages and female academics moving to universities with equal </w:t>
            </w:r>
            <w:proofErr w:type="gramStart"/>
            <w:r>
              <w:rPr>
                <w:sz w:val="22"/>
                <w:szCs w:val="22"/>
              </w:rPr>
              <w:t>opportunity</w:t>
            </w:r>
            <w:proofErr w:type="gramEnd"/>
          </w:p>
          <w:p w14:paraId="17D13DE1" w14:textId="77777777" w:rsidR="009054C0" w:rsidRDefault="009054C0">
            <w:pPr>
              <w:widowControl w:val="0"/>
              <w:rPr>
                <w:sz w:val="22"/>
                <w:szCs w:val="22"/>
              </w:rPr>
            </w:pPr>
          </w:p>
          <w:p w14:paraId="513F8C7F" w14:textId="77777777" w:rsidR="009054C0" w:rsidRDefault="006F3A8E">
            <w:pPr>
              <w:widowControl w:val="0"/>
              <w:rPr>
                <w:sz w:val="22"/>
                <w:szCs w:val="22"/>
              </w:rPr>
            </w:pPr>
            <w:r>
              <w:rPr>
                <w:sz w:val="22"/>
                <w:szCs w:val="22"/>
              </w:rPr>
              <w:t>Note that findings on the efficacy of pay transparency policies in decreasing the gender wage gap are not conclusive overall. Pay transparency policies tend to rely on individual workers advocating for pay increases based on newly available information.</w:t>
            </w:r>
          </w:p>
          <w:p w14:paraId="0DFDC0FA" w14:textId="77777777" w:rsidR="009054C0" w:rsidRDefault="009054C0">
            <w:pPr>
              <w:widowControl w:val="0"/>
              <w:rPr>
                <w:sz w:val="22"/>
                <w:szCs w:val="22"/>
              </w:rPr>
            </w:pPr>
          </w:p>
        </w:tc>
        <w:tc>
          <w:tcPr>
            <w:tcW w:w="1890" w:type="dxa"/>
            <w:tcMar>
              <w:top w:w="100" w:type="dxa"/>
              <w:left w:w="100" w:type="dxa"/>
              <w:bottom w:w="100" w:type="dxa"/>
              <w:right w:w="100" w:type="dxa"/>
            </w:tcMar>
          </w:tcPr>
          <w:p w14:paraId="5AE0EC51" w14:textId="77777777" w:rsidR="009054C0" w:rsidRDefault="006F3A8E">
            <w:pPr>
              <w:widowControl w:val="0"/>
              <w:jc w:val="center"/>
              <w:rPr>
                <w:sz w:val="22"/>
                <w:szCs w:val="22"/>
              </w:rPr>
            </w:pPr>
            <w:r>
              <w:rPr>
                <w:sz w:val="22"/>
                <w:szCs w:val="22"/>
              </w:rPr>
              <w:t>★★★★</w:t>
            </w:r>
          </w:p>
        </w:tc>
      </w:tr>
      <w:tr w:rsidR="009054C0" w14:paraId="0848C10C" w14:textId="77777777" w:rsidTr="00DA2300">
        <w:trPr>
          <w:trHeight w:val="522"/>
        </w:trPr>
        <w:tc>
          <w:tcPr>
            <w:tcW w:w="2160" w:type="dxa"/>
            <w:tcMar>
              <w:top w:w="100" w:type="dxa"/>
              <w:left w:w="100" w:type="dxa"/>
              <w:bottom w:w="100" w:type="dxa"/>
              <w:right w:w="100" w:type="dxa"/>
            </w:tcMar>
          </w:tcPr>
          <w:p w14:paraId="2987C998" w14:textId="77777777" w:rsidR="009054C0" w:rsidRDefault="00717449">
            <w:pPr>
              <w:widowControl w:val="0"/>
              <w:shd w:val="clear" w:color="auto" w:fill="FFFFFF"/>
              <w:spacing w:line="276" w:lineRule="auto"/>
              <w:rPr>
                <w:color w:val="333333"/>
                <w:sz w:val="22"/>
                <w:szCs w:val="22"/>
                <w:highlight w:val="white"/>
              </w:rPr>
            </w:pPr>
            <w:hyperlink r:id="rId83">
              <w:r w:rsidR="006F3A8E">
                <w:rPr>
                  <w:color w:val="1155CC"/>
                  <w:sz w:val="22"/>
                  <w:szCs w:val="22"/>
                  <w:highlight w:val="white"/>
                  <w:u w:val="single"/>
                </w:rPr>
                <w:t>Equal Pay Certification</w:t>
              </w:r>
            </w:hyperlink>
          </w:p>
          <w:p w14:paraId="594DA48F" w14:textId="77777777" w:rsidR="009054C0" w:rsidRDefault="006F3A8E">
            <w:pPr>
              <w:widowControl w:val="0"/>
              <w:shd w:val="clear" w:color="auto" w:fill="FFFFFF"/>
              <w:spacing w:line="276" w:lineRule="auto"/>
              <w:rPr>
                <w:color w:val="333333"/>
                <w:sz w:val="22"/>
                <w:szCs w:val="22"/>
                <w:highlight w:val="white"/>
              </w:rPr>
            </w:pPr>
            <w:r>
              <w:rPr>
                <w:color w:val="333333"/>
                <w:sz w:val="22"/>
                <w:szCs w:val="22"/>
                <w:highlight w:val="white"/>
              </w:rPr>
              <w:t>(2020-Present)</w:t>
            </w:r>
          </w:p>
        </w:tc>
        <w:tc>
          <w:tcPr>
            <w:tcW w:w="1305" w:type="dxa"/>
            <w:tcMar>
              <w:top w:w="100" w:type="dxa"/>
              <w:left w:w="100" w:type="dxa"/>
              <w:bottom w:w="100" w:type="dxa"/>
              <w:right w:w="100" w:type="dxa"/>
            </w:tcMar>
          </w:tcPr>
          <w:p w14:paraId="12AEF8B7" w14:textId="77777777" w:rsidR="009054C0" w:rsidRDefault="006F3A8E">
            <w:pPr>
              <w:widowControl w:val="0"/>
              <w:rPr>
                <w:sz w:val="22"/>
                <w:szCs w:val="22"/>
              </w:rPr>
            </w:pPr>
            <w:r>
              <w:rPr>
                <w:sz w:val="22"/>
                <w:szCs w:val="22"/>
              </w:rPr>
              <w:t>Iceland</w:t>
            </w:r>
          </w:p>
        </w:tc>
        <w:tc>
          <w:tcPr>
            <w:tcW w:w="3420" w:type="dxa"/>
            <w:tcMar>
              <w:top w:w="100" w:type="dxa"/>
              <w:left w:w="100" w:type="dxa"/>
              <w:bottom w:w="100" w:type="dxa"/>
              <w:right w:w="100" w:type="dxa"/>
            </w:tcMar>
          </w:tcPr>
          <w:p w14:paraId="5D883422" w14:textId="77777777" w:rsidR="009054C0" w:rsidRDefault="006F3A8E">
            <w:pPr>
              <w:widowControl w:val="0"/>
              <w:rPr>
                <w:sz w:val="22"/>
                <w:szCs w:val="22"/>
              </w:rPr>
            </w:pPr>
            <w:r>
              <w:rPr>
                <w:sz w:val="22"/>
                <w:szCs w:val="22"/>
              </w:rPr>
              <w:t>Institutions/Companies with more than 25 workers must obtain equal pay certification, which requires wages determined irrespective of gender</w:t>
            </w:r>
          </w:p>
        </w:tc>
        <w:tc>
          <w:tcPr>
            <w:tcW w:w="5725" w:type="dxa"/>
            <w:tcMar>
              <w:top w:w="100" w:type="dxa"/>
              <w:left w:w="100" w:type="dxa"/>
              <w:bottom w:w="100" w:type="dxa"/>
              <w:right w:w="100" w:type="dxa"/>
            </w:tcMar>
          </w:tcPr>
          <w:p w14:paraId="4D44EA45" w14:textId="77777777" w:rsidR="009054C0" w:rsidRDefault="006F3A8E">
            <w:pPr>
              <w:widowControl w:val="0"/>
              <w:rPr>
                <w:sz w:val="22"/>
                <w:szCs w:val="22"/>
              </w:rPr>
            </w:pPr>
            <w:r>
              <w:rPr>
                <w:sz w:val="22"/>
                <w:szCs w:val="22"/>
              </w:rPr>
              <w:t>Preliminary analysis found that the system provides a supportive institutional system for certification bodies, employers, and employees to have transparency in job and task evaluation (</w:t>
            </w:r>
            <w:hyperlink r:id="rId84">
              <w:r>
                <w:rPr>
                  <w:color w:val="1155CC"/>
                  <w:sz w:val="22"/>
                  <w:szCs w:val="22"/>
                  <w:u w:val="single"/>
                </w:rPr>
                <w:t>Wagner, 2020</w:t>
              </w:r>
            </w:hyperlink>
            <w:r>
              <w:rPr>
                <w:sz w:val="22"/>
                <w:szCs w:val="22"/>
              </w:rPr>
              <w:t>). This increases not only information for job-seekers and employees, but also accountability for employers; Dobbins et al. argue this will advance gender equality (</w:t>
            </w:r>
            <w:hyperlink r:id="rId85">
              <w:r>
                <w:rPr>
                  <w:color w:val="1155CC"/>
                  <w:sz w:val="22"/>
                  <w:szCs w:val="22"/>
                  <w:u w:val="single"/>
                </w:rPr>
                <w:t>Dobbins et al., 2015</w:t>
              </w:r>
            </w:hyperlink>
            <w:r>
              <w:rPr>
                <w:sz w:val="22"/>
                <w:szCs w:val="22"/>
              </w:rPr>
              <w:t>).</w:t>
            </w:r>
          </w:p>
        </w:tc>
        <w:tc>
          <w:tcPr>
            <w:tcW w:w="1890" w:type="dxa"/>
            <w:tcMar>
              <w:top w:w="100" w:type="dxa"/>
              <w:left w:w="100" w:type="dxa"/>
              <w:bottom w:w="100" w:type="dxa"/>
              <w:right w:w="100" w:type="dxa"/>
            </w:tcMar>
          </w:tcPr>
          <w:p w14:paraId="67DC44D0" w14:textId="77777777" w:rsidR="009054C0" w:rsidRDefault="006F3A8E">
            <w:pPr>
              <w:widowControl w:val="0"/>
              <w:jc w:val="center"/>
              <w:rPr>
                <w:sz w:val="22"/>
                <w:szCs w:val="22"/>
              </w:rPr>
            </w:pPr>
            <w:r>
              <w:rPr>
                <w:sz w:val="22"/>
                <w:szCs w:val="22"/>
              </w:rPr>
              <w:t>★★★</w:t>
            </w:r>
          </w:p>
        </w:tc>
      </w:tr>
      <w:tr w:rsidR="009054C0" w14:paraId="45218E67" w14:textId="77777777" w:rsidTr="00DA2300">
        <w:trPr>
          <w:trHeight w:val="522"/>
        </w:trPr>
        <w:tc>
          <w:tcPr>
            <w:tcW w:w="2160" w:type="dxa"/>
            <w:tcMar>
              <w:top w:w="100" w:type="dxa"/>
              <w:left w:w="100" w:type="dxa"/>
              <w:bottom w:w="100" w:type="dxa"/>
              <w:right w:w="100" w:type="dxa"/>
            </w:tcMar>
          </w:tcPr>
          <w:p w14:paraId="6A22A8E5" w14:textId="77777777" w:rsidR="009054C0" w:rsidRDefault="00717449">
            <w:pPr>
              <w:widowControl w:val="0"/>
              <w:shd w:val="clear" w:color="auto" w:fill="FFFFFF"/>
              <w:spacing w:line="276" w:lineRule="auto"/>
              <w:rPr>
                <w:sz w:val="22"/>
                <w:szCs w:val="22"/>
                <w:highlight w:val="white"/>
              </w:rPr>
            </w:pPr>
            <w:hyperlink r:id="rId86">
              <w:r w:rsidR="006F3A8E">
                <w:rPr>
                  <w:color w:val="1155CC"/>
                  <w:sz w:val="22"/>
                  <w:szCs w:val="22"/>
                  <w:highlight w:val="white"/>
                  <w:u w:val="single"/>
                </w:rPr>
                <w:t xml:space="preserve">The </w:t>
              </w:r>
              <w:proofErr w:type="spellStart"/>
              <w:r w:rsidR="006F3A8E">
                <w:rPr>
                  <w:color w:val="1155CC"/>
                  <w:sz w:val="22"/>
                  <w:szCs w:val="22"/>
                  <w:highlight w:val="white"/>
                  <w:u w:val="single"/>
                </w:rPr>
                <w:t>Labour</w:t>
              </w:r>
              <w:proofErr w:type="spellEnd"/>
              <w:r w:rsidR="006F3A8E">
                <w:rPr>
                  <w:color w:val="1155CC"/>
                  <w:sz w:val="22"/>
                  <w:szCs w:val="22"/>
                  <w:highlight w:val="white"/>
                  <w:u w:val="single"/>
                </w:rPr>
                <w:t xml:space="preserve"> Code</w:t>
              </w:r>
            </w:hyperlink>
          </w:p>
        </w:tc>
        <w:tc>
          <w:tcPr>
            <w:tcW w:w="1305" w:type="dxa"/>
            <w:tcMar>
              <w:top w:w="100" w:type="dxa"/>
              <w:left w:w="100" w:type="dxa"/>
              <w:bottom w:w="100" w:type="dxa"/>
              <w:right w:w="100" w:type="dxa"/>
            </w:tcMar>
          </w:tcPr>
          <w:p w14:paraId="4EB65A98" w14:textId="77777777" w:rsidR="009054C0" w:rsidRDefault="006F3A8E">
            <w:pPr>
              <w:widowControl w:val="0"/>
              <w:rPr>
                <w:sz w:val="22"/>
                <w:szCs w:val="22"/>
              </w:rPr>
            </w:pPr>
            <w:r>
              <w:rPr>
                <w:sz w:val="22"/>
                <w:szCs w:val="22"/>
              </w:rPr>
              <w:t xml:space="preserve">Brazil </w:t>
            </w:r>
          </w:p>
        </w:tc>
        <w:tc>
          <w:tcPr>
            <w:tcW w:w="3420" w:type="dxa"/>
            <w:tcMar>
              <w:top w:w="100" w:type="dxa"/>
              <w:left w:w="100" w:type="dxa"/>
              <w:bottom w:w="100" w:type="dxa"/>
              <w:right w:w="100" w:type="dxa"/>
            </w:tcMar>
          </w:tcPr>
          <w:p w14:paraId="44BE474B" w14:textId="77777777" w:rsidR="009054C0" w:rsidRDefault="006F3A8E">
            <w:pPr>
              <w:widowControl w:val="0"/>
              <w:shd w:val="clear" w:color="auto" w:fill="FFFFFF"/>
              <w:spacing w:line="276" w:lineRule="auto"/>
              <w:rPr>
                <w:sz w:val="22"/>
                <w:szCs w:val="22"/>
              </w:rPr>
            </w:pPr>
            <w:r>
              <w:rPr>
                <w:sz w:val="22"/>
                <w:szCs w:val="22"/>
              </w:rPr>
              <w:t xml:space="preserve">Labor Code Bill (Paragraph 6 of Article 461)- Passed in 2017: gives a financial penalty for ‘discrimination against gender or ethnicity' that a victim of it can </w:t>
            </w:r>
            <w:proofErr w:type="spellStart"/>
            <w:r>
              <w:rPr>
                <w:sz w:val="22"/>
                <w:szCs w:val="22"/>
              </w:rPr>
              <w:t>recieve</w:t>
            </w:r>
            <w:proofErr w:type="spellEnd"/>
            <w:r>
              <w:rPr>
                <w:sz w:val="22"/>
                <w:szCs w:val="22"/>
              </w:rPr>
              <w:t xml:space="preserve">. (50% of maximum Social Security Pension). </w:t>
            </w:r>
          </w:p>
        </w:tc>
        <w:tc>
          <w:tcPr>
            <w:tcW w:w="5725" w:type="dxa"/>
            <w:tcMar>
              <w:top w:w="100" w:type="dxa"/>
              <w:left w:w="100" w:type="dxa"/>
              <w:bottom w:w="100" w:type="dxa"/>
              <w:right w:w="100" w:type="dxa"/>
            </w:tcMar>
          </w:tcPr>
          <w:p w14:paraId="52C1EC6D" w14:textId="77777777" w:rsidR="009054C0" w:rsidRDefault="006F3A8E">
            <w:pPr>
              <w:widowControl w:val="0"/>
              <w:rPr>
                <w:sz w:val="22"/>
                <w:szCs w:val="22"/>
              </w:rPr>
            </w:pPr>
            <w:r>
              <w:rPr>
                <w:sz w:val="22"/>
                <w:szCs w:val="22"/>
              </w:rPr>
              <w:t xml:space="preserve">Results: </w:t>
            </w:r>
          </w:p>
          <w:p w14:paraId="7497E5D0" w14:textId="77777777" w:rsidR="009054C0" w:rsidRDefault="006F3A8E">
            <w:pPr>
              <w:widowControl w:val="0"/>
              <w:numPr>
                <w:ilvl w:val="0"/>
                <w:numId w:val="1"/>
              </w:numPr>
              <w:rPr>
                <w:sz w:val="22"/>
                <w:szCs w:val="22"/>
              </w:rPr>
            </w:pPr>
            <w:r>
              <w:rPr>
                <w:sz w:val="22"/>
                <w:szCs w:val="22"/>
              </w:rPr>
              <w:t xml:space="preserve">Increased number of labor disputes </w:t>
            </w:r>
          </w:p>
          <w:p w14:paraId="02586310" w14:textId="77777777" w:rsidR="009054C0" w:rsidRDefault="006F3A8E">
            <w:pPr>
              <w:widowControl w:val="0"/>
              <w:numPr>
                <w:ilvl w:val="0"/>
                <w:numId w:val="1"/>
              </w:numPr>
              <w:rPr>
                <w:sz w:val="22"/>
                <w:szCs w:val="22"/>
              </w:rPr>
            </w:pPr>
            <w:r>
              <w:rPr>
                <w:sz w:val="22"/>
                <w:szCs w:val="22"/>
              </w:rPr>
              <w:t xml:space="preserve">Results could be swayed as a result of the </w:t>
            </w:r>
            <w:proofErr w:type="gramStart"/>
            <w:r>
              <w:rPr>
                <w:sz w:val="22"/>
                <w:szCs w:val="22"/>
              </w:rPr>
              <w:t>pandemic</w:t>
            </w:r>
            <w:proofErr w:type="gramEnd"/>
            <w:r>
              <w:rPr>
                <w:sz w:val="22"/>
                <w:szCs w:val="22"/>
              </w:rPr>
              <w:t xml:space="preserve"> </w:t>
            </w:r>
          </w:p>
          <w:p w14:paraId="13DD1217" w14:textId="77777777" w:rsidR="009054C0" w:rsidRDefault="006F3A8E">
            <w:pPr>
              <w:widowControl w:val="0"/>
              <w:numPr>
                <w:ilvl w:val="0"/>
                <w:numId w:val="1"/>
              </w:numPr>
              <w:rPr>
                <w:sz w:val="22"/>
                <w:szCs w:val="22"/>
              </w:rPr>
            </w:pPr>
            <w:r>
              <w:rPr>
                <w:sz w:val="22"/>
                <w:szCs w:val="22"/>
              </w:rPr>
              <w:t xml:space="preserve">Lack of evidence of minimizing the gender pay </w:t>
            </w:r>
            <w:proofErr w:type="gramStart"/>
            <w:r>
              <w:rPr>
                <w:sz w:val="22"/>
                <w:szCs w:val="22"/>
              </w:rPr>
              <w:t>gap</w:t>
            </w:r>
            <w:proofErr w:type="gramEnd"/>
          </w:p>
          <w:p w14:paraId="230BB575" w14:textId="77777777" w:rsidR="009054C0" w:rsidRDefault="009054C0">
            <w:pPr>
              <w:widowControl w:val="0"/>
              <w:rPr>
                <w:sz w:val="22"/>
                <w:szCs w:val="22"/>
              </w:rPr>
            </w:pPr>
          </w:p>
          <w:p w14:paraId="133CFD5B" w14:textId="77777777" w:rsidR="009054C0" w:rsidRDefault="009054C0">
            <w:pPr>
              <w:widowControl w:val="0"/>
              <w:rPr>
                <w:sz w:val="22"/>
                <w:szCs w:val="22"/>
              </w:rPr>
            </w:pPr>
          </w:p>
        </w:tc>
        <w:tc>
          <w:tcPr>
            <w:tcW w:w="1890" w:type="dxa"/>
            <w:tcMar>
              <w:top w:w="100" w:type="dxa"/>
              <w:left w:w="100" w:type="dxa"/>
              <w:bottom w:w="100" w:type="dxa"/>
              <w:right w:w="100" w:type="dxa"/>
            </w:tcMar>
          </w:tcPr>
          <w:p w14:paraId="25D05A36" w14:textId="77777777" w:rsidR="009054C0" w:rsidRDefault="006F3A8E">
            <w:pPr>
              <w:widowControl w:val="0"/>
              <w:jc w:val="center"/>
              <w:rPr>
                <w:sz w:val="22"/>
                <w:szCs w:val="22"/>
              </w:rPr>
            </w:pPr>
            <w:r>
              <w:rPr>
                <w:sz w:val="22"/>
                <w:szCs w:val="22"/>
              </w:rPr>
              <w:t>★★★</w:t>
            </w:r>
          </w:p>
        </w:tc>
      </w:tr>
      <w:tr w:rsidR="009054C0" w14:paraId="5556696A" w14:textId="77777777" w:rsidTr="00DA2300">
        <w:trPr>
          <w:trHeight w:val="1577"/>
        </w:trPr>
        <w:tc>
          <w:tcPr>
            <w:tcW w:w="2160" w:type="dxa"/>
            <w:tcMar>
              <w:top w:w="100" w:type="dxa"/>
              <w:left w:w="100" w:type="dxa"/>
              <w:bottom w:w="100" w:type="dxa"/>
              <w:right w:w="100" w:type="dxa"/>
            </w:tcMar>
          </w:tcPr>
          <w:p w14:paraId="3360D584" w14:textId="77777777" w:rsidR="009054C0" w:rsidRDefault="00717449">
            <w:pPr>
              <w:spacing w:line="276" w:lineRule="auto"/>
              <w:rPr>
                <w:sz w:val="22"/>
                <w:szCs w:val="22"/>
              </w:rPr>
            </w:pPr>
            <w:hyperlink r:id="rId87">
              <w:r w:rsidR="006F3A8E">
                <w:rPr>
                  <w:color w:val="1155CC"/>
                  <w:sz w:val="22"/>
                  <w:szCs w:val="22"/>
                  <w:u w:val="single"/>
                </w:rPr>
                <w:t>Availability of Banking Services on Income</w:t>
              </w:r>
            </w:hyperlink>
            <w:r w:rsidR="006F3A8E">
              <w:rPr>
                <w:sz w:val="22"/>
                <w:szCs w:val="22"/>
              </w:rPr>
              <w:t xml:space="preserve"> Inequality, 2005-2019</w:t>
            </w:r>
          </w:p>
          <w:p w14:paraId="24EC0976" w14:textId="77777777" w:rsidR="009054C0" w:rsidRDefault="009054C0">
            <w:pPr>
              <w:widowControl w:val="0"/>
              <w:shd w:val="clear" w:color="auto" w:fill="FFFFFF"/>
              <w:spacing w:after="240" w:line="276" w:lineRule="auto"/>
              <w:rPr>
                <w:sz w:val="22"/>
                <w:szCs w:val="22"/>
                <w:highlight w:val="white"/>
              </w:rPr>
            </w:pPr>
          </w:p>
        </w:tc>
        <w:tc>
          <w:tcPr>
            <w:tcW w:w="1305" w:type="dxa"/>
            <w:tcMar>
              <w:top w:w="100" w:type="dxa"/>
              <w:left w:w="100" w:type="dxa"/>
              <w:bottom w:w="100" w:type="dxa"/>
              <w:right w:w="100" w:type="dxa"/>
            </w:tcMar>
          </w:tcPr>
          <w:p w14:paraId="0E33CBE9" w14:textId="77777777" w:rsidR="009054C0" w:rsidRDefault="006F3A8E">
            <w:pPr>
              <w:spacing w:line="276" w:lineRule="auto"/>
              <w:rPr>
                <w:sz w:val="22"/>
                <w:szCs w:val="22"/>
              </w:rPr>
            </w:pPr>
            <w:r>
              <w:rPr>
                <w:sz w:val="22"/>
                <w:szCs w:val="22"/>
              </w:rPr>
              <w:t xml:space="preserve">Asia Pacific (several countries) </w:t>
            </w:r>
          </w:p>
        </w:tc>
        <w:tc>
          <w:tcPr>
            <w:tcW w:w="3420" w:type="dxa"/>
            <w:tcMar>
              <w:top w:w="100" w:type="dxa"/>
              <w:left w:w="100" w:type="dxa"/>
              <w:bottom w:w="100" w:type="dxa"/>
              <w:right w:w="100" w:type="dxa"/>
            </w:tcMar>
          </w:tcPr>
          <w:p w14:paraId="74226D87" w14:textId="77777777" w:rsidR="009054C0" w:rsidRDefault="006F3A8E">
            <w:pPr>
              <w:widowControl w:val="0"/>
              <w:shd w:val="clear" w:color="auto" w:fill="FFFFFF"/>
              <w:spacing w:line="276" w:lineRule="auto"/>
              <w:rPr>
                <w:sz w:val="22"/>
                <w:szCs w:val="22"/>
              </w:rPr>
            </w:pPr>
            <w:r>
              <w:rPr>
                <w:sz w:val="22"/>
                <w:szCs w:val="22"/>
              </w:rPr>
              <w:t>Study estimated impact of the availability of banking services on income inequality.</w:t>
            </w:r>
          </w:p>
          <w:p w14:paraId="67D0C39C" w14:textId="77777777" w:rsidR="009054C0" w:rsidRDefault="009054C0">
            <w:pPr>
              <w:spacing w:line="276" w:lineRule="auto"/>
              <w:rPr>
                <w:sz w:val="22"/>
                <w:szCs w:val="22"/>
              </w:rPr>
            </w:pPr>
          </w:p>
          <w:p w14:paraId="4EED2358" w14:textId="77777777" w:rsidR="009054C0" w:rsidRDefault="006F3A8E">
            <w:pPr>
              <w:spacing w:line="276" w:lineRule="auto"/>
              <w:rPr>
                <w:sz w:val="22"/>
                <w:szCs w:val="22"/>
              </w:rPr>
            </w:pPr>
            <w:r>
              <w:rPr>
                <w:sz w:val="22"/>
                <w:szCs w:val="22"/>
              </w:rPr>
              <w:lastRenderedPageBreak/>
              <w:t>Method: Annual panel data set constructed with a sample of 8 developing countries in the Asia Pacific region during 2005-2019.</w:t>
            </w:r>
          </w:p>
        </w:tc>
        <w:tc>
          <w:tcPr>
            <w:tcW w:w="5725" w:type="dxa"/>
            <w:tcMar>
              <w:top w:w="100" w:type="dxa"/>
              <w:left w:w="100" w:type="dxa"/>
              <w:bottom w:w="100" w:type="dxa"/>
              <w:right w:w="100" w:type="dxa"/>
            </w:tcMar>
          </w:tcPr>
          <w:p w14:paraId="7A71C17B" w14:textId="77777777" w:rsidR="009054C0" w:rsidRDefault="006F3A8E">
            <w:pPr>
              <w:spacing w:line="276" w:lineRule="auto"/>
              <w:rPr>
                <w:sz w:val="22"/>
                <w:szCs w:val="22"/>
              </w:rPr>
            </w:pPr>
            <w:r>
              <w:rPr>
                <w:sz w:val="22"/>
                <w:szCs w:val="22"/>
              </w:rPr>
              <w:lastRenderedPageBreak/>
              <w:t xml:space="preserve">Results: greater availability of banking services reduces income inequality across countries + evidence that greater women empowerment and better regulatory quality can reduce income inequality, whereas urbanization and globalization can </w:t>
            </w:r>
            <w:r>
              <w:rPr>
                <w:sz w:val="22"/>
                <w:szCs w:val="22"/>
              </w:rPr>
              <w:lastRenderedPageBreak/>
              <w:t xml:space="preserve">(somewhat) deteriorate income equality (at least in the short run). </w:t>
            </w:r>
          </w:p>
          <w:p w14:paraId="791875B4" w14:textId="77777777" w:rsidR="009054C0" w:rsidRDefault="009054C0">
            <w:pPr>
              <w:widowControl w:val="0"/>
              <w:rPr>
                <w:sz w:val="22"/>
                <w:szCs w:val="22"/>
              </w:rPr>
            </w:pPr>
          </w:p>
        </w:tc>
        <w:tc>
          <w:tcPr>
            <w:tcW w:w="1890" w:type="dxa"/>
            <w:tcMar>
              <w:top w:w="100" w:type="dxa"/>
              <w:left w:w="100" w:type="dxa"/>
              <w:bottom w:w="100" w:type="dxa"/>
              <w:right w:w="100" w:type="dxa"/>
            </w:tcMar>
          </w:tcPr>
          <w:p w14:paraId="3A687B7E" w14:textId="77777777" w:rsidR="009054C0" w:rsidRDefault="006F3A8E">
            <w:pPr>
              <w:widowControl w:val="0"/>
              <w:jc w:val="center"/>
              <w:rPr>
                <w:sz w:val="22"/>
                <w:szCs w:val="22"/>
              </w:rPr>
            </w:pPr>
            <w:r>
              <w:rPr>
                <w:sz w:val="22"/>
                <w:szCs w:val="22"/>
              </w:rPr>
              <w:lastRenderedPageBreak/>
              <w:t>★★★</w:t>
            </w:r>
          </w:p>
        </w:tc>
      </w:tr>
      <w:tr w:rsidR="009054C0" w14:paraId="5B3E6B73" w14:textId="77777777" w:rsidTr="00DA2300">
        <w:trPr>
          <w:trHeight w:val="522"/>
        </w:trPr>
        <w:tc>
          <w:tcPr>
            <w:tcW w:w="2160" w:type="dxa"/>
            <w:tcMar>
              <w:top w:w="100" w:type="dxa"/>
              <w:left w:w="100" w:type="dxa"/>
              <w:bottom w:w="100" w:type="dxa"/>
              <w:right w:w="100" w:type="dxa"/>
            </w:tcMar>
          </w:tcPr>
          <w:p w14:paraId="6F16DCC6" w14:textId="77777777" w:rsidR="009054C0" w:rsidRDefault="00717449">
            <w:pPr>
              <w:widowControl w:val="0"/>
              <w:shd w:val="clear" w:color="auto" w:fill="FFFFFF"/>
              <w:spacing w:line="276" w:lineRule="auto"/>
              <w:rPr>
                <w:color w:val="333333"/>
                <w:sz w:val="22"/>
                <w:szCs w:val="22"/>
                <w:highlight w:val="white"/>
              </w:rPr>
            </w:pPr>
            <w:hyperlink r:id="rId88">
              <w:r w:rsidR="006F3A8E">
                <w:rPr>
                  <w:color w:val="1155CC"/>
                  <w:sz w:val="22"/>
                  <w:szCs w:val="22"/>
                  <w:highlight w:val="white"/>
                  <w:u w:val="single"/>
                </w:rPr>
                <w:t>Positive Action</w:t>
              </w:r>
            </w:hyperlink>
            <w:r w:rsidR="006F3A8E">
              <w:rPr>
                <w:color w:val="333333"/>
                <w:sz w:val="22"/>
                <w:szCs w:val="22"/>
                <w:highlight w:val="white"/>
              </w:rPr>
              <w:t xml:space="preserve">: Promote the </w:t>
            </w:r>
            <w:proofErr w:type="spellStart"/>
            <w:r w:rsidR="006F3A8E">
              <w:rPr>
                <w:color w:val="333333"/>
                <w:sz w:val="22"/>
                <w:szCs w:val="22"/>
                <w:highlight w:val="white"/>
              </w:rPr>
              <w:t>the</w:t>
            </w:r>
            <w:proofErr w:type="spellEnd"/>
            <w:r w:rsidR="006F3A8E">
              <w:rPr>
                <w:color w:val="333333"/>
                <w:sz w:val="22"/>
                <w:szCs w:val="22"/>
                <w:highlight w:val="white"/>
              </w:rPr>
              <w:t xml:space="preserve"> advancement of </w:t>
            </w:r>
            <w:proofErr w:type="gramStart"/>
            <w:r w:rsidR="006F3A8E">
              <w:rPr>
                <w:color w:val="333333"/>
                <w:sz w:val="22"/>
                <w:szCs w:val="22"/>
                <w:highlight w:val="white"/>
              </w:rPr>
              <w:t>women</w:t>
            </w:r>
            <w:proofErr w:type="gramEnd"/>
            <w:r w:rsidR="006F3A8E">
              <w:rPr>
                <w:color w:val="333333"/>
                <w:sz w:val="22"/>
                <w:szCs w:val="22"/>
                <w:highlight w:val="white"/>
              </w:rPr>
              <w:t xml:space="preserve"> </w:t>
            </w:r>
          </w:p>
          <w:p w14:paraId="5B208CE4" w14:textId="77777777" w:rsidR="009054C0" w:rsidRDefault="006F3A8E">
            <w:pPr>
              <w:widowControl w:val="0"/>
              <w:shd w:val="clear" w:color="auto" w:fill="FFFFFF"/>
              <w:spacing w:line="276" w:lineRule="auto"/>
              <w:rPr>
                <w:color w:val="333333"/>
                <w:sz w:val="22"/>
                <w:szCs w:val="22"/>
                <w:highlight w:val="white"/>
              </w:rPr>
            </w:pPr>
            <w:r>
              <w:rPr>
                <w:color w:val="333333"/>
                <w:sz w:val="22"/>
                <w:szCs w:val="22"/>
                <w:highlight w:val="white"/>
              </w:rPr>
              <w:t>(2016 - present)</w:t>
            </w:r>
          </w:p>
        </w:tc>
        <w:tc>
          <w:tcPr>
            <w:tcW w:w="1305" w:type="dxa"/>
            <w:tcMar>
              <w:top w:w="100" w:type="dxa"/>
              <w:left w:w="100" w:type="dxa"/>
              <w:bottom w:w="100" w:type="dxa"/>
              <w:right w:w="100" w:type="dxa"/>
            </w:tcMar>
          </w:tcPr>
          <w:p w14:paraId="0AC9F580" w14:textId="77777777" w:rsidR="009054C0" w:rsidRDefault="006F3A8E">
            <w:pPr>
              <w:widowControl w:val="0"/>
              <w:rPr>
                <w:sz w:val="22"/>
                <w:szCs w:val="22"/>
              </w:rPr>
            </w:pPr>
            <w:r>
              <w:rPr>
                <w:sz w:val="22"/>
                <w:szCs w:val="22"/>
              </w:rPr>
              <w:t>Japan</w:t>
            </w:r>
          </w:p>
        </w:tc>
        <w:tc>
          <w:tcPr>
            <w:tcW w:w="3420" w:type="dxa"/>
            <w:tcMar>
              <w:top w:w="100" w:type="dxa"/>
              <w:left w:w="100" w:type="dxa"/>
              <w:bottom w:w="100" w:type="dxa"/>
              <w:right w:w="100" w:type="dxa"/>
            </w:tcMar>
          </w:tcPr>
          <w:p w14:paraId="00DBEDD8" w14:textId="77777777" w:rsidR="009054C0" w:rsidRDefault="006F3A8E">
            <w:pPr>
              <w:widowControl w:val="0"/>
              <w:rPr>
                <w:sz w:val="22"/>
                <w:szCs w:val="22"/>
              </w:rPr>
            </w:pPr>
            <w:r>
              <w:rPr>
                <w:sz w:val="22"/>
                <w:szCs w:val="22"/>
              </w:rPr>
              <w:t>The Japanese government evaluates corporations that promote measures to encourage the advancement of women such as increase in managerial positions of women to improve work-life balance.</w:t>
            </w:r>
          </w:p>
        </w:tc>
        <w:tc>
          <w:tcPr>
            <w:tcW w:w="5725" w:type="dxa"/>
            <w:tcMar>
              <w:top w:w="100" w:type="dxa"/>
              <w:left w:w="100" w:type="dxa"/>
              <w:bottom w:w="100" w:type="dxa"/>
              <w:right w:w="100" w:type="dxa"/>
            </w:tcMar>
          </w:tcPr>
          <w:p w14:paraId="10402FBE" w14:textId="77777777" w:rsidR="009054C0" w:rsidRDefault="006F3A8E">
            <w:pPr>
              <w:widowControl w:val="0"/>
              <w:rPr>
                <w:sz w:val="22"/>
                <w:szCs w:val="22"/>
              </w:rPr>
            </w:pPr>
            <w:r>
              <w:rPr>
                <w:sz w:val="22"/>
                <w:szCs w:val="22"/>
              </w:rPr>
              <w:t>Started from 2016 and subsidized 1.9 trillion Japanese yen in 2020.</w:t>
            </w:r>
          </w:p>
          <w:p w14:paraId="09744F50" w14:textId="77777777" w:rsidR="009054C0" w:rsidRDefault="006F3A8E">
            <w:pPr>
              <w:widowControl w:val="0"/>
              <w:rPr>
                <w:sz w:val="22"/>
                <w:szCs w:val="22"/>
              </w:rPr>
            </w:pPr>
            <w:r>
              <w:rPr>
                <w:sz w:val="22"/>
                <w:szCs w:val="22"/>
              </w:rPr>
              <w:t>(</w:t>
            </w:r>
            <w:hyperlink r:id="rId89">
              <w:r>
                <w:rPr>
                  <w:color w:val="1155CC"/>
                  <w:sz w:val="22"/>
                  <w:szCs w:val="22"/>
                  <w:u w:val="single"/>
                </w:rPr>
                <w:t>Gender Equality Bureau Cabinet Office, 2022</w:t>
              </w:r>
            </w:hyperlink>
            <w:r>
              <w:rPr>
                <w:sz w:val="22"/>
                <w:szCs w:val="22"/>
              </w:rPr>
              <w:t>)</w:t>
            </w:r>
          </w:p>
        </w:tc>
        <w:tc>
          <w:tcPr>
            <w:tcW w:w="1890" w:type="dxa"/>
            <w:tcMar>
              <w:top w:w="100" w:type="dxa"/>
              <w:left w:w="100" w:type="dxa"/>
              <w:bottom w:w="100" w:type="dxa"/>
              <w:right w:w="100" w:type="dxa"/>
            </w:tcMar>
          </w:tcPr>
          <w:p w14:paraId="4E137363" w14:textId="77777777" w:rsidR="009054C0" w:rsidRDefault="006F3A8E">
            <w:pPr>
              <w:widowControl w:val="0"/>
              <w:jc w:val="center"/>
              <w:rPr>
                <w:sz w:val="22"/>
                <w:szCs w:val="22"/>
              </w:rPr>
            </w:pPr>
            <w:r>
              <w:rPr>
                <w:sz w:val="22"/>
                <w:szCs w:val="22"/>
              </w:rPr>
              <w:t>★★★</w:t>
            </w:r>
          </w:p>
        </w:tc>
      </w:tr>
      <w:tr w:rsidR="009054C0" w14:paraId="37ACBD18" w14:textId="77777777" w:rsidTr="00DA2300">
        <w:trPr>
          <w:trHeight w:val="1577"/>
        </w:trPr>
        <w:tc>
          <w:tcPr>
            <w:tcW w:w="2160" w:type="dxa"/>
            <w:tcMar>
              <w:top w:w="100" w:type="dxa"/>
              <w:left w:w="100" w:type="dxa"/>
              <w:bottom w:w="100" w:type="dxa"/>
              <w:right w:w="100" w:type="dxa"/>
            </w:tcMar>
          </w:tcPr>
          <w:p w14:paraId="04AD1211" w14:textId="77777777" w:rsidR="009054C0" w:rsidRDefault="00717449">
            <w:pPr>
              <w:spacing w:line="276" w:lineRule="auto"/>
              <w:rPr>
                <w:sz w:val="22"/>
                <w:szCs w:val="22"/>
              </w:rPr>
            </w:pPr>
            <w:hyperlink r:id="rId90">
              <w:r w:rsidR="006F3A8E">
                <w:rPr>
                  <w:color w:val="1155CC"/>
                  <w:sz w:val="22"/>
                  <w:szCs w:val="22"/>
                  <w:u w:val="single"/>
                </w:rPr>
                <w:t>More and Better Jobs for Women: Women’s Empowerment through Decent Work in Turkey</w:t>
              </w:r>
            </w:hyperlink>
            <w:r w:rsidR="006F3A8E">
              <w:rPr>
                <w:sz w:val="22"/>
                <w:szCs w:val="22"/>
              </w:rPr>
              <w:t xml:space="preserve"> </w:t>
            </w:r>
          </w:p>
          <w:p w14:paraId="7E9AD03E" w14:textId="77777777" w:rsidR="009054C0" w:rsidRDefault="006F3A8E">
            <w:pPr>
              <w:widowControl w:val="0"/>
              <w:shd w:val="clear" w:color="auto" w:fill="FFFFFF"/>
              <w:spacing w:after="240" w:line="276" w:lineRule="auto"/>
              <w:rPr>
                <w:sz w:val="22"/>
                <w:szCs w:val="22"/>
                <w:highlight w:val="white"/>
              </w:rPr>
            </w:pPr>
            <w:r>
              <w:rPr>
                <w:sz w:val="22"/>
                <w:szCs w:val="22"/>
                <w:highlight w:val="white"/>
              </w:rPr>
              <w:t>(2013-2017)</w:t>
            </w:r>
          </w:p>
        </w:tc>
        <w:tc>
          <w:tcPr>
            <w:tcW w:w="1305" w:type="dxa"/>
            <w:tcMar>
              <w:top w:w="100" w:type="dxa"/>
              <w:left w:w="100" w:type="dxa"/>
              <w:bottom w:w="100" w:type="dxa"/>
              <w:right w:w="100" w:type="dxa"/>
            </w:tcMar>
          </w:tcPr>
          <w:p w14:paraId="1433D1F6" w14:textId="77777777" w:rsidR="009054C0" w:rsidRDefault="006F3A8E">
            <w:pPr>
              <w:widowControl w:val="0"/>
              <w:rPr>
                <w:sz w:val="22"/>
                <w:szCs w:val="22"/>
              </w:rPr>
            </w:pPr>
            <w:r>
              <w:rPr>
                <w:sz w:val="22"/>
                <w:szCs w:val="22"/>
              </w:rPr>
              <w:t>Turkey</w:t>
            </w:r>
          </w:p>
        </w:tc>
        <w:tc>
          <w:tcPr>
            <w:tcW w:w="3420" w:type="dxa"/>
            <w:tcMar>
              <w:top w:w="100" w:type="dxa"/>
              <w:left w:w="100" w:type="dxa"/>
              <w:bottom w:w="100" w:type="dxa"/>
              <w:right w:w="100" w:type="dxa"/>
            </w:tcMar>
          </w:tcPr>
          <w:p w14:paraId="230A9286" w14:textId="77777777" w:rsidR="009054C0" w:rsidRDefault="00717449">
            <w:pPr>
              <w:spacing w:line="276" w:lineRule="auto"/>
              <w:rPr>
                <w:sz w:val="22"/>
                <w:szCs w:val="22"/>
              </w:rPr>
            </w:pPr>
            <w:hyperlink r:id="rId91">
              <w:r w:rsidR="006F3A8E">
                <w:rPr>
                  <w:color w:val="1155CC"/>
                  <w:sz w:val="22"/>
                  <w:szCs w:val="22"/>
                  <w:u w:val="single"/>
                </w:rPr>
                <w:t>http://esitizberaberiz.org/home/</w:t>
              </w:r>
            </w:hyperlink>
          </w:p>
          <w:p w14:paraId="67A3F572" w14:textId="77777777" w:rsidR="009054C0" w:rsidRDefault="009054C0">
            <w:pPr>
              <w:spacing w:line="276" w:lineRule="auto"/>
              <w:rPr>
                <w:sz w:val="22"/>
                <w:szCs w:val="22"/>
              </w:rPr>
            </w:pPr>
          </w:p>
          <w:p w14:paraId="180BFD4B" w14:textId="77777777" w:rsidR="009054C0" w:rsidRDefault="006F3A8E">
            <w:pPr>
              <w:spacing w:line="276" w:lineRule="auto"/>
              <w:rPr>
                <w:sz w:val="22"/>
                <w:szCs w:val="22"/>
              </w:rPr>
            </w:pPr>
            <w:r>
              <w:rPr>
                <w:sz w:val="22"/>
                <w:szCs w:val="22"/>
              </w:rPr>
              <w:t>The project aims to develop a comprehensive national policy that will support women's employment, while improving the skills of women workers and raising awareness on gender equality.</w:t>
            </w:r>
          </w:p>
          <w:p w14:paraId="1F00E8C9" w14:textId="77777777" w:rsidR="009054C0" w:rsidRDefault="006F3A8E">
            <w:pPr>
              <w:spacing w:line="276" w:lineRule="auto"/>
              <w:rPr>
                <w:sz w:val="22"/>
                <w:szCs w:val="22"/>
              </w:rPr>
            </w:pPr>
            <w:r>
              <w:rPr>
                <w:sz w:val="22"/>
                <w:szCs w:val="22"/>
              </w:rPr>
              <w:t>Within the scope of the project, the following will be realized:</w:t>
            </w:r>
          </w:p>
          <w:p w14:paraId="00EF25E3" w14:textId="77777777" w:rsidR="009054C0" w:rsidRDefault="006F3A8E">
            <w:pPr>
              <w:spacing w:line="276" w:lineRule="auto"/>
              <w:rPr>
                <w:sz w:val="22"/>
                <w:szCs w:val="22"/>
              </w:rPr>
            </w:pPr>
            <w:r>
              <w:rPr>
                <w:sz w:val="22"/>
                <w:szCs w:val="22"/>
              </w:rPr>
              <w:t>Preparing the first National Action Plan on women's employment in Turkey and developing women's employment policies sensitive to gender equality.</w:t>
            </w:r>
          </w:p>
          <w:p w14:paraId="718D3826" w14:textId="77777777" w:rsidR="009054C0" w:rsidRDefault="006F3A8E">
            <w:pPr>
              <w:spacing w:line="276" w:lineRule="auto"/>
              <w:rPr>
                <w:sz w:val="22"/>
                <w:szCs w:val="22"/>
              </w:rPr>
            </w:pPr>
            <w:r>
              <w:rPr>
                <w:sz w:val="22"/>
                <w:szCs w:val="22"/>
              </w:rPr>
              <w:t>Effective implementation of active labor market policies for women at local level through İŞKUR and Provincial Employment and Vocational Education Boards.</w:t>
            </w:r>
          </w:p>
          <w:p w14:paraId="51AFFCF8" w14:textId="77777777" w:rsidR="009054C0" w:rsidRDefault="006F3A8E">
            <w:pPr>
              <w:spacing w:line="276" w:lineRule="auto"/>
              <w:rPr>
                <w:sz w:val="22"/>
                <w:szCs w:val="22"/>
              </w:rPr>
            </w:pPr>
            <w:r>
              <w:rPr>
                <w:sz w:val="22"/>
                <w:szCs w:val="22"/>
              </w:rPr>
              <w:lastRenderedPageBreak/>
              <w:t>Extending İŞKUR services to include unemployed women with limited access to these services.</w:t>
            </w:r>
          </w:p>
          <w:p w14:paraId="6788A283" w14:textId="77777777" w:rsidR="009054C0" w:rsidRDefault="006F3A8E">
            <w:pPr>
              <w:spacing w:line="276" w:lineRule="auto"/>
              <w:rPr>
                <w:sz w:val="22"/>
                <w:szCs w:val="22"/>
              </w:rPr>
            </w:pPr>
            <w:r>
              <w:rPr>
                <w:sz w:val="22"/>
                <w:szCs w:val="22"/>
              </w:rPr>
              <w:t>Creating decent job opportunities for women through improved work balancing.</w:t>
            </w:r>
          </w:p>
          <w:p w14:paraId="7FCF756B" w14:textId="77777777" w:rsidR="009054C0" w:rsidRDefault="006F3A8E">
            <w:pPr>
              <w:spacing w:line="276" w:lineRule="auto"/>
              <w:rPr>
                <w:sz w:val="22"/>
                <w:szCs w:val="22"/>
              </w:rPr>
            </w:pPr>
            <w:r>
              <w:rPr>
                <w:sz w:val="22"/>
                <w:szCs w:val="22"/>
              </w:rPr>
              <w:t>Raising awareness on gender equality and labor standards among women and men.</w:t>
            </w:r>
          </w:p>
        </w:tc>
        <w:tc>
          <w:tcPr>
            <w:tcW w:w="5725" w:type="dxa"/>
            <w:tcMar>
              <w:top w:w="100" w:type="dxa"/>
              <w:left w:w="100" w:type="dxa"/>
              <w:bottom w:w="100" w:type="dxa"/>
              <w:right w:w="100" w:type="dxa"/>
            </w:tcMar>
          </w:tcPr>
          <w:p w14:paraId="54D89769" w14:textId="77777777" w:rsidR="009054C0" w:rsidRDefault="00717449">
            <w:pPr>
              <w:widowControl w:val="0"/>
              <w:rPr>
                <w:sz w:val="22"/>
                <w:szCs w:val="22"/>
              </w:rPr>
            </w:pPr>
            <w:hyperlink r:id="rId92">
              <w:r w:rsidR="006F3A8E">
                <w:rPr>
                  <w:color w:val="1155CC"/>
                  <w:sz w:val="22"/>
                  <w:szCs w:val="22"/>
                  <w:u w:val="single"/>
                </w:rPr>
                <w:t>https://www.eskills4girls.org/more-and-better-jobs-for-women-womens-empowerment-through-decent-work-in-turkey/</w:t>
              </w:r>
            </w:hyperlink>
          </w:p>
          <w:p w14:paraId="143575A2" w14:textId="77777777" w:rsidR="009054C0" w:rsidRDefault="009054C0">
            <w:pPr>
              <w:widowControl w:val="0"/>
              <w:rPr>
                <w:sz w:val="22"/>
                <w:szCs w:val="22"/>
              </w:rPr>
            </w:pPr>
          </w:p>
          <w:p w14:paraId="61EE7D33" w14:textId="77777777" w:rsidR="009054C0" w:rsidRDefault="006F3A8E">
            <w:pPr>
              <w:widowControl w:val="0"/>
              <w:rPr>
                <w:sz w:val="22"/>
                <w:szCs w:val="22"/>
              </w:rPr>
            </w:pPr>
            <w:r>
              <w:rPr>
                <w:color w:val="292B2C"/>
                <w:sz w:val="22"/>
                <w:szCs w:val="22"/>
                <w:highlight w:val="white"/>
              </w:rPr>
              <w:t>400 women received entrepreneurship training. At the end of the training, micro grant support and mentorship service were given to 30 women who have succeeded and selected.</w:t>
            </w:r>
          </w:p>
        </w:tc>
        <w:tc>
          <w:tcPr>
            <w:tcW w:w="1890" w:type="dxa"/>
            <w:tcMar>
              <w:top w:w="100" w:type="dxa"/>
              <w:left w:w="100" w:type="dxa"/>
              <w:bottom w:w="100" w:type="dxa"/>
              <w:right w:w="100" w:type="dxa"/>
            </w:tcMar>
          </w:tcPr>
          <w:p w14:paraId="1545F3F5" w14:textId="77777777" w:rsidR="009054C0" w:rsidRDefault="006F3A8E">
            <w:pPr>
              <w:widowControl w:val="0"/>
              <w:jc w:val="center"/>
              <w:rPr>
                <w:sz w:val="22"/>
                <w:szCs w:val="22"/>
              </w:rPr>
            </w:pPr>
            <w:r>
              <w:rPr>
                <w:sz w:val="22"/>
                <w:szCs w:val="22"/>
              </w:rPr>
              <w:t>★★★</w:t>
            </w:r>
          </w:p>
        </w:tc>
      </w:tr>
      <w:tr w:rsidR="009054C0" w14:paraId="3531F5B1" w14:textId="77777777" w:rsidTr="00DA2300">
        <w:trPr>
          <w:trHeight w:val="522"/>
        </w:trPr>
        <w:tc>
          <w:tcPr>
            <w:tcW w:w="2160" w:type="dxa"/>
            <w:tcMar>
              <w:top w:w="100" w:type="dxa"/>
              <w:left w:w="100" w:type="dxa"/>
              <w:bottom w:w="100" w:type="dxa"/>
              <w:right w:w="100" w:type="dxa"/>
            </w:tcMar>
          </w:tcPr>
          <w:p w14:paraId="78DF194F" w14:textId="77777777" w:rsidR="009054C0" w:rsidRDefault="006F3A8E">
            <w:pPr>
              <w:widowControl w:val="0"/>
              <w:shd w:val="clear" w:color="auto" w:fill="FFFFFF"/>
              <w:spacing w:line="276" w:lineRule="auto"/>
              <w:rPr>
                <w:sz w:val="22"/>
                <w:szCs w:val="22"/>
                <w:highlight w:val="white"/>
              </w:rPr>
            </w:pPr>
            <w:r>
              <w:rPr>
                <w:sz w:val="22"/>
                <w:szCs w:val="22"/>
                <w:highlight w:val="white"/>
              </w:rPr>
              <w:t>Equality Act 2010 (Gender Pay Gap Information) Regulations 2017</w:t>
            </w:r>
          </w:p>
          <w:p w14:paraId="21DAD281" w14:textId="77777777" w:rsidR="009054C0" w:rsidRDefault="006F3A8E">
            <w:pPr>
              <w:widowControl w:val="0"/>
              <w:shd w:val="clear" w:color="auto" w:fill="FFFFFF"/>
              <w:spacing w:line="276" w:lineRule="auto"/>
              <w:rPr>
                <w:sz w:val="22"/>
                <w:szCs w:val="22"/>
                <w:highlight w:val="white"/>
              </w:rPr>
            </w:pPr>
            <w:r>
              <w:rPr>
                <w:sz w:val="22"/>
                <w:szCs w:val="22"/>
                <w:highlight w:val="white"/>
              </w:rPr>
              <w:t>(April 2017- present)</w:t>
            </w:r>
          </w:p>
        </w:tc>
        <w:tc>
          <w:tcPr>
            <w:tcW w:w="1305" w:type="dxa"/>
            <w:tcMar>
              <w:top w:w="100" w:type="dxa"/>
              <w:left w:w="100" w:type="dxa"/>
              <w:bottom w:w="100" w:type="dxa"/>
              <w:right w:w="100" w:type="dxa"/>
            </w:tcMar>
          </w:tcPr>
          <w:p w14:paraId="62CA5A6E" w14:textId="77777777" w:rsidR="009054C0" w:rsidRDefault="006F3A8E">
            <w:pPr>
              <w:widowControl w:val="0"/>
              <w:rPr>
                <w:sz w:val="22"/>
                <w:szCs w:val="22"/>
              </w:rPr>
            </w:pPr>
            <w:r>
              <w:rPr>
                <w:sz w:val="22"/>
                <w:szCs w:val="22"/>
              </w:rPr>
              <w:t xml:space="preserve">United </w:t>
            </w:r>
            <w:proofErr w:type="spellStart"/>
            <w:r>
              <w:rPr>
                <w:sz w:val="22"/>
                <w:szCs w:val="22"/>
              </w:rPr>
              <w:t>KingdomI</w:t>
            </w:r>
            <w:proofErr w:type="spellEnd"/>
            <w:r>
              <w:rPr>
                <w:sz w:val="22"/>
                <w:szCs w:val="22"/>
              </w:rPr>
              <w:t xml:space="preserve"> </w:t>
            </w:r>
          </w:p>
        </w:tc>
        <w:tc>
          <w:tcPr>
            <w:tcW w:w="3420" w:type="dxa"/>
            <w:tcMar>
              <w:top w:w="100" w:type="dxa"/>
              <w:left w:w="100" w:type="dxa"/>
              <w:bottom w:w="100" w:type="dxa"/>
              <w:right w:w="100" w:type="dxa"/>
            </w:tcMar>
          </w:tcPr>
          <w:p w14:paraId="07FC1750" w14:textId="77777777" w:rsidR="009054C0" w:rsidRDefault="006F3A8E">
            <w:pPr>
              <w:widowControl w:val="0"/>
              <w:rPr>
                <w:sz w:val="22"/>
                <w:szCs w:val="22"/>
              </w:rPr>
            </w:pPr>
            <w:r>
              <w:rPr>
                <w:sz w:val="22"/>
                <w:szCs w:val="22"/>
              </w:rPr>
              <w:t>Requires companies with 250+ employees to annually report data to show if there is any difference between males’ and females’ average pay</w:t>
            </w:r>
          </w:p>
        </w:tc>
        <w:tc>
          <w:tcPr>
            <w:tcW w:w="5725" w:type="dxa"/>
            <w:tcMar>
              <w:top w:w="100" w:type="dxa"/>
              <w:left w:w="100" w:type="dxa"/>
              <w:bottom w:w="100" w:type="dxa"/>
              <w:right w:w="100" w:type="dxa"/>
            </w:tcMar>
          </w:tcPr>
          <w:p w14:paraId="6D171A5F" w14:textId="77777777" w:rsidR="009054C0" w:rsidRDefault="006F3A8E">
            <w:pPr>
              <w:widowControl w:val="0"/>
              <w:rPr>
                <w:sz w:val="22"/>
                <w:szCs w:val="22"/>
              </w:rPr>
            </w:pPr>
            <w:r>
              <w:rPr>
                <w:sz w:val="22"/>
                <w:szCs w:val="22"/>
              </w:rPr>
              <w:t xml:space="preserve">The statistics reported lack specificity. They do not differentiate whether employees are full vs part time, or </w:t>
            </w:r>
            <w:proofErr w:type="gramStart"/>
            <w:r>
              <w:rPr>
                <w:sz w:val="22"/>
                <w:szCs w:val="22"/>
              </w:rPr>
              <w:t>their  job</w:t>
            </w:r>
            <w:proofErr w:type="gramEnd"/>
            <w:r>
              <w:rPr>
                <w:sz w:val="22"/>
                <w:szCs w:val="22"/>
              </w:rPr>
              <w:t xml:space="preserve"> role and experience, which are factors that contribute to the wage gap.</w:t>
            </w:r>
          </w:p>
          <w:p w14:paraId="2A5BA533" w14:textId="77777777" w:rsidR="009054C0" w:rsidRDefault="009054C0">
            <w:pPr>
              <w:widowControl w:val="0"/>
              <w:rPr>
                <w:sz w:val="22"/>
                <w:szCs w:val="22"/>
              </w:rPr>
            </w:pPr>
          </w:p>
          <w:p w14:paraId="18DD6494" w14:textId="77777777" w:rsidR="009054C0" w:rsidRDefault="006F3A8E">
            <w:pPr>
              <w:widowControl w:val="0"/>
              <w:rPr>
                <w:sz w:val="22"/>
                <w:szCs w:val="22"/>
              </w:rPr>
            </w:pPr>
            <w:r>
              <w:rPr>
                <w:sz w:val="22"/>
                <w:szCs w:val="22"/>
              </w:rPr>
              <w:t xml:space="preserve">No proof that companies are seriously enforced to report or be </w:t>
            </w:r>
            <w:proofErr w:type="gramStart"/>
            <w:r>
              <w:rPr>
                <w:sz w:val="22"/>
                <w:szCs w:val="22"/>
              </w:rPr>
              <w:t>accurate</w:t>
            </w:r>
            <w:proofErr w:type="gramEnd"/>
          </w:p>
          <w:p w14:paraId="00684D73" w14:textId="77777777" w:rsidR="009054C0" w:rsidRDefault="006F3A8E">
            <w:pPr>
              <w:widowControl w:val="0"/>
              <w:rPr>
                <w:sz w:val="22"/>
                <w:szCs w:val="22"/>
              </w:rPr>
            </w:pPr>
            <w:r>
              <w:rPr>
                <w:sz w:val="22"/>
                <w:szCs w:val="22"/>
              </w:rPr>
              <w:t xml:space="preserve"> </w:t>
            </w:r>
          </w:p>
          <w:p w14:paraId="3C6FD36C" w14:textId="77777777" w:rsidR="009054C0" w:rsidRDefault="006F3A8E">
            <w:pPr>
              <w:widowControl w:val="0"/>
              <w:rPr>
                <w:sz w:val="22"/>
                <w:szCs w:val="22"/>
              </w:rPr>
            </w:pPr>
            <w:r>
              <w:rPr>
                <w:sz w:val="22"/>
                <w:szCs w:val="22"/>
              </w:rPr>
              <w:t>Unclear how effective it is</w:t>
            </w:r>
          </w:p>
        </w:tc>
        <w:tc>
          <w:tcPr>
            <w:tcW w:w="1890" w:type="dxa"/>
            <w:tcMar>
              <w:top w:w="100" w:type="dxa"/>
              <w:left w:w="100" w:type="dxa"/>
              <w:bottom w:w="100" w:type="dxa"/>
              <w:right w:w="100" w:type="dxa"/>
            </w:tcMar>
          </w:tcPr>
          <w:p w14:paraId="290EBB3E" w14:textId="77777777" w:rsidR="009054C0" w:rsidRDefault="006F3A8E">
            <w:pPr>
              <w:widowControl w:val="0"/>
              <w:jc w:val="center"/>
              <w:rPr>
                <w:sz w:val="22"/>
                <w:szCs w:val="22"/>
              </w:rPr>
            </w:pPr>
            <w:r>
              <w:rPr>
                <w:sz w:val="22"/>
                <w:szCs w:val="22"/>
              </w:rPr>
              <w:t>★★</w:t>
            </w:r>
          </w:p>
        </w:tc>
      </w:tr>
      <w:tr w:rsidR="009054C0" w14:paraId="7ACFB4D2" w14:textId="77777777" w:rsidTr="00DA2300">
        <w:trPr>
          <w:trHeight w:val="522"/>
        </w:trPr>
        <w:tc>
          <w:tcPr>
            <w:tcW w:w="2160" w:type="dxa"/>
            <w:tcMar>
              <w:top w:w="100" w:type="dxa"/>
              <w:left w:w="100" w:type="dxa"/>
              <w:bottom w:w="100" w:type="dxa"/>
              <w:right w:w="100" w:type="dxa"/>
            </w:tcMar>
          </w:tcPr>
          <w:p w14:paraId="58AB5BAB" w14:textId="77777777" w:rsidR="009054C0" w:rsidRDefault="00717449">
            <w:pPr>
              <w:widowControl w:val="0"/>
              <w:shd w:val="clear" w:color="auto" w:fill="FFFFFF"/>
              <w:spacing w:line="276" w:lineRule="auto"/>
              <w:rPr>
                <w:sz w:val="22"/>
                <w:szCs w:val="22"/>
                <w:highlight w:val="white"/>
              </w:rPr>
            </w:pPr>
            <w:hyperlink r:id="rId93">
              <w:r w:rsidR="006F3A8E">
                <w:rPr>
                  <w:color w:val="1155CC"/>
                  <w:sz w:val="22"/>
                  <w:szCs w:val="22"/>
                  <w:highlight w:val="white"/>
                  <w:u w:val="single"/>
                </w:rPr>
                <w:t>Equal Employment Opportunity Law</w:t>
              </w:r>
            </w:hyperlink>
            <w:r w:rsidR="006F3A8E">
              <w:rPr>
                <w:sz w:val="22"/>
                <w:szCs w:val="22"/>
                <w:highlight w:val="white"/>
              </w:rPr>
              <w:br/>
              <w:t>(1986)</w:t>
            </w:r>
          </w:p>
        </w:tc>
        <w:tc>
          <w:tcPr>
            <w:tcW w:w="1305" w:type="dxa"/>
            <w:tcMar>
              <w:top w:w="100" w:type="dxa"/>
              <w:left w:w="100" w:type="dxa"/>
              <w:bottom w:w="100" w:type="dxa"/>
              <w:right w:w="100" w:type="dxa"/>
            </w:tcMar>
          </w:tcPr>
          <w:p w14:paraId="40E89D31" w14:textId="77777777" w:rsidR="009054C0" w:rsidRDefault="006F3A8E">
            <w:pPr>
              <w:widowControl w:val="0"/>
              <w:rPr>
                <w:sz w:val="22"/>
                <w:szCs w:val="22"/>
              </w:rPr>
            </w:pPr>
            <w:r>
              <w:rPr>
                <w:sz w:val="22"/>
                <w:szCs w:val="22"/>
              </w:rPr>
              <w:t>Japan</w:t>
            </w:r>
          </w:p>
        </w:tc>
        <w:tc>
          <w:tcPr>
            <w:tcW w:w="3420" w:type="dxa"/>
            <w:tcMar>
              <w:top w:w="100" w:type="dxa"/>
              <w:left w:w="100" w:type="dxa"/>
              <w:bottom w:w="100" w:type="dxa"/>
              <w:right w:w="100" w:type="dxa"/>
            </w:tcMar>
          </w:tcPr>
          <w:p w14:paraId="36E3341F" w14:textId="77777777" w:rsidR="009054C0" w:rsidRDefault="006F3A8E">
            <w:pPr>
              <w:widowControl w:val="0"/>
              <w:rPr>
                <w:sz w:val="22"/>
                <w:szCs w:val="22"/>
              </w:rPr>
            </w:pPr>
            <w:r>
              <w:rPr>
                <w:sz w:val="22"/>
                <w:szCs w:val="22"/>
              </w:rPr>
              <w:t xml:space="preserve">Enforced law to give the equal employment opportunity for both men and women (Prohibit gender </w:t>
            </w:r>
            <w:proofErr w:type="spellStart"/>
            <w:r>
              <w:rPr>
                <w:sz w:val="22"/>
                <w:szCs w:val="22"/>
              </w:rPr>
              <w:t>disrimination</w:t>
            </w:r>
            <w:proofErr w:type="spellEnd"/>
            <w:r>
              <w:rPr>
                <w:sz w:val="22"/>
                <w:szCs w:val="22"/>
              </w:rPr>
              <w:t>)</w:t>
            </w:r>
          </w:p>
        </w:tc>
        <w:tc>
          <w:tcPr>
            <w:tcW w:w="5725" w:type="dxa"/>
            <w:tcMar>
              <w:top w:w="100" w:type="dxa"/>
              <w:left w:w="100" w:type="dxa"/>
              <w:bottom w:w="100" w:type="dxa"/>
              <w:right w:w="100" w:type="dxa"/>
            </w:tcMar>
          </w:tcPr>
          <w:p w14:paraId="45536280" w14:textId="77777777" w:rsidR="009054C0" w:rsidRDefault="006F3A8E">
            <w:pPr>
              <w:widowControl w:val="0"/>
              <w:rPr>
                <w:sz w:val="22"/>
                <w:szCs w:val="22"/>
              </w:rPr>
            </w:pPr>
            <w:r>
              <w:rPr>
                <w:sz w:val="22"/>
                <w:szCs w:val="22"/>
              </w:rPr>
              <w:t>The law was enforced in 1986.</w:t>
            </w:r>
          </w:p>
          <w:p w14:paraId="2AF6AF27" w14:textId="77777777" w:rsidR="009054C0" w:rsidRDefault="009054C0">
            <w:pPr>
              <w:widowControl w:val="0"/>
              <w:rPr>
                <w:sz w:val="22"/>
                <w:szCs w:val="22"/>
              </w:rPr>
            </w:pPr>
          </w:p>
          <w:p w14:paraId="54AA3F29" w14:textId="77777777" w:rsidR="009054C0" w:rsidRDefault="006F3A8E">
            <w:pPr>
              <w:widowControl w:val="0"/>
              <w:rPr>
                <w:sz w:val="22"/>
                <w:szCs w:val="22"/>
              </w:rPr>
            </w:pPr>
            <w:r>
              <w:rPr>
                <w:sz w:val="22"/>
                <w:szCs w:val="22"/>
              </w:rPr>
              <w:t>The gender wage gap decreased by 14.6 points from 1986, however the effect is not assessed.</w:t>
            </w:r>
          </w:p>
          <w:p w14:paraId="2245F97D" w14:textId="77777777" w:rsidR="009054C0" w:rsidRDefault="006F3A8E">
            <w:pPr>
              <w:widowControl w:val="0"/>
              <w:rPr>
                <w:sz w:val="22"/>
                <w:szCs w:val="22"/>
              </w:rPr>
            </w:pPr>
            <w:r>
              <w:rPr>
                <w:sz w:val="22"/>
                <w:szCs w:val="22"/>
              </w:rPr>
              <w:t>Wage index: Men 100 points and Women 74.3 points in 2020</w:t>
            </w:r>
            <w:r>
              <w:rPr>
                <w:sz w:val="22"/>
                <w:szCs w:val="22"/>
              </w:rPr>
              <w:br/>
              <w:t>(increased in women from 59.7 in 1986)</w:t>
            </w:r>
          </w:p>
        </w:tc>
        <w:tc>
          <w:tcPr>
            <w:tcW w:w="1890" w:type="dxa"/>
            <w:tcMar>
              <w:top w:w="100" w:type="dxa"/>
              <w:left w:w="100" w:type="dxa"/>
              <w:bottom w:w="100" w:type="dxa"/>
              <w:right w:w="100" w:type="dxa"/>
            </w:tcMar>
          </w:tcPr>
          <w:p w14:paraId="7180F1F8" w14:textId="77777777" w:rsidR="009054C0" w:rsidRDefault="006F3A8E">
            <w:pPr>
              <w:widowControl w:val="0"/>
              <w:jc w:val="center"/>
              <w:rPr>
                <w:sz w:val="22"/>
                <w:szCs w:val="22"/>
              </w:rPr>
            </w:pPr>
            <w:r>
              <w:rPr>
                <w:sz w:val="22"/>
                <w:szCs w:val="22"/>
              </w:rPr>
              <w:t>★★</w:t>
            </w:r>
          </w:p>
        </w:tc>
      </w:tr>
      <w:tr w:rsidR="009054C0" w14:paraId="75F62A4F" w14:textId="77777777" w:rsidTr="00DA2300">
        <w:trPr>
          <w:trHeight w:val="522"/>
        </w:trPr>
        <w:tc>
          <w:tcPr>
            <w:tcW w:w="2160" w:type="dxa"/>
            <w:tcMar>
              <w:top w:w="100" w:type="dxa"/>
              <w:left w:w="100" w:type="dxa"/>
              <w:bottom w:w="100" w:type="dxa"/>
              <w:right w:w="100" w:type="dxa"/>
            </w:tcMar>
          </w:tcPr>
          <w:p w14:paraId="0D58D4B4" w14:textId="77777777" w:rsidR="009054C0" w:rsidRDefault="00717449">
            <w:pPr>
              <w:widowControl w:val="0"/>
              <w:shd w:val="clear" w:color="auto" w:fill="FFFFFF"/>
              <w:spacing w:line="276" w:lineRule="auto"/>
              <w:rPr>
                <w:sz w:val="22"/>
                <w:szCs w:val="22"/>
                <w:highlight w:val="white"/>
              </w:rPr>
            </w:pPr>
            <w:hyperlink r:id="rId94">
              <w:r w:rsidR="006F3A8E">
                <w:rPr>
                  <w:color w:val="1155CC"/>
                  <w:sz w:val="22"/>
                  <w:szCs w:val="22"/>
                  <w:highlight w:val="white"/>
                  <w:u w:val="single"/>
                </w:rPr>
                <w:t>Digital Education Action Plan - Action 13</w:t>
              </w:r>
            </w:hyperlink>
          </w:p>
          <w:p w14:paraId="23E4ACF9" w14:textId="77777777" w:rsidR="009054C0" w:rsidRDefault="006F3A8E">
            <w:pPr>
              <w:widowControl w:val="0"/>
              <w:shd w:val="clear" w:color="auto" w:fill="FFFFFF"/>
              <w:spacing w:line="276" w:lineRule="auto"/>
              <w:rPr>
                <w:sz w:val="22"/>
                <w:szCs w:val="22"/>
                <w:highlight w:val="white"/>
              </w:rPr>
            </w:pPr>
            <w:r>
              <w:rPr>
                <w:sz w:val="22"/>
                <w:szCs w:val="22"/>
                <w:highlight w:val="white"/>
              </w:rPr>
              <w:t>(2021-2027)</w:t>
            </w:r>
          </w:p>
        </w:tc>
        <w:tc>
          <w:tcPr>
            <w:tcW w:w="1305" w:type="dxa"/>
            <w:tcMar>
              <w:top w:w="100" w:type="dxa"/>
              <w:left w:w="100" w:type="dxa"/>
              <w:bottom w:w="100" w:type="dxa"/>
              <w:right w:w="100" w:type="dxa"/>
            </w:tcMar>
          </w:tcPr>
          <w:p w14:paraId="16CC8D0C" w14:textId="77777777" w:rsidR="009054C0" w:rsidRDefault="006F3A8E">
            <w:pPr>
              <w:widowControl w:val="0"/>
              <w:rPr>
                <w:sz w:val="22"/>
                <w:szCs w:val="22"/>
              </w:rPr>
            </w:pPr>
            <w:r>
              <w:rPr>
                <w:sz w:val="22"/>
                <w:szCs w:val="22"/>
              </w:rPr>
              <w:t>European Union</w:t>
            </w:r>
          </w:p>
        </w:tc>
        <w:tc>
          <w:tcPr>
            <w:tcW w:w="3420" w:type="dxa"/>
            <w:tcMar>
              <w:top w:w="100" w:type="dxa"/>
              <w:left w:w="100" w:type="dxa"/>
              <w:bottom w:w="100" w:type="dxa"/>
              <w:right w:w="100" w:type="dxa"/>
            </w:tcMar>
          </w:tcPr>
          <w:p w14:paraId="404BCEDD" w14:textId="77777777" w:rsidR="009054C0" w:rsidRDefault="006F3A8E">
            <w:pPr>
              <w:widowControl w:val="0"/>
              <w:rPr>
                <w:sz w:val="22"/>
                <w:szCs w:val="22"/>
              </w:rPr>
            </w:pPr>
            <w:r>
              <w:rPr>
                <w:sz w:val="22"/>
                <w:szCs w:val="22"/>
              </w:rPr>
              <w:t>Encourage more women in STEM by making digital and sustainable entrepreneurship skill training available through online learning platform Girls Go Circular, organize girl’s and women’s E-STEAM festivals in EU Member States, offer higher education programs for STEAM.</w:t>
            </w:r>
          </w:p>
        </w:tc>
        <w:tc>
          <w:tcPr>
            <w:tcW w:w="5725" w:type="dxa"/>
            <w:tcMar>
              <w:top w:w="100" w:type="dxa"/>
              <w:left w:w="100" w:type="dxa"/>
              <w:bottom w:w="100" w:type="dxa"/>
              <w:right w:w="100" w:type="dxa"/>
            </w:tcMar>
          </w:tcPr>
          <w:p w14:paraId="374BD565" w14:textId="77777777" w:rsidR="009054C0" w:rsidRDefault="006F3A8E">
            <w:pPr>
              <w:widowControl w:val="0"/>
              <w:rPr>
                <w:sz w:val="22"/>
                <w:szCs w:val="22"/>
              </w:rPr>
            </w:pPr>
            <w:r>
              <w:rPr>
                <w:sz w:val="22"/>
                <w:szCs w:val="22"/>
              </w:rPr>
              <w:t>Current Expected Deliverables:</w:t>
            </w:r>
          </w:p>
          <w:p w14:paraId="734646C0" w14:textId="77777777" w:rsidR="009054C0" w:rsidRDefault="006F3A8E">
            <w:pPr>
              <w:widowControl w:val="0"/>
              <w:rPr>
                <w:sz w:val="22"/>
                <w:szCs w:val="22"/>
              </w:rPr>
            </w:pPr>
            <w:r>
              <w:rPr>
                <w:rFonts w:ascii="Cardo" w:eastAsia="Cardo" w:hAnsi="Cardo" w:cs="Cardo"/>
                <w:sz w:val="22"/>
                <w:szCs w:val="22"/>
              </w:rPr>
              <w:t>By 2024 → organize 10 E-STEAM festivals for girls and women</w:t>
            </w:r>
          </w:p>
          <w:p w14:paraId="6A152364" w14:textId="77777777" w:rsidR="009054C0" w:rsidRDefault="006F3A8E">
            <w:pPr>
              <w:widowControl w:val="0"/>
              <w:rPr>
                <w:sz w:val="22"/>
                <w:szCs w:val="22"/>
              </w:rPr>
            </w:pPr>
            <w:r>
              <w:rPr>
                <w:rFonts w:ascii="Cardo" w:eastAsia="Cardo" w:hAnsi="Cardo" w:cs="Cardo"/>
                <w:sz w:val="22"/>
                <w:szCs w:val="22"/>
              </w:rPr>
              <w:t>By end of 2027 → engage 40,000 women in training</w:t>
            </w:r>
          </w:p>
          <w:p w14:paraId="47FBA60B" w14:textId="77777777" w:rsidR="009054C0" w:rsidRDefault="009054C0">
            <w:pPr>
              <w:widowControl w:val="0"/>
              <w:rPr>
                <w:sz w:val="22"/>
                <w:szCs w:val="22"/>
              </w:rPr>
            </w:pPr>
          </w:p>
          <w:p w14:paraId="1C1DD15C" w14:textId="77777777" w:rsidR="009054C0" w:rsidRDefault="006F3A8E">
            <w:pPr>
              <w:widowControl w:val="0"/>
              <w:rPr>
                <w:sz w:val="22"/>
                <w:szCs w:val="22"/>
              </w:rPr>
            </w:pPr>
            <w:r>
              <w:rPr>
                <w:sz w:val="22"/>
                <w:szCs w:val="22"/>
              </w:rPr>
              <w:t>Current Effectiveness Unknown</w:t>
            </w:r>
          </w:p>
          <w:p w14:paraId="3EF57656" w14:textId="77777777" w:rsidR="009054C0" w:rsidRDefault="009054C0">
            <w:pPr>
              <w:widowControl w:val="0"/>
              <w:rPr>
                <w:sz w:val="22"/>
                <w:szCs w:val="22"/>
              </w:rPr>
            </w:pPr>
          </w:p>
        </w:tc>
        <w:tc>
          <w:tcPr>
            <w:tcW w:w="1890" w:type="dxa"/>
            <w:tcMar>
              <w:top w:w="100" w:type="dxa"/>
              <w:left w:w="100" w:type="dxa"/>
              <w:bottom w:w="100" w:type="dxa"/>
              <w:right w:w="100" w:type="dxa"/>
            </w:tcMar>
          </w:tcPr>
          <w:p w14:paraId="69C998C2" w14:textId="77777777" w:rsidR="009054C0" w:rsidRDefault="006F3A8E">
            <w:pPr>
              <w:widowControl w:val="0"/>
              <w:jc w:val="center"/>
              <w:rPr>
                <w:sz w:val="22"/>
                <w:szCs w:val="22"/>
              </w:rPr>
            </w:pPr>
            <w:r>
              <w:rPr>
                <w:sz w:val="22"/>
                <w:szCs w:val="22"/>
              </w:rPr>
              <w:t>★★</w:t>
            </w:r>
          </w:p>
        </w:tc>
      </w:tr>
      <w:tr w:rsidR="009054C0" w14:paraId="5A1EEE30" w14:textId="77777777" w:rsidTr="00DA2300">
        <w:trPr>
          <w:trHeight w:val="522"/>
        </w:trPr>
        <w:tc>
          <w:tcPr>
            <w:tcW w:w="2160" w:type="dxa"/>
            <w:tcMar>
              <w:top w:w="100" w:type="dxa"/>
              <w:left w:w="100" w:type="dxa"/>
              <w:bottom w:w="100" w:type="dxa"/>
              <w:right w:w="100" w:type="dxa"/>
            </w:tcMar>
          </w:tcPr>
          <w:p w14:paraId="7FC1FEBF" w14:textId="77777777" w:rsidR="009054C0" w:rsidRDefault="00717449">
            <w:pPr>
              <w:widowControl w:val="0"/>
              <w:rPr>
                <w:sz w:val="22"/>
                <w:szCs w:val="22"/>
              </w:rPr>
            </w:pPr>
            <w:hyperlink r:id="rId95">
              <w:r w:rsidR="006F3A8E">
                <w:rPr>
                  <w:color w:val="1155CC"/>
                  <w:sz w:val="22"/>
                  <w:szCs w:val="22"/>
                  <w:highlight w:val="white"/>
                  <w:u w:val="single"/>
                </w:rPr>
                <w:t>Work-Life-Balance Directive</w:t>
              </w:r>
            </w:hyperlink>
          </w:p>
          <w:p w14:paraId="5056F4E0" w14:textId="77777777" w:rsidR="009054C0" w:rsidRDefault="006F3A8E">
            <w:pPr>
              <w:widowControl w:val="0"/>
              <w:rPr>
                <w:sz w:val="22"/>
                <w:szCs w:val="22"/>
              </w:rPr>
            </w:pPr>
            <w:r>
              <w:rPr>
                <w:sz w:val="22"/>
                <w:szCs w:val="22"/>
              </w:rPr>
              <w:t>(</w:t>
            </w:r>
            <w:proofErr w:type="gramStart"/>
            <w:r>
              <w:rPr>
                <w:sz w:val="22"/>
                <w:szCs w:val="22"/>
              </w:rPr>
              <w:t>proposed</w:t>
            </w:r>
            <w:proofErr w:type="gramEnd"/>
            <w:r>
              <w:rPr>
                <w:sz w:val="22"/>
                <w:szCs w:val="22"/>
              </w:rPr>
              <w:t xml:space="preserve"> 2019, to be implemented by August 2, 2022)</w:t>
            </w:r>
          </w:p>
        </w:tc>
        <w:tc>
          <w:tcPr>
            <w:tcW w:w="1305" w:type="dxa"/>
            <w:tcMar>
              <w:top w:w="100" w:type="dxa"/>
              <w:left w:w="100" w:type="dxa"/>
              <w:bottom w:w="100" w:type="dxa"/>
              <w:right w:w="100" w:type="dxa"/>
            </w:tcMar>
          </w:tcPr>
          <w:p w14:paraId="32FD0939" w14:textId="77777777" w:rsidR="009054C0" w:rsidRDefault="006F3A8E">
            <w:pPr>
              <w:widowControl w:val="0"/>
              <w:rPr>
                <w:sz w:val="22"/>
                <w:szCs w:val="22"/>
              </w:rPr>
            </w:pPr>
            <w:r>
              <w:rPr>
                <w:sz w:val="22"/>
                <w:szCs w:val="22"/>
              </w:rPr>
              <w:t>European Union</w:t>
            </w:r>
          </w:p>
        </w:tc>
        <w:tc>
          <w:tcPr>
            <w:tcW w:w="3420" w:type="dxa"/>
            <w:tcMar>
              <w:top w:w="100" w:type="dxa"/>
              <w:left w:w="100" w:type="dxa"/>
              <w:bottom w:w="100" w:type="dxa"/>
              <w:right w:w="100" w:type="dxa"/>
            </w:tcMar>
          </w:tcPr>
          <w:p w14:paraId="30578D00" w14:textId="77777777" w:rsidR="009054C0" w:rsidRDefault="006F3A8E">
            <w:pPr>
              <w:widowControl w:val="0"/>
              <w:rPr>
                <w:sz w:val="22"/>
                <w:szCs w:val="22"/>
              </w:rPr>
            </w:pPr>
            <w:r>
              <w:rPr>
                <w:sz w:val="22"/>
                <w:szCs w:val="22"/>
              </w:rPr>
              <w:t xml:space="preserve">To be implemented by all Member states; introduced paternity leave, flexible leave, carers’ leave to support relatives, extension of flexible working arrangement requests to all working parents of children up to 8-years-old. </w:t>
            </w:r>
          </w:p>
          <w:p w14:paraId="29C902CE" w14:textId="77777777" w:rsidR="009054C0" w:rsidRDefault="006F3A8E">
            <w:pPr>
              <w:widowControl w:val="0"/>
              <w:rPr>
                <w:sz w:val="22"/>
                <w:szCs w:val="22"/>
              </w:rPr>
            </w:pPr>
            <w:r>
              <w:rPr>
                <w:sz w:val="22"/>
                <w:szCs w:val="22"/>
              </w:rPr>
              <w:t xml:space="preserve">Overall, encourages gender-balanced-use of family-related leaves, ensures protection against discrimination/dismissal of carers, and removes economic disincentives that inhibit women from joining the </w:t>
            </w:r>
            <w:proofErr w:type="spellStart"/>
            <w:r>
              <w:rPr>
                <w:sz w:val="22"/>
                <w:szCs w:val="22"/>
              </w:rPr>
              <w:t>labour</w:t>
            </w:r>
            <w:proofErr w:type="spellEnd"/>
            <w:r>
              <w:rPr>
                <w:sz w:val="22"/>
                <w:szCs w:val="22"/>
              </w:rPr>
              <w:t xml:space="preserve"> market.</w:t>
            </w:r>
          </w:p>
        </w:tc>
        <w:tc>
          <w:tcPr>
            <w:tcW w:w="5725" w:type="dxa"/>
            <w:tcMar>
              <w:top w:w="100" w:type="dxa"/>
              <w:left w:w="100" w:type="dxa"/>
              <w:bottom w:w="100" w:type="dxa"/>
              <w:right w:w="100" w:type="dxa"/>
            </w:tcMar>
          </w:tcPr>
          <w:p w14:paraId="1F7D6F75" w14:textId="77777777" w:rsidR="009054C0" w:rsidRDefault="006F3A8E">
            <w:pPr>
              <w:widowControl w:val="0"/>
              <w:rPr>
                <w:sz w:val="22"/>
                <w:szCs w:val="22"/>
              </w:rPr>
            </w:pPr>
            <w:r>
              <w:rPr>
                <w:sz w:val="22"/>
                <w:szCs w:val="22"/>
              </w:rPr>
              <w:t xml:space="preserve">Despite the deadline, many Member states have not yet completed the process. The </w:t>
            </w:r>
            <w:hyperlink r:id="rId96">
              <w:r>
                <w:rPr>
                  <w:color w:val="1155CC"/>
                  <w:sz w:val="22"/>
                  <w:szCs w:val="22"/>
                  <w:u w:val="single"/>
                </w:rPr>
                <w:t>current progress</w:t>
              </w:r>
            </w:hyperlink>
            <w:r>
              <w:rPr>
                <w:sz w:val="22"/>
                <w:szCs w:val="22"/>
              </w:rPr>
              <w:t xml:space="preserve"> of Member states can be tracked here.</w:t>
            </w:r>
          </w:p>
          <w:p w14:paraId="2A298E15" w14:textId="77777777" w:rsidR="009054C0" w:rsidRDefault="009054C0">
            <w:pPr>
              <w:widowControl w:val="0"/>
              <w:rPr>
                <w:sz w:val="22"/>
                <w:szCs w:val="22"/>
              </w:rPr>
            </w:pPr>
          </w:p>
          <w:p w14:paraId="173C8669" w14:textId="77777777" w:rsidR="009054C0" w:rsidRDefault="009054C0">
            <w:pPr>
              <w:widowControl w:val="0"/>
              <w:rPr>
                <w:sz w:val="22"/>
                <w:szCs w:val="22"/>
              </w:rPr>
            </w:pPr>
          </w:p>
          <w:p w14:paraId="07FD2844" w14:textId="77777777" w:rsidR="009054C0" w:rsidRDefault="009054C0">
            <w:pPr>
              <w:widowControl w:val="0"/>
              <w:rPr>
                <w:sz w:val="22"/>
                <w:szCs w:val="22"/>
              </w:rPr>
            </w:pPr>
          </w:p>
        </w:tc>
        <w:tc>
          <w:tcPr>
            <w:tcW w:w="1890" w:type="dxa"/>
            <w:tcMar>
              <w:top w:w="100" w:type="dxa"/>
              <w:left w:w="100" w:type="dxa"/>
              <w:bottom w:w="100" w:type="dxa"/>
              <w:right w:w="100" w:type="dxa"/>
            </w:tcMar>
          </w:tcPr>
          <w:p w14:paraId="15FE5C12" w14:textId="77777777" w:rsidR="009054C0" w:rsidRDefault="006F3A8E">
            <w:pPr>
              <w:widowControl w:val="0"/>
              <w:jc w:val="center"/>
              <w:rPr>
                <w:sz w:val="22"/>
                <w:szCs w:val="22"/>
              </w:rPr>
            </w:pPr>
            <w:r>
              <w:rPr>
                <w:sz w:val="22"/>
                <w:szCs w:val="22"/>
              </w:rPr>
              <w:t>★</w:t>
            </w:r>
          </w:p>
        </w:tc>
      </w:tr>
      <w:tr w:rsidR="009054C0" w14:paraId="2CF05623" w14:textId="77777777" w:rsidTr="00DA2300">
        <w:trPr>
          <w:trHeight w:val="522"/>
        </w:trPr>
        <w:tc>
          <w:tcPr>
            <w:tcW w:w="2160" w:type="dxa"/>
            <w:tcMar>
              <w:top w:w="100" w:type="dxa"/>
              <w:left w:w="100" w:type="dxa"/>
              <w:bottom w:w="100" w:type="dxa"/>
              <w:right w:w="100" w:type="dxa"/>
            </w:tcMar>
          </w:tcPr>
          <w:p w14:paraId="6FA4847F" w14:textId="77777777" w:rsidR="009054C0" w:rsidRDefault="00717449">
            <w:pPr>
              <w:widowControl w:val="0"/>
              <w:shd w:val="clear" w:color="auto" w:fill="FFFFFF"/>
              <w:spacing w:line="276" w:lineRule="auto"/>
              <w:rPr>
                <w:sz w:val="22"/>
                <w:szCs w:val="22"/>
                <w:highlight w:val="white"/>
              </w:rPr>
            </w:pPr>
            <w:hyperlink r:id="rId97">
              <w:r w:rsidR="006F3A8E">
                <w:rPr>
                  <w:color w:val="1155CC"/>
                  <w:sz w:val="22"/>
                  <w:szCs w:val="22"/>
                  <w:highlight w:val="white"/>
                  <w:u w:val="single"/>
                </w:rPr>
                <w:t>Beijing Platform for Action</w:t>
              </w:r>
            </w:hyperlink>
            <w:r w:rsidR="006F3A8E">
              <w:rPr>
                <w:sz w:val="22"/>
                <w:szCs w:val="22"/>
                <w:highlight w:val="white"/>
              </w:rPr>
              <w:t xml:space="preserve"> </w:t>
            </w:r>
          </w:p>
          <w:p w14:paraId="157BECE8" w14:textId="77777777" w:rsidR="009054C0" w:rsidRDefault="006F3A8E">
            <w:pPr>
              <w:widowControl w:val="0"/>
              <w:shd w:val="clear" w:color="auto" w:fill="FFFFFF"/>
              <w:spacing w:line="276" w:lineRule="auto"/>
              <w:rPr>
                <w:sz w:val="22"/>
                <w:szCs w:val="22"/>
                <w:highlight w:val="white"/>
              </w:rPr>
            </w:pPr>
            <w:r>
              <w:rPr>
                <w:sz w:val="22"/>
                <w:szCs w:val="22"/>
                <w:highlight w:val="white"/>
              </w:rPr>
              <w:t>(1995)</w:t>
            </w:r>
          </w:p>
        </w:tc>
        <w:tc>
          <w:tcPr>
            <w:tcW w:w="1305" w:type="dxa"/>
            <w:tcMar>
              <w:top w:w="100" w:type="dxa"/>
              <w:left w:w="100" w:type="dxa"/>
              <w:bottom w:w="100" w:type="dxa"/>
              <w:right w:w="100" w:type="dxa"/>
            </w:tcMar>
          </w:tcPr>
          <w:p w14:paraId="4E3C41FE" w14:textId="77777777" w:rsidR="009054C0" w:rsidRDefault="006F3A8E">
            <w:pPr>
              <w:widowControl w:val="0"/>
              <w:rPr>
                <w:sz w:val="22"/>
                <w:szCs w:val="22"/>
              </w:rPr>
            </w:pPr>
            <w:r>
              <w:rPr>
                <w:sz w:val="22"/>
                <w:szCs w:val="22"/>
              </w:rPr>
              <w:t>United Nations</w:t>
            </w:r>
          </w:p>
        </w:tc>
        <w:tc>
          <w:tcPr>
            <w:tcW w:w="3420" w:type="dxa"/>
            <w:tcMar>
              <w:top w:w="100" w:type="dxa"/>
              <w:left w:w="100" w:type="dxa"/>
              <w:bottom w:w="100" w:type="dxa"/>
              <w:right w:w="100" w:type="dxa"/>
            </w:tcMar>
          </w:tcPr>
          <w:p w14:paraId="78BC9293" w14:textId="77777777" w:rsidR="009054C0" w:rsidRDefault="006F3A8E">
            <w:pPr>
              <w:widowControl w:val="0"/>
              <w:rPr>
                <w:sz w:val="22"/>
                <w:szCs w:val="22"/>
              </w:rPr>
            </w:pPr>
            <w:r>
              <w:rPr>
                <w:sz w:val="22"/>
                <w:szCs w:val="22"/>
              </w:rPr>
              <w:t>Aimed at removing all barriers for women to freely participate in an equitable society; declares gender equality to be a human right; emphasizes the importance of women’s ability to make social, economic, cultural, and political decisions; calls for the commitment of each government.</w:t>
            </w:r>
          </w:p>
        </w:tc>
        <w:tc>
          <w:tcPr>
            <w:tcW w:w="5725" w:type="dxa"/>
            <w:tcMar>
              <w:top w:w="100" w:type="dxa"/>
              <w:left w:w="100" w:type="dxa"/>
              <w:bottom w:w="100" w:type="dxa"/>
              <w:right w:w="100" w:type="dxa"/>
            </w:tcMar>
          </w:tcPr>
          <w:p w14:paraId="7550016B" w14:textId="77777777" w:rsidR="009054C0" w:rsidRDefault="006F3A8E">
            <w:pPr>
              <w:widowControl w:val="0"/>
              <w:rPr>
                <w:sz w:val="22"/>
                <w:szCs w:val="22"/>
              </w:rPr>
            </w:pPr>
            <w:r>
              <w:rPr>
                <w:sz w:val="22"/>
                <w:szCs w:val="22"/>
              </w:rPr>
              <w:t>Although a large portion of governments have created policies that explicitly deal with gender inequality, the factors dedicated to gender mainstreaming are often left behind during implementation. There are also frequent issues with male resistance. The impacts of policies created in line with the Beijing Platform for Action are limited and remain largely unknown (</w:t>
            </w:r>
            <w:hyperlink r:id="rId98">
              <w:r>
                <w:rPr>
                  <w:color w:val="1155CC"/>
                  <w:sz w:val="22"/>
                  <w:szCs w:val="22"/>
                  <w:u w:val="single"/>
                </w:rPr>
                <w:t>Moser &amp; Moser 2010</w:t>
              </w:r>
            </w:hyperlink>
            <w:r>
              <w:rPr>
                <w:sz w:val="22"/>
                <w:szCs w:val="22"/>
              </w:rPr>
              <w:t>).</w:t>
            </w:r>
          </w:p>
        </w:tc>
        <w:tc>
          <w:tcPr>
            <w:tcW w:w="1890" w:type="dxa"/>
            <w:tcMar>
              <w:top w:w="100" w:type="dxa"/>
              <w:left w:w="100" w:type="dxa"/>
              <w:bottom w:w="100" w:type="dxa"/>
              <w:right w:w="100" w:type="dxa"/>
            </w:tcMar>
          </w:tcPr>
          <w:p w14:paraId="195354FE" w14:textId="77777777" w:rsidR="009054C0" w:rsidRDefault="006F3A8E">
            <w:pPr>
              <w:widowControl w:val="0"/>
              <w:jc w:val="center"/>
              <w:rPr>
                <w:sz w:val="22"/>
                <w:szCs w:val="22"/>
              </w:rPr>
            </w:pPr>
            <w:r>
              <w:rPr>
                <w:sz w:val="22"/>
                <w:szCs w:val="22"/>
              </w:rPr>
              <w:t>★</w:t>
            </w:r>
          </w:p>
        </w:tc>
      </w:tr>
      <w:tr w:rsidR="009054C0" w14:paraId="3AC30FAC" w14:textId="77777777" w:rsidTr="00DA2300">
        <w:trPr>
          <w:trHeight w:val="522"/>
        </w:trPr>
        <w:tc>
          <w:tcPr>
            <w:tcW w:w="2160" w:type="dxa"/>
            <w:tcMar>
              <w:top w:w="100" w:type="dxa"/>
              <w:left w:w="100" w:type="dxa"/>
              <w:bottom w:w="100" w:type="dxa"/>
              <w:right w:w="100" w:type="dxa"/>
            </w:tcMar>
          </w:tcPr>
          <w:p w14:paraId="1B254998" w14:textId="77777777" w:rsidR="009054C0" w:rsidRDefault="00717449">
            <w:pPr>
              <w:widowControl w:val="0"/>
              <w:rPr>
                <w:sz w:val="22"/>
                <w:szCs w:val="22"/>
                <w:highlight w:val="white"/>
              </w:rPr>
            </w:pPr>
            <w:hyperlink r:id="rId99">
              <w:r w:rsidR="006F3A8E">
                <w:rPr>
                  <w:color w:val="1155CC"/>
                  <w:sz w:val="22"/>
                  <w:szCs w:val="22"/>
                  <w:highlight w:val="white"/>
                  <w:u w:val="single"/>
                </w:rPr>
                <w:t xml:space="preserve">The Fifth Basic Plan for Gender Equality </w:t>
              </w:r>
            </w:hyperlink>
          </w:p>
          <w:p w14:paraId="00850DA3" w14:textId="77777777" w:rsidR="009054C0" w:rsidRDefault="006F3A8E">
            <w:pPr>
              <w:widowControl w:val="0"/>
              <w:rPr>
                <w:sz w:val="22"/>
                <w:szCs w:val="22"/>
                <w:highlight w:val="white"/>
              </w:rPr>
            </w:pPr>
            <w:r>
              <w:rPr>
                <w:sz w:val="22"/>
                <w:szCs w:val="22"/>
                <w:highlight w:val="white"/>
              </w:rPr>
              <w:t>(</w:t>
            </w:r>
            <w:proofErr w:type="gramStart"/>
            <w:r>
              <w:rPr>
                <w:sz w:val="22"/>
                <w:szCs w:val="22"/>
                <w:highlight w:val="white"/>
              </w:rPr>
              <w:t>proposed</w:t>
            </w:r>
            <w:proofErr w:type="gramEnd"/>
            <w:r>
              <w:rPr>
                <w:sz w:val="22"/>
                <w:szCs w:val="22"/>
                <w:highlight w:val="white"/>
              </w:rPr>
              <w:t xml:space="preserve"> on Dec 25, 2020) </w:t>
            </w:r>
          </w:p>
        </w:tc>
        <w:tc>
          <w:tcPr>
            <w:tcW w:w="1305" w:type="dxa"/>
            <w:tcMar>
              <w:top w:w="100" w:type="dxa"/>
              <w:left w:w="100" w:type="dxa"/>
              <w:bottom w:w="100" w:type="dxa"/>
              <w:right w:w="100" w:type="dxa"/>
            </w:tcMar>
          </w:tcPr>
          <w:p w14:paraId="0B68C949" w14:textId="77777777" w:rsidR="009054C0" w:rsidRDefault="006F3A8E">
            <w:pPr>
              <w:widowControl w:val="0"/>
              <w:rPr>
                <w:sz w:val="22"/>
                <w:szCs w:val="22"/>
              </w:rPr>
            </w:pPr>
            <w:r>
              <w:rPr>
                <w:sz w:val="22"/>
                <w:szCs w:val="22"/>
              </w:rPr>
              <w:t>Japan’s Council for Gender Equality</w:t>
            </w:r>
          </w:p>
        </w:tc>
        <w:tc>
          <w:tcPr>
            <w:tcW w:w="3420" w:type="dxa"/>
            <w:tcMar>
              <w:top w:w="100" w:type="dxa"/>
              <w:left w:w="100" w:type="dxa"/>
              <w:bottom w:w="100" w:type="dxa"/>
              <w:right w:w="100" w:type="dxa"/>
            </w:tcMar>
          </w:tcPr>
          <w:p w14:paraId="4DFEA94C" w14:textId="77777777" w:rsidR="009054C0" w:rsidRDefault="006F3A8E">
            <w:pPr>
              <w:widowControl w:val="0"/>
              <w:rPr>
                <w:sz w:val="22"/>
                <w:szCs w:val="22"/>
              </w:rPr>
            </w:pPr>
            <w:r>
              <w:rPr>
                <w:sz w:val="22"/>
                <w:szCs w:val="22"/>
              </w:rPr>
              <w:t xml:space="preserve">Was meant to be implemented in </w:t>
            </w:r>
            <w:proofErr w:type="gramStart"/>
            <w:r>
              <w:rPr>
                <w:sz w:val="22"/>
                <w:szCs w:val="22"/>
              </w:rPr>
              <w:t>2020, but</w:t>
            </w:r>
            <w:proofErr w:type="gramEnd"/>
            <w:r>
              <w:rPr>
                <w:sz w:val="22"/>
                <w:szCs w:val="22"/>
              </w:rPr>
              <w:t xml:space="preserve"> was delayed due to failing to achieve it’s 30% increase in women leadership goal in 2020. Targets gender equality in leadership positions, society systems (ex: surnames), work-life balance to encourage male focus on family and increasing women working hours, women in STEM, and violence against women.</w:t>
            </w:r>
          </w:p>
        </w:tc>
        <w:tc>
          <w:tcPr>
            <w:tcW w:w="5725" w:type="dxa"/>
            <w:tcMar>
              <w:top w:w="100" w:type="dxa"/>
              <w:left w:w="100" w:type="dxa"/>
              <w:bottom w:w="100" w:type="dxa"/>
              <w:right w:w="100" w:type="dxa"/>
            </w:tcMar>
          </w:tcPr>
          <w:p w14:paraId="3DB19B4B" w14:textId="77777777" w:rsidR="009054C0" w:rsidRDefault="00717449">
            <w:pPr>
              <w:widowControl w:val="0"/>
              <w:rPr>
                <w:sz w:val="22"/>
                <w:szCs w:val="22"/>
              </w:rPr>
            </w:pPr>
            <w:hyperlink r:id="rId100">
              <w:r w:rsidR="006F3A8E">
                <w:rPr>
                  <w:color w:val="1155CC"/>
                  <w:sz w:val="22"/>
                  <w:szCs w:val="22"/>
                  <w:u w:val="single"/>
                </w:rPr>
                <w:t>Recent News:</w:t>
              </w:r>
            </w:hyperlink>
            <w:r w:rsidR="006F3A8E">
              <w:rPr>
                <w:sz w:val="22"/>
                <w:szCs w:val="22"/>
              </w:rPr>
              <w:t xml:space="preserve"> Announcement was made on International Women’s Day 2022 (​​March 8, 2022) on prioritizing specific policies in the new plan. Statement on implementing four </w:t>
            </w:r>
            <w:proofErr w:type="spellStart"/>
            <w:r w:rsidR="006F3A8E">
              <w:rPr>
                <w:sz w:val="22"/>
                <w:szCs w:val="22"/>
              </w:rPr>
              <w:t>pillers</w:t>
            </w:r>
            <w:proofErr w:type="spellEnd"/>
            <w:r w:rsidR="006F3A8E">
              <w:rPr>
                <w:sz w:val="22"/>
                <w:szCs w:val="22"/>
              </w:rPr>
              <w:t xml:space="preserve">. The first </w:t>
            </w:r>
            <w:proofErr w:type="spellStart"/>
            <w:r w:rsidR="006F3A8E">
              <w:rPr>
                <w:sz w:val="22"/>
                <w:szCs w:val="22"/>
              </w:rPr>
              <w:t>piller</w:t>
            </w:r>
            <w:proofErr w:type="spellEnd"/>
            <w:r w:rsidR="006F3A8E">
              <w:rPr>
                <w:sz w:val="22"/>
                <w:szCs w:val="22"/>
              </w:rPr>
              <w:t xml:space="preserve"> combats the gender wage gap. The second </w:t>
            </w:r>
            <w:proofErr w:type="spellStart"/>
            <w:r w:rsidR="006F3A8E">
              <w:rPr>
                <w:sz w:val="22"/>
                <w:szCs w:val="22"/>
              </w:rPr>
              <w:t>piller</w:t>
            </w:r>
            <w:proofErr w:type="spellEnd"/>
            <w:r w:rsidR="006F3A8E">
              <w:rPr>
                <w:sz w:val="22"/>
                <w:szCs w:val="22"/>
              </w:rPr>
              <w:t xml:space="preserve"> argues for violence against women and provides </w:t>
            </w:r>
            <w:proofErr w:type="spellStart"/>
            <w:r w:rsidR="006F3A8E">
              <w:rPr>
                <w:sz w:val="22"/>
                <w:szCs w:val="22"/>
              </w:rPr>
              <w:t>femtech</w:t>
            </w:r>
            <w:proofErr w:type="spellEnd"/>
            <w:r w:rsidR="006F3A8E">
              <w:rPr>
                <w:sz w:val="22"/>
                <w:szCs w:val="22"/>
              </w:rPr>
              <w:t xml:space="preserve"> to raise awareness on women health. The third </w:t>
            </w:r>
            <w:proofErr w:type="spellStart"/>
            <w:r w:rsidR="006F3A8E">
              <w:rPr>
                <w:sz w:val="22"/>
                <w:szCs w:val="22"/>
              </w:rPr>
              <w:t>piller</w:t>
            </w:r>
            <w:proofErr w:type="spellEnd"/>
            <w:r w:rsidR="006F3A8E">
              <w:rPr>
                <w:sz w:val="22"/>
                <w:szCs w:val="22"/>
              </w:rPr>
              <w:t xml:space="preserve"> hopes to expand male engagement in families and communities. Lastly, the fourth </w:t>
            </w:r>
            <w:proofErr w:type="spellStart"/>
            <w:r w:rsidR="006F3A8E">
              <w:rPr>
                <w:sz w:val="22"/>
                <w:szCs w:val="22"/>
              </w:rPr>
              <w:t>piller</w:t>
            </w:r>
            <w:proofErr w:type="spellEnd"/>
            <w:r w:rsidR="006F3A8E">
              <w:rPr>
                <w:sz w:val="22"/>
                <w:szCs w:val="22"/>
              </w:rPr>
              <w:t xml:space="preserve"> relates to increasing women employment.</w:t>
            </w:r>
          </w:p>
        </w:tc>
        <w:tc>
          <w:tcPr>
            <w:tcW w:w="1890" w:type="dxa"/>
            <w:tcMar>
              <w:top w:w="100" w:type="dxa"/>
              <w:left w:w="100" w:type="dxa"/>
              <w:bottom w:w="100" w:type="dxa"/>
              <w:right w:w="100" w:type="dxa"/>
            </w:tcMar>
          </w:tcPr>
          <w:p w14:paraId="619F63C3" w14:textId="77777777" w:rsidR="009054C0" w:rsidRDefault="006F3A8E">
            <w:pPr>
              <w:widowControl w:val="0"/>
              <w:jc w:val="center"/>
              <w:rPr>
                <w:sz w:val="22"/>
                <w:szCs w:val="22"/>
              </w:rPr>
            </w:pPr>
            <w:r>
              <w:rPr>
                <w:sz w:val="22"/>
                <w:szCs w:val="22"/>
              </w:rPr>
              <w:t>★</w:t>
            </w:r>
          </w:p>
        </w:tc>
      </w:tr>
      <w:tr w:rsidR="009054C0" w14:paraId="011C46E6" w14:textId="77777777" w:rsidTr="00DA2300">
        <w:trPr>
          <w:trHeight w:val="522"/>
        </w:trPr>
        <w:tc>
          <w:tcPr>
            <w:tcW w:w="2160" w:type="dxa"/>
            <w:tcMar>
              <w:top w:w="100" w:type="dxa"/>
              <w:left w:w="100" w:type="dxa"/>
              <w:bottom w:w="100" w:type="dxa"/>
              <w:right w:w="100" w:type="dxa"/>
            </w:tcMar>
          </w:tcPr>
          <w:p w14:paraId="683D1F89" w14:textId="77777777" w:rsidR="009054C0" w:rsidRDefault="00717449">
            <w:pPr>
              <w:widowControl w:val="0"/>
              <w:rPr>
                <w:sz w:val="22"/>
                <w:szCs w:val="22"/>
                <w:highlight w:val="white"/>
              </w:rPr>
            </w:pPr>
            <w:hyperlink r:id="rId101">
              <w:r w:rsidR="006F3A8E">
                <w:rPr>
                  <w:color w:val="1155CC"/>
                  <w:sz w:val="22"/>
                  <w:szCs w:val="22"/>
                  <w:highlight w:val="white"/>
                  <w:u w:val="single"/>
                </w:rPr>
                <w:t>Wage Transparency policies</w:t>
              </w:r>
            </w:hyperlink>
          </w:p>
          <w:p w14:paraId="0BEFB3BF" w14:textId="77777777" w:rsidR="009054C0" w:rsidRDefault="006F3A8E">
            <w:pPr>
              <w:widowControl w:val="0"/>
              <w:rPr>
                <w:sz w:val="22"/>
                <w:szCs w:val="22"/>
                <w:highlight w:val="white"/>
              </w:rPr>
            </w:pPr>
            <w:r>
              <w:rPr>
                <w:sz w:val="22"/>
                <w:szCs w:val="22"/>
                <w:highlight w:val="white"/>
              </w:rPr>
              <w:t>(2022 - present)</w:t>
            </w:r>
          </w:p>
        </w:tc>
        <w:tc>
          <w:tcPr>
            <w:tcW w:w="1305" w:type="dxa"/>
            <w:tcMar>
              <w:top w:w="100" w:type="dxa"/>
              <w:left w:w="100" w:type="dxa"/>
              <w:bottom w:w="100" w:type="dxa"/>
              <w:right w:w="100" w:type="dxa"/>
            </w:tcMar>
          </w:tcPr>
          <w:p w14:paraId="05CF6C39" w14:textId="77777777" w:rsidR="009054C0" w:rsidRDefault="006F3A8E">
            <w:pPr>
              <w:widowControl w:val="0"/>
              <w:rPr>
                <w:sz w:val="22"/>
                <w:szCs w:val="22"/>
              </w:rPr>
            </w:pPr>
            <w:r>
              <w:rPr>
                <w:sz w:val="22"/>
                <w:szCs w:val="22"/>
              </w:rPr>
              <w:t>Japan</w:t>
            </w:r>
          </w:p>
        </w:tc>
        <w:tc>
          <w:tcPr>
            <w:tcW w:w="3420" w:type="dxa"/>
            <w:tcMar>
              <w:top w:w="100" w:type="dxa"/>
              <w:left w:w="100" w:type="dxa"/>
              <w:bottom w:w="100" w:type="dxa"/>
              <w:right w:w="100" w:type="dxa"/>
            </w:tcMar>
          </w:tcPr>
          <w:p w14:paraId="01778547" w14:textId="77777777" w:rsidR="009054C0" w:rsidRDefault="006F3A8E">
            <w:pPr>
              <w:widowControl w:val="0"/>
              <w:rPr>
                <w:sz w:val="22"/>
                <w:szCs w:val="22"/>
                <w:highlight w:val="white"/>
              </w:rPr>
            </w:pPr>
            <w:r>
              <w:rPr>
                <w:sz w:val="22"/>
                <w:szCs w:val="22"/>
                <w:highlight w:val="white"/>
              </w:rPr>
              <w:t xml:space="preserve">Large companies with more than 300 employees </w:t>
            </w:r>
            <w:proofErr w:type="gramStart"/>
            <w:r>
              <w:rPr>
                <w:sz w:val="22"/>
                <w:szCs w:val="22"/>
                <w:highlight w:val="white"/>
              </w:rPr>
              <w:t>have to</w:t>
            </w:r>
            <w:proofErr w:type="gramEnd"/>
            <w:r>
              <w:rPr>
                <w:sz w:val="22"/>
                <w:szCs w:val="22"/>
                <w:highlight w:val="white"/>
              </w:rPr>
              <w:t xml:space="preserve"> disclose gender wage gaps.</w:t>
            </w:r>
          </w:p>
          <w:p w14:paraId="61409B9B" w14:textId="77777777" w:rsidR="009054C0" w:rsidRDefault="006F3A8E">
            <w:pPr>
              <w:widowControl w:val="0"/>
              <w:rPr>
                <w:sz w:val="22"/>
                <w:szCs w:val="22"/>
                <w:highlight w:val="white"/>
              </w:rPr>
            </w:pPr>
            <w:r>
              <w:rPr>
                <w:sz w:val="22"/>
                <w:szCs w:val="22"/>
                <w:highlight w:val="white"/>
              </w:rPr>
              <w:t>The new rules cover roughly 18,000 companies in Japan which aim to encourage businesses to reduce the gap and to promote female participation in the workforce.</w:t>
            </w:r>
          </w:p>
        </w:tc>
        <w:tc>
          <w:tcPr>
            <w:tcW w:w="5725" w:type="dxa"/>
            <w:tcMar>
              <w:top w:w="100" w:type="dxa"/>
              <w:left w:w="100" w:type="dxa"/>
              <w:bottom w:w="100" w:type="dxa"/>
              <w:right w:w="100" w:type="dxa"/>
            </w:tcMar>
          </w:tcPr>
          <w:p w14:paraId="069E6699" w14:textId="77777777" w:rsidR="009054C0" w:rsidRDefault="006F3A8E">
            <w:pPr>
              <w:widowControl w:val="0"/>
              <w:rPr>
                <w:sz w:val="22"/>
                <w:szCs w:val="22"/>
              </w:rPr>
            </w:pPr>
            <w:r>
              <w:rPr>
                <w:sz w:val="22"/>
                <w:szCs w:val="22"/>
              </w:rPr>
              <w:t>Just started</w:t>
            </w:r>
          </w:p>
        </w:tc>
        <w:tc>
          <w:tcPr>
            <w:tcW w:w="1890" w:type="dxa"/>
            <w:tcMar>
              <w:top w:w="100" w:type="dxa"/>
              <w:left w:w="100" w:type="dxa"/>
              <w:bottom w:w="100" w:type="dxa"/>
              <w:right w:w="100" w:type="dxa"/>
            </w:tcMar>
          </w:tcPr>
          <w:p w14:paraId="05D2BFFF" w14:textId="77777777" w:rsidR="009054C0" w:rsidRDefault="006F3A8E">
            <w:pPr>
              <w:widowControl w:val="0"/>
              <w:jc w:val="center"/>
              <w:rPr>
                <w:sz w:val="22"/>
                <w:szCs w:val="22"/>
              </w:rPr>
            </w:pPr>
            <w:r>
              <w:rPr>
                <w:sz w:val="22"/>
                <w:szCs w:val="22"/>
              </w:rPr>
              <w:t>★</w:t>
            </w:r>
          </w:p>
        </w:tc>
      </w:tr>
      <w:tr w:rsidR="009054C0" w14:paraId="78E27A5F" w14:textId="77777777" w:rsidTr="00DA2300">
        <w:trPr>
          <w:trHeight w:val="522"/>
        </w:trPr>
        <w:tc>
          <w:tcPr>
            <w:tcW w:w="2160" w:type="dxa"/>
            <w:tcMar>
              <w:top w:w="100" w:type="dxa"/>
              <w:left w:w="100" w:type="dxa"/>
              <w:bottom w:w="100" w:type="dxa"/>
              <w:right w:w="100" w:type="dxa"/>
            </w:tcMar>
          </w:tcPr>
          <w:p w14:paraId="34D88DF1" w14:textId="77777777" w:rsidR="009054C0" w:rsidRDefault="00717449">
            <w:pPr>
              <w:widowControl w:val="0"/>
              <w:shd w:val="clear" w:color="auto" w:fill="FFFFFF"/>
              <w:spacing w:line="276" w:lineRule="auto"/>
              <w:rPr>
                <w:sz w:val="22"/>
                <w:szCs w:val="22"/>
                <w:highlight w:val="white"/>
              </w:rPr>
            </w:pPr>
            <w:hyperlink r:id="rId102">
              <w:r w:rsidR="006F3A8E">
                <w:rPr>
                  <w:color w:val="1155CC"/>
                  <w:sz w:val="22"/>
                  <w:szCs w:val="22"/>
                  <w:highlight w:val="white"/>
                  <w:u w:val="single"/>
                </w:rPr>
                <w:t>Guideline for reducing gender wage gap</w:t>
              </w:r>
            </w:hyperlink>
            <w:r w:rsidR="006F3A8E">
              <w:rPr>
                <w:sz w:val="22"/>
                <w:szCs w:val="22"/>
                <w:highlight w:val="white"/>
              </w:rPr>
              <w:br/>
              <w:t>(2010)</w:t>
            </w:r>
          </w:p>
          <w:p w14:paraId="72CA2CB7" w14:textId="77777777" w:rsidR="009054C0" w:rsidRDefault="009054C0">
            <w:pPr>
              <w:widowControl w:val="0"/>
              <w:shd w:val="clear" w:color="auto" w:fill="FFFFFF"/>
              <w:spacing w:before="240" w:line="276" w:lineRule="auto"/>
              <w:rPr>
                <w:sz w:val="22"/>
                <w:szCs w:val="22"/>
                <w:highlight w:val="white"/>
              </w:rPr>
            </w:pPr>
          </w:p>
        </w:tc>
        <w:tc>
          <w:tcPr>
            <w:tcW w:w="1305" w:type="dxa"/>
            <w:tcMar>
              <w:top w:w="100" w:type="dxa"/>
              <w:left w:w="100" w:type="dxa"/>
              <w:bottom w:w="100" w:type="dxa"/>
              <w:right w:w="100" w:type="dxa"/>
            </w:tcMar>
          </w:tcPr>
          <w:p w14:paraId="51226FD6" w14:textId="77777777" w:rsidR="009054C0" w:rsidRDefault="006F3A8E">
            <w:pPr>
              <w:widowControl w:val="0"/>
              <w:rPr>
                <w:sz w:val="22"/>
                <w:szCs w:val="22"/>
              </w:rPr>
            </w:pPr>
            <w:r>
              <w:rPr>
                <w:sz w:val="22"/>
                <w:szCs w:val="22"/>
              </w:rPr>
              <w:t>Japan</w:t>
            </w:r>
          </w:p>
        </w:tc>
        <w:tc>
          <w:tcPr>
            <w:tcW w:w="3420" w:type="dxa"/>
            <w:tcMar>
              <w:top w:w="100" w:type="dxa"/>
              <w:left w:w="100" w:type="dxa"/>
              <w:bottom w:w="100" w:type="dxa"/>
              <w:right w:w="100" w:type="dxa"/>
            </w:tcMar>
          </w:tcPr>
          <w:p w14:paraId="31295702" w14:textId="77777777" w:rsidR="009054C0" w:rsidRDefault="006F3A8E">
            <w:pPr>
              <w:widowControl w:val="0"/>
              <w:rPr>
                <w:sz w:val="22"/>
                <w:szCs w:val="22"/>
              </w:rPr>
            </w:pPr>
            <w:r>
              <w:rPr>
                <w:sz w:val="22"/>
                <w:szCs w:val="22"/>
              </w:rPr>
              <w:t>The Japanese government created the guideline to reduce the gender wage gap in corporations.</w:t>
            </w:r>
          </w:p>
          <w:p w14:paraId="19FBC1A5" w14:textId="77777777" w:rsidR="009054C0" w:rsidRDefault="009054C0">
            <w:pPr>
              <w:widowControl w:val="0"/>
              <w:rPr>
                <w:sz w:val="22"/>
                <w:szCs w:val="22"/>
              </w:rPr>
            </w:pPr>
          </w:p>
          <w:p w14:paraId="6A408937" w14:textId="77777777" w:rsidR="009054C0" w:rsidRDefault="006F3A8E">
            <w:pPr>
              <w:widowControl w:val="0"/>
              <w:rPr>
                <w:sz w:val="22"/>
                <w:szCs w:val="22"/>
              </w:rPr>
            </w:pPr>
            <w:r>
              <w:rPr>
                <w:sz w:val="22"/>
                <w:szCs w:val="22"/>
              </w:rPr>
              <w:t>Main contents</w:t>
            </w:r>
          </w:p>
          <w:p w14:paraId="48DCFE9D" w14:textId="77777777" w:rsidR="009054C0" w:rsidRDefault="006F3A8E">
            <w:pPr>
              <w:widowControl w:val="0"/>
              <w:rPr>
                <w:sz w:val="22"/>
                <w:szCs w:val="22"/>
              </w:rPr>
            </w:pPr>
            <w:r>
              <w:rPr>
                <w:sz w:val="22"/>
                <w:szCs w:val="22"/>
              </w:rPr>
              <w:t>Overview of gender wage gap</w:t>
            </w:r>
          </w:p>
          <w:p w14:paraId="61209BA2" w14:textId="77777777" w:rsidR="009054C0" w:rsidRDefault="006F3A8E">
            <w:pPr>
              <w:widowControl w:val="0"/>
              <w:rPr>
                <w:sz w:val="22"/>
                <w:szCs w:val="22"/>
              </w:rPr>
            </w:pPr>
            <w:r>
              <w:rPr>
                <w:sz w:val="22"/>
                <w:szCs w:val="22"/>
              </w:rPr>
              <w:t xml:space="preserve">Measures to be taken to reduce gender wage </w:t>
            </w:r>
            <w:proofErr w:type="gramStart"/>
            <w:r>
              <w:rPr>
                <w:sz w:val="22"/>
                <w:szCs w:val="22"/>
              </w:rPr>
              <w:t>gap</w:t>
            </w:r>
            <w:proofErr w:type="gramEnd"/>
          </w:p>
          <w:p w14:paraId="3AFF8472" w14:textId="77777777" w:rsidR="009054C0" w:rsidRDefault="006F3A8E">
            <w:pPr>
              <w:widowControl w:val="0"/>
              <w:rPr>
                <w:sz w:val="22"/>
                <w:szCs w:val="22"/>
              </w:rPr>
            </w:pPr>
            <w:r>
              <w:rPr>
                <w:sz w:val="22"/>
                <w:szCs w:val="22"/>
              </w:rPr>
              <w:t>Support tools for visual control of gender wage gap</w:t>
            </w:r>
          </w:p>
        </w:tc>
        <w:tc>
          <w:tcPr>
            <w:tcW w:w="5725" w:type="dxa"/>
            <w:tcMar>
              <w:top w:w="100" w:type="dxa"/>
              <w:left w:w="100" w:type="dxa"/>
              <w:bottom w:w="100" w:type="dxa"/>
              <w:right w:w="100" w:type="dxa"/>
            </w:tcMar>
          </w:tcPr>
          <w:p w14:paraId="7788E725" w14:textId="77777777" w:rsidR="009054C0" w:rsidRDefault="006F3A8E">
            <w:pPr>
              <w:widowControl w:val="0"/>
              <w:rPr>
                <w:sz w:val="22"/>
                <w:szCs w:val="22"/>
              </w:rPr>
            </w:pPr>
            <w:r>
              <w:rPr>
                <w:sz w:val="22"/>
                <w:szCs w:val="22"/>
              </w:rPr>
              <w:t>The guideline created in 2010, but the impact in not assessed</w:t>
            </w:r>
          </w:p>
        </w:tc>
        <w:tc>
          <w:tcPr>
            <w:tcW w:w="1890" w:type="dxa"/>
            <w:tcMar>
              <w:top w:w="100" w:type="dxa"/>
              <w:left w:w="100" w:type="dxa"/>
              <w:bottom w:w="100" w:type="dxa"/>
              <w:right w:w="100" w:type="dxa"/>
            </w:tcMar>
          </w:tcPr>
          <w:p w14:paraId="5A187F8F" w14:textId="77777777" w:rsidR="009054C0" w:rsidRDefault="006F3A8E">
            <w:pPr>
              <w:widowControl w:val="0"/>
              <w:jc w:val="center"/>
              <w:rPr>
                <w:sz w:val="22"/>
                <w:szCs w:val="22"/>
              </w:rPr>
            </w:pPr>
            <w:r>
              <w:rPr>
                <w:sz w:val="22"/>
                <w:szCs w:val="22"/>
              </w:rPr>
              <w:t>★</w:t>
            </w:r>
          </w:p>
        </w:tc>
      </w:tr>
      <w:tr w:rsidR="009054C0" w14:paraId="0C8555CA" w14:textId="77777777" w:rsidTr="00DA2300">
        <w:trPr>
          <w:trHeight w:val="522"/>
        </w:trPr>
        <w:tc>
          <w:tcPr>
            <w:tcW w:w="2160" w:type="dxa"/>
            <w:tcMar>
              <w:top w:w="100" w:type="dxa"/>
              <w:left w:w="100" w:type="dxa"/>
              <w:bottom w:w="100" w:type="dxa"/>
              <w:right w:w="100" w:type="dxa"/>
            </w:tcMar>
          </w:tcPr>
          <w:p w14:paraId="237D7E28" w14:textId="77777777" w:rsidR="009054C0" w:rsidRDefault="00717449">
            <w:pPr>
              <w:widowControl w:val="0"/>
              <w:shd w:val="clear" w:color="auto" w:fill="FFFFFF"/>
              <w:spacing w:line="276" w:lineRule="auto"/>
              <w:rPr>
                <w:color w:val="333333"/>
                <w:sz w:val="22"/>
                <w:szCs w:val="22"/>
                <w:highlight w:val="white"/>
              </w:rPr>
            </w:pPr>
            <w:hyperlink r:id="rId103">
              <w:r w:rsidR="006F3A8E">
                <w:rPr>
                  <w:color w:val="1155CC"/>
                  <w:sz w:val="22"/>
                  <w:szCs w:val="22"/>
                  <w:highlight w:val="white"/>
                  <w:u w:val="single"/>
                </w:rPr>
                <w:t xml:space="preserve">Women’s </w:t>
              </w:r>
              <w:proofErr w:type="spellStart"/>
              <w:r w:rsidR="006F3A8E">
                <w:rPr>
                  <w:color w:val="1155CC"/>
                  <w:sz w:val="22"/>
                  <w:szCs w:val="22"/>
                  <w:highlight w:val="white"/>
                  <w:u w:val="single"/>
                </w:rPr>
                <w:t>Labour</w:t>
              </w:r>
              <w:proofErr w:type="spellEnd"/>
              <w:r w:rsidR="006F3A8E">
                <w:rPr>
                  <w:color w:val="1155CC"/>
                  <w:sz w:val="22"/>
                  <w:szCs w:val="22"/>
                  <w:highlight w:val="white"/>
                  <w:u w:val="single"/>
                </w:rPr>
                <w:t xml:space="preserve"> Force Participation</w:t>
              </w:r>
            </w:hyperlink>
          </w:p>
          <w:p w14:paraId="205D90E3" w14:textId="77777777" w:rsidR="009054C0" w:rsidRDefault="006F3A8E">
            <w:pPr>
              <w:widowControl w:val="0"/>
              <w:shd w:val="clear" w:color="auto" w:fill="FFFFFF"/>
              <w:spacing w:line="276" w:lineRule="auto"/>
              <w:rPr>
                <w:color w:val="333333"/>
                <w:sz w:val="22"/>
                <w:szCs w:val="22"/>
                <w:highlight w:val="white"/>
              </w:rPr>
            </w:pPr>
            <w:r>
              <w:rPr>
                <w:color w:val="333333"/>
                <w:sz w:val="22"/>
                <w:szCs w:val="22"/>
                <w:highlight w:val="white"/>
              </w:rPr>
              <w:t>(January 2022-Present)</w:t>
            </w:r>
          </w:p>
        </w:tc>
        <w:tc>
          <w:tcPr>
            <w:tcW w:w="1305" w:type="dxa"/>
            <w:tcMar>
              <w:top w:w="100" w:type="dxa"/>
              <w:left w:w="100" w:type="dxa"/>
              <w:bottom w:w="100" w:type="dxa"/>
              <w:right w:w="100" w:type="dxa"/>
            </w:tcMar>
          </w:tcPr>
          <w:p w14:paraId="408C0B76" w14:textId="77777777" w:rsidR="009054C0" w:rsidRDefault="006F3A8E">
            <w:pPr>
              <w:widowControl w:val="0"/>
              <w:rPr>
                <w:sz w:val="22"/>
                <w:szCs w:val="22"/>
              </w:rPr>
            </w:pPr>
            <w:r>
              <w:rPr>
                <w:sz w:val="22"/>
                <w:szCs w:val="22"/>
              </w:rPr>
              <w:t>The Netherlands</w:t>
            </w:r>
          </w:p>
        </w:tc>
        <w:tc>
          <w:tcPr>
            <w:tcW w:w="3420" w:type="dxa"/>
            <w:tcMar>
              <w:top w:w="100" w:type="dxa"/>
              <w:left w:w="100" w:type="dxa"/>
              <w:bottom w:w="100" w:type="dxa"/>
              <w:right w:w="100" w:type="dxa"/>
            </w:tcMar>
          </w:tcPr>
          <w:p w14:paraId="57A09425" w14:textId="77777777" w:rsidR="009054C0" w:rsidRDefault="006F3A8E">
            <w:pPr>
              <w:widowControl w:val="0"/>
              <w:rPr>
                <w:sz w:val="22"/>
                <w:szCs w:val="22"/>
              </w:rPr>
            </w:pPr>
            <w:r>
              <w:rPr>
                <w:sz w:val="22"/>
                <w:szCs w:val="22"/>
              </w:rPr>
              <w:t>Companies listed on Dutch stock exchange should meet a quota of at least ⅓ women and ⅓ men in supervisory boards. 5,000 largest required to set action plan to achieve this target, and show report yearly reports to Social and Economic Council</w:t>
            </w:r>
          </w:p>
        </w:tc>
        <w:tc>
          <w:tcPr>
            <w:tcW w:w="5725" w:type="dxa"/>
            <w:tcMar>
              <w:top w:w="100" w:type="dxa"/>
              <w:left w:w="100" w:type="dxa"/>
              <w:bottom w:w="100" w:type="dxa"/>
              <w:right w:w="100" w:type="dxa"/>
            </w:tcMar>
          </w:tcPr>
          <w:p w14:paraId="466026F5" w14:textId="77777777" w:rsidR="009054C0" w:rsidRDefault="006F3A8E">
            <w:pPr>
              <w:widowControl w:val="0"/>
              <w:rPr>
                <w:sz w:val="22"/>
                <w:szCs w:val="22"/>
              </w:rPr>
            </w:pPr>
            <w:r>
              <w:rPr>
                <w:sz w:val="22"/>
                <w:szCs w:val="22"/>
              </w:rPr>
              <w:t>Current Effectiveness Unknown</w:t>
            </w:r>
          </w:p>
          <w:p w14:paraId="71C364D6" w14:textId="77777777" w:rsidR="009054C0" w:rsidRDefault="009054C0">
            <w:pPr>
              <w:widowControl w:val="0"/>
              <w:rPr>
                <w:sz w:val="22"/>
                <w:szCs w:val="22"/>
              </w:rPr>
            </w:pPr>
          </w:p>
          <w:p w14:paraId="70004BCB" w14:textId="77777777" w:rsidR="009054C0" w:rsidRDefault="009054C0">
            <w:pPr>
              <w:widowControl w:val="0"/>
              <w:rPr>
                <w:sz w:val="22"/>
                <w:szCs w:val="22"/>
              </w:rPr>
            </w:pPr>
          </w:p>
          <w:p w14:paraId="566893DF" w14:textId="77777777" w:rsidR="009054C0" w:rsidRDefault="009054C0">
            <w:pPr>
              <w:widowControl w:val="0"/>
              <w:rPr>
                <w:sz w:val="22"/>
                <w:szCs w:val="22"/>
              </w:rPr>
            </w:pPr>
          </w:p>
          <w:p w14:paraId="04FDA5DC" w14:textId="77777777" w:rsidR="009054C0" w:rsidRDefault="006F3A8E">
            <w:pPr>
              <w:widowControl w:val="0"/>
              <w:rPr>
                <w:sz w:val="22"/>
                <w:szCs w:val="22"/>
              </w:rPr>
            </w:pPr>
            <w:r>
              <w:rPr>
                <w:sz w:val="22"/>
                <w:szCs w:val="22"/>
              </w:rPr>
              <w:t xml:space="preserve">*Note: California implemented a similar </w:t>
            </w:r>
            <w:hyperlink r:id="rId104">
              <w:r>
                <w:rPr>
                  <w:color w:val="1155CC"/>
                  <w:sz w:val="22"/>
                  <w:szCs w:val="22"/>
                  <w:u w:val="single"/>
                </w:rPr>
                <w:t>Women on Boards (SB 826)</w:t>
              </w:r>
            </w:hyperlink>
            <w:r>
              <w:rPr>
                <w:sz w:val="22"/>
                <w:szCs w:val="22"/>
              </w:rPr>
              <w:t xml:space="preserve"> law in 2018 to require all publicly held corporations principally located in California to have at least one female director on their boards by the end of 2019, but this was</w:t>
            </w:r>
            <w:hyperlink r:id="rId105">
              <w:r>
                <w:rPr>
                  <w:color w:val="1155CC"/>
                  <w:sz w:val="22"/>
                  <w:szCs w:val="22"/>
                  <w:u w:val="single"/>
                </w:rPr>
                <w:t xml:space="preserve"> passed as unconstitutional</w:t>
              </w:r>
            </w:hyperlink>
            <w:r>
              <w:rPr>
                <w:sz w:val="22"/>
                <w:szCs w:val="22"/>
              </w:rPr>
              <w:t xml:space="preserve"> by state court in 2022.</w:t>
            </w:r>
          </w:p>
        </w:tc>
        <w:tc>
          <w:tcPr>
            <w:tcW w:w="1890" w:type="dxa"/>
            <w:tcMar>
              <w:top w:w="100" w:type="dxa"/>
              <w:left w:w="100" w:type="dxa"/>
              <w:bottom w:w="100" w:type="dxa"/>
              <w:right w:w="100" w:type="dxa"/>
            </w:tcMar>
          </w:tcPr>
          <w:p w14:paraId="11D0A637" w14:textId="77777777" w:rsidR="009054C0" w:rsidRDefault="006F3A8E">
            <w:pPr>
              <w:widowControl w:val="0"/>
              <w:jc w:val="center"/>
              <w:rPr>
                <w:sz w:val="22"/>
                <w:szCs w:val="22"/>
              </w:rPr>
            </w:pPr>
            <w:r>
              <w:rPr>
                <w:sz w:val="22"/>
                <w:szCs w:val="22"/>
              </w:rPr>
              <w:t>★</w:t>
            </w:r>
          </w:p>
        </w:tc>
      </w:tr>
    </w:tbl>
    <w:p w14:paraId="7238D6A2" w14:textId="77777777" w:rsidR="009054C0" w:rsidRDefault="009054C0">
      <w:pPr>
        <w:spacing w:line="276" w:lineRule="auto"/>
        <w:rPr>
          <w:sz w:val="22"/>
          <w:szCs w:val="22"/>
        </w:rPr>
      </w:pPr>
    </w:p>
    <w:p w14:paraId="41B7E5BB" w14:textId="77777777" w:rsidR="00DA2300" w:rsidRDefault="006F3A8E">
      <w:pPr>
        <w:spacing w:line="276" w:lineRule="auto"/>
        <w:rPr>
          <w:sz w:val="22"/>
          <w:szCs w:val="22"/>
        </w:rPr>
        <w:sectPr w:rsidR="00DA2300" w:rsidSect="00DA2300">
          <w:pgSz w:w="15840" w:h="12240" w:orient="landscape"/>
          <w:pgMar w:top="720" w:right="720" w:bottom="720" w:left="720" w:header="720" w:footer="720" w:gutter="0"/>
          <w:cols w:space="720"/>
          <w:docGrid w:linePitch="326"/>
        </w:sectPr>
      </w:pPr>
      <w:r>
        <w:rPr>
          <w:sz w:val="22"/>
          <w:szCs w:val="22"/>
        </w:rPr>
        <w:t xml:space="preserve">Table of gender-based policy interventions. Includes the policy title, country it was implemented, synopsis of the intervention, impact and progress, as well as </w:t>
      </w:r>
      <w:proofErr w:type="gramStart"/>
      <w:r>
        <w:rPr>
          <w:sz w:val="22"/>
          <w:szCs w:val="22"/>
        </w:rPr>
        <w:t>an evidence</w:t>
      </w:r>
      <w:proofErr w:type="gramEnd"/>
      <w:r>
        <w:rPr>
          <w:sz w:val="22"/>
          <w:szCs w:val="22"/>
        </w:rPr>
        <w:t xml:space="preserve"> rating¹.</w:t>
      </w:r>
    </w:p>
    <w:p w14:paraId="4C61FB8B" w14:textId="604452CE" w:rsidR="00DA2300" w:rsidRDefault="00DA2300" w:rsidP="00DA2300">
      <w:pPr>
        <w:spacing w:line="276" w:lineRule="auto"/>
        <w:rPr>
          <w:b/>
          <w:sz w:val="22"/>
          <w:szCs w:val="22"/>
        </w:rPr>
      </w:pPr>
      <w:r>
        <w:rPr>
          <w:b/>
          <w:sz w:val="22"/>
          <w:szCs w:val="22"/>
        </w:rPr>
        <w:lastRenderedPageBreak/>
        <w:t>Table S5. COVID-19 Policy Interventions</w:t>
      </w:r>
    </w:p>
    <w:p w14:paraId="65FBE906" w14:textId="77777777" w:rsidR="00DA2300" w:rsidRDefault="00DA2300" w:rsidP="00DA2300">
      <w:pPr>
        <w:spacing w:line="276" w:lineRule="auto"/>
        <w:ind w:left="-630"/>
        <w:rPr>
          <w:sz w:val="22"/>
          <w:szCs w:val="22"/>
        </w:rPr>
      </w:pPr>
    </w:p>
    <w:p w14:paraId="0C2769BE" w14:textId="77777777" w:rsidR="00DA2300" w:rsidRDefault="00DA2300" w:rsidP="00DA2300">
      <w:pPr>
        <w:spacing w:line="276" w:lineRule="auto"/>
        <w:rPr>
          <w:b/>
        </w:rPr>
      </w:pPr>
    </w:p>
    <w:p w14:paraId="5F105A57" w14:textId="77777777" w:rsidR="00DA2300" w:rsidRDefault="00DA2300" w:rsidP="00DA2300">
      <w:pPr>
        <w:spacing w:line="276" w:lineRule="auto"/>
        <w:rPr>
          <w:b/>
        </w:rPr>
      </w:pPr>
      <w:r>
        <w:rPr>
          <w:sz w:val="22"/>
          <w:szCs w:val="22"/>
        </w:rPr>
        <w:t xml:space="preserve">Table of COVID-19 policy interventions. Includes the policy title, country it was implemented, synopsis of the intervention, impact and progress, as well as </w:t>
      </w:r>
      <w:proofErr w:type="gramStart"/>
      <w:r>
        <w:rPr>
          <w:sz w:val="22"/>
          <w:szCs w:val="22"/>
        </w:rPr>
        <w:t>an evidence</w:t>
      </w:r>
      <w:proofErr w:type="gramEnd"/>
      <w:r>
        <w:rPr>
          <w:sz w:val="22"/>
          <w:szCs w:val="22"/>
        </w:rPr>
        <w:t xml:space="preserve"> rating¹.</w:t>
      </w:r>
    </w:p>
    <w:p w14:paraId="73061BB6" w14:textId="382986A6" w:rsidR="00DA2300" w:rsidRDefault="00DA2300" w:rsidP="00DA2300">
      <w:pPr>
        <w:spacing w:line="276" w:lineRule="auto"/>
        <w:rPr>
          <w:b/>
        </w:rPr>
      </w:pPr>
    </w:p>
    <w:tbl>
      <w:tblPr>
        <w:tblStyle w:val="a4"/>
        <w:tblpPr w:leftFromText="180" w:rightFromText="180" w:vertAnchor="text" w:horzAnchor="margin" w:tblpXSpec="center" w:tblpY="504"/>
        <w:tblW w:w="13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305"/>
        <w:gridCol w:w="5135"/>
        <w:gridCol w:w="3600"/>
        <w:gridCol w:w="1440"/>
      </w:tblGrid>
      <w:tr w:rsidR="00DA2300" w14:paraId="5A6CF564" w14:textId="77777777" w:rsidTr="00193EF2">
        <w:trPr>
          <w:trHeight w:val="522"/>
        </w:trPr>
        <w:tc>
          <w:tcPr>
            <w:tcW w:w="2100" w:type="dxa"/>
            <w:shd w:val="clear" w:color="auto" w:fill="auto"/>
            <w:tcMar>
              <w:top w:w="100" w:type="dxa"/>
              <w:left w:w="100" w:type="dxa"/>
              <w:bottom w:w="100" w:type="dxa"/>
              <w:right w:w="100" w:type="dxa"/>
            </w:tcMar>
          </w:tcPr>
          <w:p w14:paraId="488CCBE9" w14:textId="77777777" w:rsidR="00DA2300" w:rsidRDefault="00DA2300" w:rsidP="00193EF2">
            <w:pPr>
              <w:widowControl w:val="0"/>
              <w:rPr>
                <w:b/>
                <w:sz w:val="22"/>
                <w:szCs w:val="22"/>
              </w:rPr>
            </w:pPr>
            <w:r>
              <w:rPr>
                <w:b/>
                <w:sz w:val="22"/>
                <w:szCs w:val="22"/>
              </w:rPr>
              <w:t>Policy (Year)</w:t>
            </w:r>
          </w:p>
        </w:tc>
        <w:tc>
          <w:tcPr>
            <w:tcW w:w="1305" w:type="dxa"/>
            <w:shd w:val="clear" w:color="auto" w:fill="auto"/>
            <w:tcMar>
              <w:top w:w="100" w:type="dxa"/>
              <w:left w:w="100" w:type="dxa"/>
              <w:bottom w:w="100" w:type="dxa"/>
              <w:right w:w="100" w:type="dxa"/>
            </w:tcMar>
          </w:tcPr>
          <w:p w14:paraId="5C778BB9" w14:textId="77777777" w:rsidR="00DA2300" w:rsidRDefault="00DA2300" w:rsidP="00193EF2">
            <w:pPr>
              <w:widowControl w:val="0"/>
              <w:rPr>
                <w:b/>
                <w:sz w:val="22"/>
                <w:szCs w:val="22"/>
              </w:rPr>
            </w:pPr>
            <w:r>
              <w:rPr>
                <w:b/>
                <w:sz w:val="22"/>
                <w:szCs w:val="22"/>
              </w:rPr>
              <w:t>Country</w:t>
            </w:r>
          </w:p>
        </w:tc>
        <w:tc>
          <w:tcPr>
            <w:tcW w:w="5135" w:type="dxa"/>
            <w:shd w:val="clear" w:color="auto" w:fill="auto"/>
            <w:tcMar>
              <w:top w:w="100" w:type="dxa"/>
              <w:left w:w="100" w:type="dxa"/>
              <w:bottom w:w="100" w:type="dxa"/>
              <w:right w:w="100" w:type="dxa"/>
            </w:tcMar>
          </w:tcPr>
          <w:p w14:paraId="71382F7D" w14:textId="77777777" w:rsidR="00DA2300" w:rsidRDefault="00DA2300" w:rsidP="00193EF2">
            <w:pPr>
              <w:widowControl w:val="0"/>
              <w:rPr>
                <w:b/>
                <w:sz w:val="22"/>
                <w:szCs w:val="22"/>
              </w:rPr>
            </w:pPr>
            <w:r>
              <w:rPr>
                <w:b/>
                <w:sz w:val="22"/>
                <w:szCs w:val="22"/>
              </w:rPr>
              <w:t>Policy Synopsis</w:t>
            </w:r>
          </w:p>
        </w:tc>
        <w:tc>
          <w:tcPr>
            <w:tcW w:w="3600" w:type="dxa"/>
            <w:shd w:val="clear" w:color="auto" w:fill="auto"/>
            <w:tcMar>
              <w:top w:w="100" w:type="dxa"/>
              <w:left w:w="100" w:type="dxa"/>
              <w:bottom w:w="100" w:type="dxa"/>
              <w:right w:w="100" w:type="dxa"/>
            </w:tcMar>
          </w:tcPr>
          <w:p w14:paraId="1382D536" w14:textId="77777777" w:rsidR="00DA2300" w:rsidRDefault="00DA2300" w:rsidP="00193EF2">
            <w:pPr>
              <w:widowControl w:val="0"/>
              <w:rPr>
                <w:b/>
                <w:sz w:val="22"/>
                <w:szCs w:val="22"/>
              </w:rPr>
            </w:pPr>
            <w:r>
              <w:rPr>
                <w:b/>
                <w:sz w:val="22"/>
                <w:szCs w:val="22"/>
              </w:rPr>
              <w:t>Impact/Progress</w:t>
            </w:r>
          </w:p>
        </w:tc>
        <w:tc>
          <w:tcPr>
            <w:tcW w:w="1440" w:type="dxa"/>
            <w:shd w:val="clear" w:color="auto" w:fill="auto"/>
            <w:tcMar>
              <w:top w:w="100" w:type="dxa"/>
              <w:left w:w="100" w:type="dxa"/>
              <w:bottom w:w="100" w:type="dxa"/>
              <w:right w:w="100" w:type="dxa"/>
            </w:tcMar>
          </w:tcPr>
          <w:p w14:paraId="1D3A2367" w14:textId="77777777" w:rsidR="00DA2300" w:rsidRDefault="00DA2300" w:rsidP="00193EF2">
            <w:pPr>
              <w:widowControl w:val="0"/>
              <w:jc w:val="center"/>
              <w:rPr>
                <w:b/>
                <w:sz w:val="22"/>
                <w:szCs w:val="22"/>
                <w:vertAlign w:val="superscript"/>
              </w:rPr>
            </w:pPr>
            <w:r>
              <w:rPr>
                <w:b/>
                <w:sz w:val="22"/>
                <w:szCs w:val="22"/>
              </w:rPr>
              <w:t>Evidence Rating (1-5)</w:t>
            </w:r>
            <w:r>
              <w:rPr>
                <w:b/>
                <w:sz w:val="22"/>
                <w:szCs w:val="22"/>
                <w:vertAlign w:val="superscript"/>
              </w:rPr>
              <w:t>1</w:t>
            </w:r>
          </w:p>
        </w:tc>
      </w:tr>
      <w:tr w:rsidR="00DA2300" w14:paraId="1F0893EE" w14:textId="77777777" w:rsidTr="00193EF2">
        <w:trPr>
          <w:trHeight w:val="522"/>
        </w:trPr>
        <w:tc>
          <w:tcPr>
            <w:tcW w:w="2100" w:type="dxa"/>
            <w:tcMar>
              <w:top w:w="100" w:type="dxa"/>
              <w:left w:w="100" w:type="dxa"/>
              <w:bottom w:w="100" w:type="dxa"/>
              <w:right w:w="100" w:type="dxa"/>
            </w:tcMar>
          </w:tcPr>
          <w:p w14:paraId="210EE867" w14:textId="77777777" w:rsidR="00DA2300" w:rsidRDefault="00DA2300" w:rsidP="00193EF2">
            <w:pPr>
              <w:widowControl w:val="0"/>
              <w:rPr>
                <w:sz w:val="22"/>
                <w:szCs w:val="22"/>
              </w:rPr>
            </w:pPr>
            <w:r>
              <w:rPr>
                <w:sz w:val="22"/>
                <w:szCs w:val="22"/>
              </w:rPr>
              <w:t xml:space="preserve">"Measures to deal with the COVID-19 pandemic and other urgent </w:t>
            </w:r>
            <w:proofErr w:type="gramStart"/>
            <w:r>
              <w:rPr>
                <w:sz w:val="22"/>
                <w:szCs w:val="22"/>
              </w:rPr>
              <w:t>provisions</w:t>
            </w:r>
            <w:proofErr w:type="gramEnd"/>
            <w:r>
              <w:rPr>
                <w:sz w:val="22"/>
                <w:szCs w:val="22"/>
              </w:rPr>
              <w:t>"</w:t>
            </w:r>
          </w:p>
          <w:p w14:paraId="53F6808C" w14:textId="77777777" w:rsidR="00DA2300" w:rsidRDefault="00DA2300" w:rsidP="00193EF2">
            <w:pPr>
              <w:widowControl w:val="0"/>
              <w:rPr>
                <w:sz w:val="22"/>
                <w:szCs w:val="22"/>
              </w:rPr>
            </w:pPr>
          </w:p>
        </w:tc>
        <w:tc>
          <w:tcPr>
            <w:tcW w:w="1305" w:type="dxa"/>
            <w:tcMar>
              <w:top w:w="100" w:type="dxa"/>
              <w:left w:w="100" w:type="dxa"/>
              <w:bottom w:w="100" w:type="dxa"/>
              <w:right w:w="100" w:type="dxa"/>
            </w:tcMar>
          </w:tcPr>
          <w:p w14:paraId="32AE5F7D" w14:textId="77777777" w:rsidR="00DA2300" w:rsidRDefault="00DA2300" w:rsidP="00193EF2">
            <w:pPr>
              <w:widowControl w:val="0"/>
              <w:rPr>
                <w:sz w:val="22"/>
                <w:szCs w:val="22"/>
              </w:rPr>
            </w:pPr>
            <w:r>
              <w:rPr>
                <w:sz w:val="22"/>
                <w:szCs w:val="22"/>
              </w:rPr>
              <w:t>Greece</w:t>
            </w:r>
          </w:p>
        </w:tc>
        <w:tc>
          <w:tcPr>
            <w:tcW w:w="5135" w:type="dxa"/>
            <w:tcMar>
              <w:top w:w="100" w:type="dxa"/>
              <w:left w:w="100" w:type="dxa"/>
              <w:bottom w:w="100" w:type="dxa"/>
              <w:right w:w="100" w:type="dxa"/>
            </w:tcMar>
          </w:tcPr>
          <w:p w14:paraId="66921613" w14:textId="77777777" w:rsidR="00DA2300" w:rsidRDefault="00717449" w:rsidP="00193EF2">
            <w:pPr>
              <w:widowControl w:val="0"/>
              <w:rPr>
                <w:sz w:val="22"/>
                <w:szCs w:val="22"/>
              </w:rPr>
            </w:pPr>
            <w:hyperlink r:id="rId106">
              <w:r w:rsidR="00DA2300">
                <w:rPr>
                  <w:color w:val="1155CC"/>
                  <w:sz w:val="22"/>
                  <w:szCs w:val="22"/>
                  <w:u w:val="single"/>
                </w:rPr>
                <w:t>Rent Reduction</w:t>
              </w:r>
            </w:hyperlink>
            <w:r w:rsidR="00DA2300">
              <w:rPr>
                <w:sz w:val="22"/>
                <w:szCs w:val="22"/>
              </w:rPr>
              <w:t xml:space="preserve"> </w:t>
            </w:r>
          </w:p>
          <w:p w14:paraId="0D65C4AD" w14:textId="77777777" w:rsidR="00DA2300" w:rsidRDefault="00DA2300" w:rsidP="00193EF2">
            <w:pPr>
              <w:widowControl w:val="0"/>
              <w:rPr>
                <w:sz w:val="22"/>
                <w:szCs w:val="22"/>
              </w:rPr>
            </w:pPr>
            <w:r>
              <w:rPr>
                <w:sz w:val="22"/>
                <w:szCs w:val="22"/>
              </w:rPr>
              <w:t xml:space="preserve">implementing the 40% rent reduction to deal with the coronavirus crisis is the submission of a responsible </w:t>
            </w:r>
            <w:proofErr w:type="gramStart"/>
            <w:r>
              <w:rPr>
                <w:sz w:val="22"/>
                <w:szCs w:val="22"/>
              </w:rPr>
              <w:t>declaration</w:t>
            </w:r>
            <w:proofErr w:type="gramEnd"/>
          </w:p>
          <w:p w14:paraId="1436D84C" w14:textId="77777777" w:rsidR="00DA2300" w:rsidRDefault="00DA2300" w:rsidP="00193EF2">
            <w:pPr>
              <w:widowControl w:val="0"/>
              <w:rPr>
                <w:sz w:val="22"/>
                <w:szCs w:val="22"/>
              </w:rPr>
            </w:pPr>
          </w:p>
          <w:p w14:paraId="17149EF9" w14:textId="77777777" w:rsidR="00DA2300" w:rsidRDefault="00DA2300" w:rsidP="00193EF2">
            <w:pPr>
              <w:widowControl w:val="0"/>
              <w:rPr>
                <w:sz w:val="22"/>
                <w:szCs w:val="22"/>
              </w:rPr>
            </w:pPr>
            <w:r>
              <w:rPr>
                <w:sz w:val="22"/>
                <w:szCs w:val="22"/>
              </w:rPr>
              <w:t>Traders and professionals</w:t>
            </w:r>
          </w:p>
          <w:p w14:paraId="0D237540" w14:textId="77777777" w:rsidR="00DA2300" w:rsidRDefault="00DA2300" w:rsidP="00193EF2">
            <w:pPr>
              <w:widowControl w:val="0"/>
              <w:rPr>
                <w:sz w:val="22"/>
                <w:szCs w:val="22"/>
              </w:rPr>
            </w:pPr>
            <w:r>
              <w:rPr>
                <w:sz w:val="22"/>
                <w:szCs w:val="22"/>
              </w:rPr>
              <w:t>: 40% reduction in the rent of their professional premises</w:t>
            </w:r>
          </w:p>
          <w:p w14:paraId="2455D3F8" w14:textId="77777777" w:rsidR="00DA2300" w:rsidRDefault="00DA2300" w:rsidP="00193EF2">
            <w:pPr>
              <w:widowControl w:val="0"/>
              <w:rPr>
                <w:sz w:val="22"/>
                <w:szCs w:val="22"/>
              </w:rPr>
            </w:pPr>
          </w:p>
          <w:p w14:paraId="0BB1A205" w14:textId="77777777" w:rsidR="00DA2300" w:rsidRDefault="00DA2300" w:rsidP="00193EF2">
            <w:pPr>
              <w:widowControl w:val="0"/>
              <w:rPr>
                <w:sz w:val="22"/>
                <w:szCs w:val="22"/>
              </w:rPr>
            </w:pPr>
            <w:r>
              <w:rPr>
                <w:sz w:val="22"/>
                <w:szCs w:val="22"/>
              </w:rPr>
              <w:t xml:space="preserve">Employees, dismissed or </w:t>
            </w:r>
            <w:proofErr w:type="gramStart"/>
            <w:r>
              <w:rPr>
                <w:sz w:val="22"/>
                <w:szCs w:val="22"/>
              </w:rPr>
              <w:t>suspended</w:t>
            </w:r>
            <w:proofErr w:type="gramEnd"/>
          </w:p>
          <w:p w14:paraId="38A153E3" w14:textId="77777777" w:rsidR="00DA2300" w:rsidRDefault="00DA2300" w:rsidP="00193EF2">
            <w:pPr>
              <w:widowControl w:val="0"/>
              <w:rPr>
                <w:sz w:val="22"/>
                <w:szCs w:val="22"/>
              </w:rPr>
            </w:pPr>
            <w:r>
              <w:rPr>
                <w:sz w:val="22"/>
                <w:szCs w:val="22"/>
              </w:rPr>
              <w:t xml:space="preserve">: 40% reduction in the rent of their main residence, and the student residence of their child studying in another </w:t>
            </w:r>
            <w:proofErr w:type="gramStart"/>
            <w:r>
              <w:rPr>
                <w:sz w:val="22"/>
                <w:szCs w:val="22"/>
              </w:rPr>
              <w:t>city</w:t>
            </w:r>
            <w:proofErr w:type="gramEnd"/>
          </w:p>
          <w:p w14:paraId="201BFC8A" w14:textId="77777777" w:rsidR="00DA2300" w:rsidRDefault="00DA2300" w:rsidP="00193EF2">
            <w:pPr>
              <w:widowControl w:val="0"/>
              <w:rPr>
                <w:sz w:val="22"/>
                <w:szCs w:val="22"/>
              </w:rPr>
            </w:pPr>
          </w:p>
          <w:p w14:paraId="6CB40223" w14:textId="77777777" w:rsidR="00DA2300" w:rsidRDefault="00DA2300" w:rsidP="00193EF2">
            <w:pPr>
              <w:widowControl w:val="0"/>
              <w:rPr>
                <w:sz w:val="22"/>
                <w:szCs w:val="22"/>
              </w:rPr>
            </w:pPr>
            <w:r>
              <w:rPr>
                <w:sz w:val="22"/>
                <w:szCs w:val="22"/>
              </w:rPr>
              <w:t>Co-tenants or spouses</w:t>
            </w:r>
          </w:p>
          <w:p w14:paraId="50C2E7E8" w14:textId="77777777" w:rsidR="00DA2300" w:rsidRDefault="00DA2300" w:rsidP="00193EF2">
            <w:pPr>
              <w:widowControl w:val="0"/>
              <w:rPr>
                <w:sz w:val="22"/>
                <w:szCs w:val="22"/>
              </w:rPr>
            </w:pPr>
            <w:r>
              <w:rPr>
                <w:sz w:val="22"/>
                <w:szCs w:val="22"/>
              </w:rPr>
              <w:t>: The right to a reduction only exists when the suspended employee is himself declared as a tenant of the residence in the lease and in the TAXISNET Leasing application.</w:t>
            </w:r>
          </w:p>
          <w:p w14:paraId="60479E66" w14:textId="77777777" w:rsidR="00DA2300" w:rsidRDefault="00DA2300" w:rsidP="00193EF2">
            <w:pPr>
              <w:widowControl w:val="0"/>
              <w:rPr>
                <w:sz w:val="22"/>
                <w:szCs w:val="22"/>
              </w:rPr>
            </w:pPr>
            <w:r>
              <w:rPr>
                <w:sz w:val="22"/>
                <w:szCs w:val="22"/>
              </w:rPr>
              <w:t xml:space="preserve">In the case of co-tenants (usually spouses) where only one of them is entitled to the reduction, this will be calculated on his own share of the rent, </w:t>
            </w:r>
            <w:proofErr w:type="gramStart"/>
            <w:r>
              <w:rPr>
                <w:sz w:val="22"/>
                <w:szCs w:val="22"/>
              </w:rPr>
              <w:t>i.e.</w:t>
            </w:r>
            <w:proofErr w:type="gramEnd"/>
            <w:r>
              <w:rPr>
                <w:sz w:val="22"/>
                <w:szCs w:val="22"/>
              </w:rPr>
              <w:t xml:space="preserve"> the reduction will be 20%. When the suspended person is the spouse of the lessee, in which case they are </w:t>
            </w:r>
            <w:r>
              <w:rPr>
                <w:sz w:val="22"/>
                <w:szCs w:val="22"/>
              </w:rPr>
              <w:lastRenderedPageBreak/>
              <w:t>typically not entitled to any reduction, POMIDA proposes that a 20% rent reduction apply there as well.</w:t>
            </w:r>
          </w:p>
          <w:p w14:paraId="36949735" w14:textId="77777777" w:rsidR="00DA2300" w:rsidRDefault="00DA2300" w:rsidP="00193EF2">
            <w:pPr>
              <w:widowControl w:val="0"/>
              <w:rPr>
                <w:sz w:val="22"/>
                <w:szCs w:val="22"/>
              </w:rPr>
            </w:pPr>
          </w:p>
          <w:p w14:paraId="7D799229" w14:textId="77777777" w:rsidR="00DA2300" w:rsidRDefault="00717449" w:rsidP="00193EF2">
            <w:pPr>
              <w:rPr>
                <w:sz w:val="22"/>
                <w:szCs w:val="22"/>
              </w:rPr>
            </w:pPr>
            <w:hyperlink r:id="rId107">
              <w:r w:rsidR="00DA2300">
                <w:rPr>
                  <w:color w:val="1155CC"/>
                  <w:sz w:val="22"/>
                  <w:szCs w:val="22"/>
                  <w:u w:val="single"/>
                </w:rPr>
                <w:t xml:space="preserve">Lump Sump </w:t>
              </w:r>
            </w:hyperlink>
          </w:p>
          <w:p w14:paraId="3BE91ACB" w14:textId="77777777" w:rsidR="00DA2300" w:rsidRDefault="00DA2300" w:rsidP="00193EF2">
            <w:pPr>
              <w:rPr>
                <w:sz w:val="22"/>
                <w:szCs w:val="22"/>
              </w:rPr>
            </w:pPr>
            <w:r>
              <w:rPr>
                <w:sz w:val="22"/>
                <w:szCs w:val="22"/>
              </w:rPr>
              <w:t xml:space="preserve">Self-employed, freelancers, individual businesses, and private sector workers of firms affected by the lockdown (81% of private sector employees) were offered a lump sum payment of €800, which was consigned to a 45 days-day period (€533/month) </w:t>
            </w:r>
          </w:p>
        </w:tc>
        <w:tc>
          <w:tcPr>
            <w:tcW w:w="3600" w:type="dxa"/>
            <w:tcMar>
              <w:top w:w="100" w:type="dxa"/>
              <w:left w:w="100" w:type="dxa"/>
              <w:bottom w:w="100" w:type="dxa"/>
              <w:right w:w="100" w:type="dxa"/>
            </w:tcMar>
          </w:tcPr>
          <w:p w14:paraId="78B5A6CC" w14:textId="77777777" w:rsidR="00DA2300" w:rsidRDefault="00DA2300" w:rsidP="00193EF2">
            <w:pPr>
              <w:rPr>
                <w:sz w:val="22"/>
                <w:szCs w:val="22"/>
              </w:rPr>
            </w:pPr>
            <w:r>
              <w:rPr>
                <w:sz w:val="22"/>
                <w:szCs w:val="22"/>
              </w:rPr>
              <w:lastRenderedPageBreak/>
              <w:t>Although the long-term implications of these policies remain to be assessed, during the Covid-19 crisis, they seemed to offer a protective net to the affected populations.</w:t>
            </w:r>
          </w:p>
          <w:p w14:paraId="6BCCE421" w14:textId="77777777" w:rsidR="00DA2300" w:rsidRDefault="00DA2300" w:rsidP="00193EF2">
            <w:pPr>
              <w:widowControl w:val="0"/>
              <w:rPr>
                <w:sz w:val="22"/>
                <w:szCs w:val="22"/>
              </w:rPr>
            </w:pPr>
          </w:p>
        </w:tc>
        <w:tc>
          <w:tcPr>
            <w:tcW w:w="1440" w:type="dxa"/>
            <w:tcMar>
              <w:top w:w="100" w:type="dxa"/>
              <w:left w:w="100" w:type="dxa"/>
              <w:bottom w:w="100" w:type="dxa"/>
              <w:right w:w="100" w:type="dxa"/>
            </w:tcMar>
          </w:tcPr>
          <w:p w14:paraId="2E58C84A" w14:textId="77777777" w:rsidR="00DA2300" w:rsidRDefault="00DA2300" w:rsidP="00193EF2">
            <w:pPr>
              <w:widowControl w:val="0"/>
              <w:jc w:val="center"/>
              <w:rPr>
                <w:sz w:val="22"/>
                <w:szCs w:val="22"/>
              </w:rPr>
            </w:pPr>
            <w:r>
              <w:rPr>
                <w:sz w:val="22"/>
                <w:szCs w:val="22"/>
              </w:rPr>
              <w:t>★★</w:t>
            </w:r>
          </w:p>
        </w:tc>
      </w:tr>
      <w:tr w:rsidR="00DA2300" w14:paraId="1B6675B7" w14:textId="77777777" w:rsidTr="00193EF2">
        <w:trPr>
          <w:trHeight w:val="522"/>
        </w:trPr>
        <w:tc>
          <w:tcPr>
            <w:tcW w:w="2100" w:type="dxa"/>
            <w:tcMar>
              <w:top w:w="100" w:type="dxa"/>
              <w:left w:w="100" w:type="dxa"/>
              <w:bottom w:w="100" w:type="dxa"/>
              <w:right w:w="100" w:type="dxa"/>
            </w:tcMar>
          </w:tcPr>
          <w:p w14:paraId="271FCB28" w14:textId="77777777" w:rsidR="00DA2300" w:rsidRDefault="00DA2300" w:rsidP="00193EF2">
            <w:pPr>
              <w:widowControl w:val="0"/>
              <w:rPr>
                <w:sz w:val="22"/>
                <w:szCs w:val="22"/>
              </w:rPr>
            </w:pPr>
            <w:proofErr w:type="spellStart"/>
            <w:r>
              <w:rPr>
                <w:sz w:val="22"/>
                <w:szCs w:val="22"/>
              </w:rPr>
              <w:t>Synergasia</w:t>
            </w:r>
            <w:proofErr w:type="spellEnd"/>
          </w:p>
        </w:tc>
        <w:tc>
          <w:tcPr>
            <w:tcW w:w="1305" w:type="dxa"/>
            <w:tcMar>
              <w:top w:w="100" w:type="dxa"/>
              <w:left w:w="100" w:type="dxa"/>
              <w:bottom w:w="100" w:type="dxa"/>
              <w:right w:w="100" w:type="dxa"/>
            </w:tcMar>
          </w:tcPr>
          <w:p w14:paraId="09C19221" w14:textId="77777777" w:rsidR="00DA2300" w:rsidRDefault="00DA2300" w:rsidP="00193EF2">
            <w:pPr>
              <w:widowControl w:val="0"/>
              <w:rPr>
                <w:sz w:val="22"/>
                <w:szCs w:val="22"/>
              </w:rPr>
            </w:pPr>
            <w:r>
              <w:rPr>
                <w:sz w:val="22"/>
                <w:szCs w:val="22"/>
              </w:rPr>
              <w:t>Greece</w:t>
            </w:r>
          </w:p>
        </w:tc>
        <w:tc>
          <w:tcPr>
            <w:tcW w:w="5135" w:type="dxa"/>
            <w:tcMar>
              <w:top w:w="100" w:type="dxa"/>
              <w:left w:w="100" w:type="dxa"/>
              <w:bottom w:w="100" w:type="dxa"/>
              <w:right w:w="100" w:type="dxa"/>
            </w:tcMar>
          </w:tcPr>
          <w:p w14:paraId="620FB23C" w14:textId="77777777" w:rsidR="00DA2300" w:rsidRDefault="00DA2300" w:rsidP="00193EF2">
            <w:pPr>
              <w:rPr>
                <w:b/>
                <w:sz w:val="22"/>
                <w:szCs w:val="22"/>
              </w:rPr>
            </w:pPr>
            <w:r>
              <w:rPr>
                <w:sz w:val="22"/>
                <w:szCs w:val="22"/>
              </w:rPr>
              <w:t>In June 2020, Greek authorities introduced the job retention scheme “SYN-ERGASIA” (€2.7 m), allowing employers with significant turnover losses to halve the working time of their employees and pay up to 50% of their wages. Employers also received a 60% subsidy for their payment of social security contributions.</w:t>
            </w:r>
          </w:p>
          <w:p w14:paraId="0F35951F" w14:textId="77777777" w:rsidR="00DA2300" w:rsidRDefault="00DA2300" w:rsidP="00193EF2">
            <w:pPr>
              <w:widowControl w:val="0"/>
              <w:rPr>
                <w:b/>
                <w:sz w:val="22"/>
                <w:szCs w:val="22"/>
              </w:rPr>
            </w:pPr>
          </w:p>
        </w:tc>
        <w:tc>
          <w:tcPr>
            <w:tcW w:w="3600" w:type="dxa"/>
            <w:tcMar>
              <w:top w:w="100" w:type="dxa"/>
              <w:left w:w="100" w:type="dxa"/>
              <w:bottom w:w="100" w:type="dxa"/>
              <w:right w:w="100" w:type="dxa"/>
            </w:tcMar>
          </w:tcPr>
          <w:p w14:paraId="15A67A44" w14:textId="77777777" w:rsidR="00DA2300" w:rsidRDefault="00DA2300" w:rsidP="00193EF2">
            <w:pPr>
              <w:rPr>
                <w:sz w:val="22"/>
                <w:szCs w:val="22"/>
              </w:rPr>
            </w:pPr>
            <w:r>
              <w:rPr>
                <w:sz w:val="22"/>
                <w:szCs w:val="22"/>
              </w:rPr>
              <w:t>The program, which originally targeted 700,000 workers, covered only 52,000 workers by June 2020. The remarkably low enrollment rate is attributed to employers' reluctance to commit to the restriction of dismissals for the period covered, opting to maintain flexibility in firing workers or replacing existing full-time contracts with part-time or casual labor (</w:t>
            </w:r>
            <w:hyperlink r:id="rId108" w:anchor="spol12681-note-0012_34">
              <w:r>
                <w:rPr>
                  <w:color w:val="1155CC"/>
                  <w:sz w:val="22"/>
                  <w:szCs w:val="22"/>
                  <w:u w:val="single"/>
                </w:rPr>
                <w:t>Moreira et al., 2020</w:t>
              </w:r>
            </w:hyperlink>
            <w:r>
              <w:rPr>
                <w:sz w:val="22"/>
                <w:szCs w:val="22"/>
              </w:rPr>
              <w:t xml:space="preserve">). </w:t>
            </w:r>
          </w:p>
          <w:p w14:paraId="2EAD386E" w14:textId="77777777" w:rsidR="00DA2300" w:rsidRDefault="00DA2300" w:rsidP="00193EF2">
            <w:pPr>
              <w:widowControl w:val="0"/>
              <w:rPr>
                <w:sz w:val="22"/>
                <w:szCs w:val="22"/>
              </w:rPr>
            </w:pPr>
          </w:p>
        </w:tc>
        <w:tc>
          <w:tcPr>
            <w:tcW w:w="1440" w:type="dxa"/>
            <w:tcMar>
              <w:top w:w="100" w:type="dxa"/>
              <w:left w:w="100" w:type="dxa"/>
              <w:bottom w:w="100" w:type="dxa"/>
              <w:right w:w="100" w:type="dxa"/>
            </w:tcMar>
          </w:tcPr>
          <w:p w14:paraId="465A9081" w14:textId="77777777" w:rsidR="00DA2300" w:rsidRDefault="00DA2300" w:rsidP="00193EF2">
            <w:pPr>
              <w:widowControl w:val="0"/>
              <w:jc w:val="center"/>
              <w:rPr>
                <w:sz w:val="22"/>
                <w:szCs w:val="22"/>
              </w:rPr>
            </w:pPr>
            <w:r>
              <w:rPr>
                <w:sz w:val="22"/>
                <w:szCs w:val="22"/>
              </w:rPr>
              <w:t>★★</w:t>
            </w:r>
          </w:p>
        </w:tc>
      </w:tr>
    </w:tbl>
    <w:p w14:paraId="2C1F51AB" w14:textId="77777777" w:rsidR="00DA2300" w:rsidRDefault="00DA2300" w:rsidP="00DA2300">
      <w:pPr>
        <w:spacing w:line="276" w:lineRule="auto"/>
        <w:rPr>
          <w:b/>
        </w:rPr>
      </w:pPr>
    </w:p>
    <w:sectPr w:rsidR="00DA2300" w:rsidSect="00DA2300">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1DCB" w14:textId="77777777" w:rsidR="000458D3" w:rsidRDefault="000458D3">
      <w:r>
        <w:separator/>
      </w:r>
    </w:p>
  </w:endnote>
  <w:endnote w:type="continuationSeparator" w:id="0">
    <w:p w14:paraId="540DEF5B" w14:textId="77777777" w:rsidR="000458D3" w:rsidRDefault="0004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rd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7612" w14:textId="77777777" w:rsidR="009054C0" w:rsidRDefault="006F3A8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12CC6">
      <w:rPr>
        <w:noProof/>
        <w:color w:val="000000"/>
      </w:rPr>
      <w:t>2</w:t>
    </w:r>
    <w:r>
      <w:rPr>
        <w:color w:val="000000"/>
      </w:rPr>
      <w:fldChar w:fldCharType="end"/>
    </w:r>
  </w:p>
  <w:p w14:paraId="651C4AE8" w14:textId="77777777" w:rsidR="009054C0" w:rsidRDefault="009054C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D7E9" w14:textId="77777777" w:rsidR="009054C0" w:rsidRDefault="009054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4541" w14:textId="77777777" w:rsidR="000458D3" w:rsidRDefault="000458D3">
      <w:r>
        <w:separator/>
      </w:r>
    </w:p>
  </w:footnote>
  <w:footnote w:type="continuationSeparator" w:id="0">
    <w:p w14:paraId="37246C8E" w14:textId="77777777" w:rsidR="000458D3" w:rsidRDefault="000458D3">
      <w:r>
        <w:continuationSeparator/>
      </w:r>
    </w:p>
  </w:footnote>
  <w:footnote w:id="1">
    <w:p w14:paraId="32621F24" w14:textId="05D880CA" w:rsidR="00DA2300" w:rsidRDefault="00DA2300" w:rsidP="00DA2300">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rFonts w:ascii="Malgun Gothic" w:eastAsia="Malgun Gothic" w:hAnsi="Malgun Gothic" w:cs="Malgun Gothic"/>
          <w:color w:val="333333"/>
          <w:sz w:val="21"/>
          <w:szCs w:val="21"/>
          <w:highlight w:val="white"/>
        </w:rPr>
        <w:t>임경석. (2012). 이명박 정부의 747 공약과 그 결과. 역사와 현실</w:t>
      </w:r>
      <w:r w:rsidR="003B2699">
        <w:rPr>
          <w:rFonts w:ascii="Malgun Gothic" w:hAnsi="Malgun Gothic" w:cs="Malgun Gothic" w:hint="eastAsia"/>
          <w:color w:val="333333"/>
          <w:sz w:val="21"/>
          <w:szCs w:val="21"/>
          <w:highlight w:val="white"/>
        </w:rPr>
        <w:t xml:space="preserve"> </w:t>
      </w:r>
      <w:r w:rsidR="003B2699">
        <w:rPr>
          <w:rFonts w:ascii="Malgun Gothic" w:hAnsi="Malgun Gothic" w:cs="Malgun Gothic"/>
          <w:color w:val="333333"/>
          <w:sz w:val="21"/>
          <w:szCs w:val="21"/>
          <w:highlight w:val="white"/>
        </w:rPr>
        <w:t>[</w:t>
      </w:r>
      <w:r w:rsidR="003B2699" w:rsidRPr="003B2699">
        <w:rPr>
          <w:rFonts w:ascii="Malgun Gothic" w:hAnsi="Malgun Gothic" w:cs="Malgun Gothic"/>
          <w:color w:val="333333"/>
          <w:sz w:val="21"/>
          <w:szCs w:val="21"/>
        </w:rPr>
        <w:t>Lim Kyung-seok. (2012). The 747 pledge of the Lee Myung-bak administration and its results. history and reality</w:t>
      </w:r>
      <w:r w:rsidR="003B2699">
        <w:rPr>
          <w:rFonts w:ascii="Malgun Gothic" w:hAnsi="Malgun Gothic" w:cs="Malgun Gothic"/>
          <w:color w:val="333333"/>
          <w:sz w:val="21"/>
          <w:szCs w:val="21"/>
        </w:rPr>
        <w:t>]</w:t>
      </w:r>
      <w:r>
        <w:rPr>
          <w:rFonts w:ascii="Malgun Gothic" w:eastAsia="Malgun Gothic" w:hAnsi="Malgun Gothic" w:cs="Malgun Gothic"/>
          <w:color w:val="333333"/>
          <w:sz w:val="21"/>
          <w:szCs w:val="21"/>
          <w:highlight w:val="white"/>
        </w:rPr>
        <w:t>, 86, 3-12.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04F4" w14:textId="77777777" w:rsidR="009054C0" w:rsidRDefault="009054C0">
    <w:pPr>
      <w:keepNext/>
      <w:spacing w:before="240" w:after="60"/>
      <w:jc w:val="center"/>
      <w:rPr>
        <w:b/>
      </w:rPr>
    </w:pPr>
  </w:p>
  <w:p w14:paraId="7467F3FB" w14:textId="77777777" w:rsidR="009054C0" w:rsidRDefault="006F3A8E">
    <w:pPr>
      <w:jc w:val="center"/>
      <w:rPr>
        <w:sz w:val="20"/>
        <w:szCs w:val="20"/>
      </w:rPr>
    </w:pPr>
    <w:r>
      <w:rPr>
        <w:noProof/>
        <w:sz w:val="36"/>
        <w:szCs w:val="36"/>
      </w:rPr>
      <w:drawing>
        <wp:inline distT="0" distB="0" distL="0" distR="0" wp14:anchorId="3A65C4A3" wp14:editId="6D357762">
          <wp:extent cx="1839250" cy="804672"/>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839250" cy="804672"/>
                  </a:xfrm>
                  <a:prstGeom prst="rect">
                    <a:avLst/>
                  </a:prstGeom>
                  <a:ln/>
                </pic:spPr>
              </pic:pic>
            </a:graphicData>
          </a:graphic>
        </wp:inline>
      </w:drawing>
    </w:r>
  </w:p>
  <w:p w14:paraId="5307E13D" w14:textId="77777777" w:rsidR="009054C0" w:rsidRDefault="009054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F5F6" w14:textId="77777777" w:rsidR="009054C0" w:rsidRDefault="009054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FAD9" w14:textId="77777777" w:rsidR="009054C0" w:rsidRDefault="009054C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6036" w14:textId="77777777" w:rsidR="009054C0" w:rsidRDefault="009054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828"/>
    <w:multiLevelType w:val="multilevel"/>
    <w:tmpl w:val="10ACE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692277"/>
    <w:multiLevelType w:val="multilevel"/>
    <w:tmpl w:val="BC64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8799483">
    <w:abstractNumId w:val="0"/>
  </w:num>
  <w:num w:numId="2" w16cid:durableId="1524594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4C0"/>
    <w:rsid w:val="000458D3"/>
    <w:rsid w:val="00161C97"/>
    <w:rsid w:val="002A0493"/>
    <w:rsid w:val="00303A62"/>
    <w:rsid w:val="003305F5"/>
    <w:rsid w:val="003B2699"/>
    <w:rsid w:val="005F6A71"/>
    <w:rsid w:val="00602514"/>
    <w:rsid w:val="006F3A8E"/>
    <w:rsid w:val="007074E4"/>
    <w:rsid w:val="00712CC6"/>
    <w:rsid w:val="00717449"/>
    <w:rsid w:val="007316E6"/>
    <w:rsid w:val="0075442A"/>
    <w:rsid w:val="00787401"/>
    <w:rsid w:val="008525A5"/>
    <w:rsid w:val="009053C0"/>
    <w:rsid w:val="009054C0"/>
    <w:rsid w:val="009B0811"/>
    <w:rsid w:val="009F4F85"/>
    <w:rsid w:val="00AC0948"/>
    <w:rsid w:val="00AE0940"/>
    <w:rsid w:val="00B03048"/>
    <w:rsid w:val="00B33191"/>
    <w:rsid w:val="00BD3253"/>
    <w:rsid w:val="00C836C1"/>
    <w:rsid w:val="00CB6947"/>
    <w:rsid w:val="00DA2300"/>
    <w:rsid w:val="00DD202D"/>
    <w:rsid w:val="00E63C7C"/>
    <w:rsid w:val="00EF4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5C4C"/>
  <w15:docId w15:val="{FBD06D5B-D9FA-496F-A1F1-F1A12D18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line="480" w:lineRule="auto"/>
      <w:outlineLvl w:val="2"/>
    </w:pPr>
    <w:rPr>
      <w:rFonts w:ascii="Times" w:eastAsia="Times" w:hAnsi="Times" w:cs="Times"/>
      <w:b/>
    </w:rPr>
  </w:style>
  <w:style w:type="paragraph" w:styleId="Heading4">
    <w:name w:val="heading 4"/>
    <w:basedOn w:val="Normal"/>
    <w:next w:val="Normal"/>
    <w:uiPriority w:val="9"/>
    <w:semiHidden/>
    <w:unhideWhenUsed/>
    <w:qFormat/>
    <w:pPr>
      <w:keepNext/>
      <w:spacing w:line="480" w:lineRule="auto"/>
      <w:outlineLvl w:val="3"/>
    </w:pPr>
    <w:rPr>
      <w:rFonts w:ascii="Times" w:eastAsia="Times" w:hAnsi="Times" w:cs="Times"/>
      <w:b/>
      <w:color w:val="0000FF"/>
      <w:sz w:val="44"/>
      <w:szCs w:val="44"/>
    </w:rPr>
  </w:style>
  <w:style w:type="paragraph" w:styleId="Heading5">
    <w:name w:val="heading 5"/>
    <w:basedOn w:val="Normal"/>
    <w:next w:val="Normal"/>
    <w:uiPriority w:val="9"/>
    <w:semiHidden/>
    <w:unhideWhenUsed/>
    <w:qFormat/>
    <w:pPr>
      <w:spacing w:before="240" w:after="6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A2300"/>
    <w:rPr>
      <w:color w:val="0000FF" w:themeColor="hyperlink"/>
      <w:u w:val="single"/>
    </w:rPr>
  </w:style>
  <w:style w:type="character" w:styleId="UnresolvedMention">
    <w:name w:val="Unresolved Mention"/>
    <w:basedOn w:val="DefaultParagraphFont"/>
    <w:uiPriority w:val="99"/>
    <w:semiHidden/>
    <w:unhideWhenUsed/>
    <w:rsid w:val="00DA2300"/>
    <w:rPr>
      <w:color w:val="605E5C"/>
      <w:shd w:val="clear" w:color="auto" w:fill="E1DFDD"/>
    </w:rPr>
  </w:style>
  <w:style w:type="paragraph" w:styleId="Revision">
    <w:name w:val="Revision"/>
    <w:hidden/>
    <w:uiPriority w:val="99"/>
    <w:semiHidden/>
    <w:rsid w:val="009F4F85"/>
  </w:style>
  <w:style w:type="character" w:styleId="CommentReference">
    <w:name w:val="annotation reference"/>
    <w:basedOn w:val="DefaultParagraphFont"/>
    <w:uiPriority w:val="99"/>
    <w:semiHidden/>
    <w:unhideWhenUsed/>
    <w:rsid w:val="009F4F85"/>
    <w:rPr>
      <w:sz w:val="16"/>
      <w:szCs w:val="16"/>
    </w:rPr>
  </w:style>
  <w:style w:type="paragraph" w:styleId="CommentText">
    <w:name w:val="annotation text"/>
    <w:basedOn w:val="Normal"/>
    <w:link w:val="CommentTextChar"/>
    <w:uiPriority w:val="99"/>
    <w:semiHidden/>
    <w:unhideWhenUsed/>
    <w:rsid w:val="009F4F85"/>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F4F85"/>
    <w:rPr>
      <w:rFonts w:asciiTheme="minorHAnsi" w:eastAsiaTheme="minorHAnsi" w:hAnsiTheme="minorHAnsi" w:cstheme="minorBidi"/>
      <w:sz w:val="20"/>
      <w:szCs w:val="20"/>
      <w:lang w:eastAsia="en-US"/>
    </w:rPr>
  </w:style>
  <w:style w:type="character" w:styleId="FollowedHyperlink">
    <w:name w:val="FollowedHyperlink"/>
    <w:basedOn w:val="DefaultParagraphFont"/>
    <w:uiPriority w:val="99"/>
    <w:semiHidden/>
    <w:unhideWhenUsed/>
    <w:rsid w:val="003B26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c.fpg.unc.edu/" TargetMode="External"/><Relationship Id="rId21" Type="http://schemas.openxmlformats.org/officeDocument/2006/relationships/hyperlink" Target="https://highscope.org/perry-preschool-project/" TargetMode="External"/><Relationship Id="rId42" Type="http://schemas.openxmlformats.org/officeDocument/2006/relationships/hyperlink" Target="https://thedocs.worldbank.org/en/doc/891801551242864853-0090022019/original/AfghanjapanbrochureENweb.pdf." TargetMode="External"/><Relationship Id="rId47" Type="http://schemas.openxmlformats.org/officeDocument/2006/relationships/hyperlink" Target="https://www.gov.uk/contact-jobcentre-plus" TargetMode="External"/><Relationship Id="rId63" Type="http://schemas.openxmlformats.org/officeDocument/2006/relationships/hyperlink" Target="https://familienportal.de/familienportal/meta/languages/family-benefits" TargetMode="External"/><Relationship Id="rId68" Type="http://schemas.openxmlformats.org/officeDocument/2006/relationships/hyperlink" Target="https://ftp.zew.de/pub/zew-docs/gutachten/ZEW_Endbericht_Zentrale_Leistungen2013.pdf" TargetMode="External"/><Relationship Id="rId84" Type="http://schemas.openxmlformats.org/officeDocument/2006/relationships/hyperlink" Target="https://academic.oup.com/sp/article/29/2/477/6032742" TargetMode="External"/><Relationship Id="rId89" Type="http://schemas.openxmlformats.org/officeDocument/2006/relationships/hyperlink" Target="https://www.gender.go.jp/policy/positive_act/pdf/jyosei.k2.pdf" TargetMode="External"/><Relationship Id="rId16" Type="http://schemas.openxmlformats.org/officeDocument/2006/relationships/hyperlink" Target="https://www.fns.usda.gov/snap/supplemental-nutrition-assistance-program" TargetMode="External"/><Relationship Id="rId107" Type="http://schemas.openxmlformats.org/officeDocument/2006/relationships/hyperlink" Target="https://onlinelibrary-wiley-com.ezproxy.cul.columbia.edu/doi/full/10.1111/spol.12681" TargetMode="External"/><Relationship Id="rId11" Type="http://schemas.openxmlformats.org/officeDocument/2006/relationships/footer" Target="footer2.xml"/><Relationship Id="rId32" Type="http://schemas.openxmlformats.org/officeDocument/2006/relationships/hyperlink" Target="https://www.westerncape.gov.za/service/sassa-child-support-grant" TargetMode="External"/><Relationship Id="rId37" Type="http://schemas.openxmlformats.org/officeDocument/2006/relationships/hyperlink" Target="https://www.wsg.gov.sg/SGUnited.html" TargetMode="External"/><Relationship Id="rId53" Type="http://schemas.openxmlformats.org/officeDocument/2006/relationships/hyperlink" Target="https://www.rotary.org/en/our-causes/growing-local-economies" TargetMode="External"/><Relationship Id="rId58" Type="http://schemas.openxmlformats.org/officeDocument/2006/relationships/hyperlink" Target="https://www.sciencedirect.com/science/article/pii/S0305750X18304480?via%3Dihub" TargetMode="External"/><Relationship Id="rId74" Type="http://schemas.openxmlformats.org/officeDocument/2006/relationships/hyperlink" Target="https://apwld.org/wp-content/uploads/2021/09/HBWU-FPAR-briefer.pdf" TargetMode="External"/><Relationship Id="rId79" Type="http://schemas.openxmlformats.org/officeDocument/2006/relationships/hyperlink" Target="https://assets.publishing.service.gov.uk/government/uploads/system/uploads/attachment_data/file/1066524/Online_choice_architecture_discussion_paper.pdf" TargetMode="External"/><Relationship Id="rId102" Type="http://schemas.openxmlformats.org/officeDocument/2006/relationships/hyperlink" Target="https://positive-ryouritsu.mhlw.go.jp/mieruka/files/pamphlet.pdf" TargetMode="External"/><Relationship Id="rId5" Type="http://schemas.openxmlformats.org/officeDocument/2006/relationships/webSettings" Target="webSettings.xml"/><Relationship Id="rId90" Type="http://schemas.openxmlformats.org/officeDocument/2006/relationships/hyperlink" Target="https://www.ilo.org/ankara/projects/WCMS_373434/lang--en/index.htm" TargetMode="External"/><Relationship Id="rId95" Type="http://schemas.openxmlformats.org/officeDocument/2006/relationships/hyperlink" Target="https://ec.europa.eu/social/main.jsp?catId=1311&amp;langId=en" TargetMode="External"/><Relationship Id="rId22" Type="http://schemas.openxmlformats.org/officeDocument/2006/relationships/hyperlink" Target="https://highscope.org/perry-preschool-project/" TargetMode="External"/><Relationship Id="rId27" Type="http://schemas.openxmlformats.org/officeDocument/2006/relationships/hyperlink" Target="https://www.caixa.gov.br/poder-publico/infraestrutura-saneamento-mobilidade/desenvolvimento-social/bolsa-familia/Paginas/default.aspx" TargetMode="External"/><Relationship Id="rId43" Type="http://schemas.openxmlformats.org/officeDocument/2006/relationships/hyperlink" Target="https://www.worldbank.org/en/programs/japan-social-development-fund" TargetMode="External"/><Relationship Id="rId48" Type="http://schemas.openxmlformats.org/officeDocument/2006/relationships/hyperlink" Target="http://www.bi.team/wp-content/uploads/2015/07/BIT_Update-Report-Final-2013-2015.pdf" TargetMode="External"/><Relationship Id="rId64" Type="http://schemas.openxmlformats.org/officeDocument/2006/relationships/hyperlink" Target="https://ftp.zew.de/pub/zew-docs/gutachten/ZEW_Endbericht_Zentrale_Leistungen2013.pdf" TargetMode="External"/><Relationship Id="rId69" Type="http://schemas.openxmlformats.org/officeDocument/2006/relationships/hyperlink" Target="https://www.bmfsfj.de/resource/blob/73910/a4967275ada3f2daf77fb6bc08e666a2/kinderzuschlag-evaluation-2009-data.pdf" TargetMode="External"/><Relationship Id="rId80" Type="http://schemas.openxmlformats.org/officeDocument/2006/relationships/hyperlink" Target="https://papers.ssrn.com/sol3/papers.cfm?abstract_id=4037801" TargetMode="External"/><Relationship Id="rId85" Type="http://schemas.openxmlformats.org/officeDocument/2006/relationships/hyperlink" Target="https://journals.sagepub.com/doi/full/10.1177/0003122415596416?casa_token=M_Q-NKYeUFAAAAAA%3Apv04lKRnVzxV32fC9-um9mEKXlRKfFqvCSChIZt5wBdAQDYBo9S9kY9jGPb0wxgsCVyR2_CfYQHE" TargetMode="External"/><Relationship Id="rId12" Type="http://schemas.openxmlformats.org/officeDocument/2006/relationships/image" Target="media/image2.png"/><Relationship Id="rId17" Type="http://schemas.openxmlformats.org/officeDocument/2006/relationships/hyperlink" Target="https://www.nber.org/system/files/working_papers/w26025/w26025.pdf" TargetMode="External"/><Relationship Id="rId33" Type="http://schemas.openxmlformats.org/officeDocument/2006/relationships/hyperlink" Target="https://www.fao.org/3/i5157e/i5157e.pdf" TargetMode="External"/><Relationship Id="rId38" Type="http://schemas.openxmlformats.org/officeDocument/2006/relationships/hyperlink" Target="https://read.oecd-ilibrary.org/governance/behavioural-insights-and-public-policy_9789264270480-en" TargetMode="External"/><Relationship Id="rId59" Type="http://schemas.openxmlformats.org/officeDocument/2006/relationships/hyperlink" Target="https://scholar.google.com/scholar?q=Can%20rural%20public%20works%20affect%20agricultural%20wages%20Evidence%20from%20India" TargetMode="External"/><Relationship Id="rId103" Type="http://schemas.openxmlformats.org/officeDocument/2006/relationships/hyperlink" Target="https://www.government.nl/topics/gender-equality/womens-labour-force-participation" TargetMode="External"/><Relationship Id="rId108" Type="http://schemas.openxmlformats.org/officeDocument/2006/relationships/hyperlink" Target="https://onlinelibrary-wiley-com.ezproxy.cul.columbia.edu/doi/full/10.1111/spol.12681" TargetMode="External"/><Relationship Id="rId54" Type="http://schemas.openxmlformats.org/officeDocument/2006/relationships/hyperlink" Target="https://www.nber.org/programs-projects/projects-and-centers/moving-opportunity?page=1&amp;perPage=50" TargetMode="External"/><Relationship Id="rId70" Type="http://schemas.openxmlformats.org/officeDocument/2006/relationships/hyperlink" Target="https://www.ilo.org/dyn/natlex/natlex4.detail?p_isn=104971&amp;p_lang=en" TargetMode="External"/><Relationship Id="rId75" Type="http://schemas.openxmlformats.org/officeDocument/2006/relationships/hyperlink" Target="https://www.kci.go.kr/kciportal/ci/sereArticleSearch/ciSereArtiView.kci?sereArticleSearchBean.artiId=ART001730155" TargetMode="External"/><Relationship Id="rId91" Type="http://schemas.openxmlformats.org/officeDocument/2006/relationships/hyperlink" Target="http://esitizberaberiz.org/home/" TargetMode="External"/><Relationship Id="rId96" Type="http://schemas.openxmlformats.org/officeDocument/2006/relationships/hyperlink" Target="https://iuslaboris.com/insights/implementing-the-work-life-balance-directive-across-europ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abc.fpg.unc.edu/" TargetMode="External"/><Relationship Id="rId28" Type="http://schemas.openxmlformats.org/officeDocument/2006/relationships/hyperlink" Target="http://eprints.lse.ac.uk/21258/1/Brazil%27s%20Bolsa%20Familia%20%28LSERO%29.pdf" TargetMode="External"/><Relationship Id="rId36" Type="http://schemas.openxmlformats.org/officeDocument/2006/relationships/hyperlink" Target="https://www.health.govt.nz/system/files/documents/publications/healthy-homes-initiative-outcomes-evaluation-interim-report-18sept2019.pdf" TargetMode="External"/><Relationship Id="rId49" Type="http://schemas.openxmlformats.org/officeDocument/2006/relationships/hyperlink" Target="https://www.rotary.org/en/our-causes/growing-local-economies" TargetMode="External"/><Relationship Id="rId57" Type="http://schemas.openxmlformats.org/officeDocument/2006/relationships/hyperlink" Target="https://nrega.nic.in/Nregahome/MGNREGA_new/Nrega_home.aspx" TargetMode="External"/><Relationship Id="rId106" Type="http://schemas.openxmlformats.org/officeDocument/2006/relationships/hyperlink" Target="https://www.kallikratis.org/ti-ischyei-gia-ti-meiosi-enoikioy-epicheiriseon-ergazomenon-foititon/" TargetMode="External"/><Relationship Id="rId10" Type="http://schemas.openxmlformats.org/officeDocument/2006/relationships/header" Target="header2.xml"/><Relationship Id="rId31" Type="http://schemas.openxmlformats.org/officeDocument/2006/relationships/hyperlink" Target="http://eprints.lse.ac.uk/21258/1/Brazil%27s%20Bolsa%20Familia%20%28LSERO%29.pdf" TargetMode="External"/><Relationship Id="rId44" Type="http://schemas.openxmlformats.org/officeDocument/2006/relationships/hyperlink" Target="https://www.growregions.govt.nz/established-funds/what-we-have-funded/the-provincial-growth-fund/" TargetMode="External"/><Relationship Id="rId52" Type="http://schemas.openxmlformats.org/officeDocument/2006/relationships/hyperlink" Target="https://www.rotary.org/en/our-causes/growing-local-economies" TargetMode="External"/><Relationship Id="rId60" Type="http://schemas.openxmlformats.org/officeDocument/2006/relationships/hyperlink" Target="https://www.sciencedirect.com/science/article/pii/S0305750X18304480?via%3Dihub" TargetMode="External"/><Relationship Id="rId65" Type="http://schemas.openxmlformats.org/officeDocument/2006/relationships/hyperlink" Target="https://www.bmfsfj.de/resource/blob/73910/a4967275ada3f2daf77fb6bc08e666a2/kinderzuschlag-evaluation-2009-data.pdf" TargetMode="External"/><Relationship Id="rId73" Type="http://schemas.openxmlformats.org/officeDocument/2006/relationships/hyperlink" Target="https://www2.unwomen.org/-/media/field%20office%20eseasia/docs/publications/2016/05/pk-wee-status-report-lowres.pdf?vs=5731" TargetMode="External"/><Relationship Id="rId78" Type="http://schemas.openxmlformats.org/officeDocument/2006/relationships/hyperlink" Target="https://keia.org/publication/digitalization-in-south-korea-a-path-to-a-better-shared-prosperity/" TargetMode="External"/><Relationship Id="rId81" Type="http://schemas.openxmlformats.org/officeDocument/2006/relationships/hyperlink" Target="https://papers.ssrn.com/sol3/papers.cfm?abstract_id=3458194" TargetMode="External"/><Relationship Id="rId86" Type="http://schemas.openxmlformats.org/officeDocument/2006/relationships/hyperlink" Target="https://www.mondaq.com/employee-benefits-compensation/1065950/the-new-gender-pay-gap-proposals-in-brazil-what-they-may-mean-for-employers" TargetMode="External"/><Relationship Id="rId94" Type="http://schemas.openxmlformats.org/officeDocument/2006/relationships/hyperlink" Target="https://education.ec.europa.eu/focus-topics/digital-education/action-plan/action-13" TargetMode="External"/><Relationship Id="rId99" Type="http://schemas.openxmlformats.org/officeDocument/2006/relationships/hyperlink" Target="https://www.gender.go.jp/english_contents/about_danjo/whitepaper/pdf/5th_bpg.pdf" TargetMode="External"/><Relationship Id="rId101" Type="http://schemas.openxmlformats.org/officeDocument/2006/relationships/hyperlink" Target="https://www.asahi.com/ajw/articles/14664493"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3.jpg"/><Relationship Id="rId18" Type="http://schemas.openxmlformats.org/officeDocument/2006/relationships/hyperlink" Target="https://www.urban.org/research/publication/antipoverty-effects-supplemental-nutrition-assistance-program" TargetMode="External"/><Relationship Id="rId39" Type="http://schemas.openxmlformats.org/officeDocument/2006/relationships/hyperlink" Target="https://read.oecd-ilibrary.org/governance/behavioural-insights-and-public-policy_9789264270480-en" TargetMode="External"/><Relationship Id="rId109" Type="http://schemas.openxmlformats.org/officeDocument/2006/relationships/fontTable" Target="fontTable.xml"/><Relationship Id="rId34" Type="http://schemas.openxmlformats.org/officeDocument/2006/relationships/hyperlink" Target="https://www.fao.org/3/i5157e/i5157e.pdf" TargetMode="External"/><Relationship Id="rId50" Type="http://schemas.openxmlformats.org/officeDocument/2006/relationships/hyperlink" Target="https://rotaryserviceblog.org/2018/10/09/empowering-women-in-guatemala-through-microfinance/" TargetMode="External"/><Relationship Id="rId55" Type="http://schemas.openxmlformats.org/officeDocument/2006/relationships/hyperlink" Target="http://www.equality-of-opportunity.org/images/mto_paper.pdf" TargetMode="External"/><Relationship Id="rId76" Type="http://schemas.openxmlformats.org/officeDocument/2006/relationships/hyperlink" Target="https://www.kci.go.kr/kciportal/ci/sereArticleSearch/ciSereArtiView.kci?sereArticleSearchBean.artiId=ART001730155" TargetMode="External"/><Relationship Id="rId97" Type="http://schemas.openxmlformats.org/officeDocument/2006/relationships/hyperlink" Target="https://beijing20.unwomen.org/en/about" TargetMode="External"/><Relationship Id="rId104" Type="http://schemas.openxmlformats.org/officeDocument/2006/relationships/hyperlink" Target="https://www.sos.ca.gov/business-programs/women-boards" TargetMode="External"/><Relationship Id="rId7" Type="http://schemas.openxmlformats.org/officeDocument/2006/relationships/endnotes" Target="endnotes.xml"/><Relationship Id="rId71" Type="http://schemas.openxmlformats.org/officeDocument/2006/relationships/hyperlink" Target="http://175.107.63.45/NewIMUSite/images/reports/ASC_Report_2020-21_Final.pdf" TargetMode="External"/><Relationship Id="rId92" Type="http://schemas.openxmlformats.org/officeDocument/2006/relationships/hyperlink" Target="https://www.eskills4girls.org/more-and-better-jobs-for-women-womens-empowerment-through-decent-work-in-turkey/" TargetMode="External"/><Relationship Id="rId2" Type="http://schemas.openxmlformats.org/officeDocument/2006/relationships/numbering" Target="numbering.xml"/><Relationship Id="rId29" Type="http://schemas.openxmlformats.org/officeDocument/2006/relationships/hyperlink" Target="https://www.ipea.gov.br/portal/index.php?option=com_content&amp;view=article&amp;id=4822" TargetMode="External"/><Relationship Id="rId24" Type="http://schemas.openxmlformats.org/officeDocument/2006/relationships/hyperlink" Target="https://www.pc.gov.au/research/supporting/deep-persistent-disadvantage" TargetMode="External"/><Relationship Id="rId40" Type="http://schemas.openxmlformats.org/officeDocument/2006/relationships/hyperlink" Target="https://www.yearup.org/" TargetMode="External"/><Relationship Id="rId45" Type="http://schemas.openxmlformats.org/officeDocument/2006/relationships/hyperlink" Target="https://www.mbie.govt.nz/dmsdocument/21594-evaluation-of-the-provincial-growth-fund" TargetMode="External"/><Relationship Id="rId66" Type="http://schemas.openxmlformats.org/officeDocument/2006/relationships/hyperlink" Target="https://ftp.zew.de/pub/zew-docs/gutachten/ZEW_Endbericht_Zentrale_Leistungen2013.pdf" TargetMode="External"/><Relationship Id="rId87" Type="http://schemas.openxmlformats.org/officeDocument/2006/relationships/hyperlink" Target="https://papers.ssrn.com/sol3/papers.cfm?abstract_id=4037801" TargetMode="External"/><Relationship Id="rId110" Type="http://schemas.openxmlformats.org/officeDocument/2006/relationships/theme" Target="theme/theme1.xml"/><Relationship Id="rId61" Type="http://schemas.openxmlformats.org/officeDocument/2006/relationships/hyperlink" Target="https://link.springer.com/content/pdf/10.1186/s40175-016-0053-y.pdf" TargetMode="External"/><Relationship Id="rId82" Type="http://schemas.openxmlformats.org/officeDocument/2006/relationships/hyperlink" Target="https://www.iza.org/publications/dp/13635/pay-transparency-initiative-and-gender-pay-gap-evidence-from-research-intensive-universities-in-the-uk" TargetMode="External"/><Relationship Id="rId19" Type="http://schemas.openxmlformats.org/officeDocument/2006/relationships/hyperlink" Target="https://www.nber.org/system/files/working_papers/w23112/w23112.pdf" TargetMode="External"/><Relationship Id="rId14" Type="http://schemas.openxmlformats.org/officeDocument/2006/relationships/header" Target="header3.xml"/><Relationship Id="rId30" Type="http://schemas.openxmlformats.org/officeDocument/2006/relationships/hyperlink" Target="http://repositorio.ipea.gov.br/handle/11058/1905" TargetMode="External"/><Relationship Id="rId35" Type="http://schemas.openxmlformats.org/officeDocument/2006/relationships/hyperlink" Target="https://www.health.govt.nz/our-work/preventative-health-wellness/healthy-homes-initiative" TargetMode="External"/><Relationship Id="rId56" Type="http://schemas.openxmlformats.org/officeDocument/2006/relationships/hyperlink" Target="http://www.equality-of-opportunity.org/images/mto_paper.pdf" TargetMode="External"/><Relationship Id="rId77" Type="http://schemas.openxmlformats.org/officeDocument/2006/relationships/hyperlink" Target="https://keia.org/publication/economic-policy-reforms-in-the-lee-myung-bak-administration/" TargetMode="External"/><Relationship Id="rId100" Type="http://schemas.openxmlformats.org/officeDocument/2006/relationships/hyperlink" Target="https://www.gender.go.jp/english_contents/international/un/iwd/iwd_2022.html" TargetMode="External"/><Relationship Id="rId105" Type="http://schemas.openxmlformats.org/officeDocument/2006/relationships/hyperlink" Target="https://www.ft.com/content/d89c0adc-52f5-4151-a344-fa25ab4b4178" TargetMode="External"/><Relationship Id="rId8" Type="http://schemas.openxmlformats.org/officeDocument/2006/relationships/header" Target="header1.xml"/><Relationship Id="rId51" Type="http://schemas.openxmlformats.org/officeDocument/2006/relationships/hyperlink" Target="https://my.rotary.org/en/Node/180961" TargetMode="External"/><Relationship Id="rId72" Type="http://schemas.openxmlformats.org/officeDocument/2006/relationships/hyperlink" Target="http://www.pas.gov.pk/uploads/acts/Sindh%20Act%20No.XXXVII%20of%202018.pdf" TargetMode="External"/><Relationship Id="rId93" Type="http://schemas.openxmlformats.org/officeDocument/2006/relationships/hyperlink" Target="https://www.mhlw.go.jp/stf/seisakunitsuite/bunya/koyou_roudou/koyoukintou/danjokintou/index.html" TargetMode="External"/><Relationship Id="rId98" Type="http://schemas.openxmlformats.org/officeDocument/2006/relationships/hyperlink" Target="https://www.tandfonline.com/doi/pdf/10.1080/13552070512331332283?casa_token=uFeDvX2NOT4AAAAA:DSGzWxdWGnij8A-svjHgoWtkb9db4gyarSELX2_DvqzXQZ8_PJiJh8gduF7cEpdWpr5JG-ESJRoyjSw" TargetMode="External"/><Relationship Id="rId3" Type="http://schemas.openxmlformats.org/officeDocument/2006/relationships/styles" Target="styles.xml"/><Relationship Id="rId25" Type="http://schemas.openxmlformats.org/officeDocument/2006/relationships/hyperlink" Target="https://abc.fpg.unc.edu/" TargetMode="External"/><Relationship Id="rId46" Type="http://schemas.openxmlformats.org/officeDocument/2006/relationships/hyperlink" Target="https://www.mbie.govt.nz/dmsdocument/21594-evaluation-of-the-provincial-growth-fund" TargetMode="External"/><Relationship Id="rId67" Type="http://schemas.openxmlformats.org/officeDocument/2006/relationships/hyperlink" Target="https://www.bmfsfj.de/resource/blob/73910/a4967275ada3f2daf77fb6bc08e666a2/kinderzuschlag-evaluation-2009-data.pdf" TargetMode="External"/><Relationship Id="rId20" Type="http://schemas.openxmlformats.org/officeDocument/2006/relationships/hyperlink" Target="https://www.ncbi.nlm.nih.gov/pmc/articles/PMC6836769/" TargetMode="External"/><Relationship Id="rId41" Type="http://schemas.openxmlformats.org/officeDocument/2006/relationships/hyperlink" Target="https://thedocs.worldbank.org/en/doc/891801551242864853-0090022019/original/AfghanjapanbrochureENweb.pdf." TargetMode="External"/><Relationship Id="rId62" Type="http://schemas.openxmlformats.org/officeDocument/2006/relationships/hyperlink" Target="https://openknowledge.worldbank.org/handle/10986/17195" TargetMode="External"/><Relationship Id="rId83" Type="http://schemas.openxmlformats.org/officeDocument/2006/relationships/hyperlink" Target="https://www.government.is/topics/human-rights-and-equality/equality/equal-pay-certification/" TargetMode="External"/><Relationship Id="rId88" Type="http://schemas.openxmlformats.org/officeDocument/2006/relationships/hyperlink" Target="https://www.gender.go.jp/english_contents/mge/positive_act/publicprocure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EAEF2-AFE1-419A-8D50-0DA0C81E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9113</Words>
  <Characters>51948</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Ruggeri, Kai</dc:creator>
  <cp:lastModifiedBy>Jonathan Geffner</cp:lastModifiedBy>
  <cp:revision>2</cp:revision>
  <dcterms:created xsi:type="dcterms:W3CDTF">2023-08-24T20:33:00Z</dcterms:created>
  <dcterms:modified xsi:type="dcterms:W3CDTF">2023-08-24T20:33:00Z</dcterms:modified>
</cp:coreProperties>
</file>