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E831" w14:textId="77777777" w:rsidR="00964E96" w:rsidRPr="00964E96" w:rsidRDefault="00964E96" w:rsidP="00964E96">
      <w:pPr>
        <w:pBdr>
          <w:top w:val="nil"/>
          <w:left w:val="nil"/>
          <w:bottom w:val="nil"/>
          <w:right w:val="nil"/>
          <w:between w:val="nil"/>
          <w:bar w:val="nil"/>
        </w:pBdr>
        <w:spacing w:after="120" w:line="360" w:lineRule="auto"/>
        <w:ind w:firstLine="454"/>
        <w:jc w:val="both"/>
        <w:rPr>
          <w:rFonts w:ascii="Times New Roman" w:eastAsia="Times New Roman" w:hAnsi="Times New Roman" w:cs="Times New Roman"/>
          <w:color w:val="000000"/>
          <w:sz w:val="28"/>
          <w:szCs w:val="28"/>
          <w:u w:color="000000"/>
          <w:lang w:val="en-US" w:eastAsia="ru-RU"/>
          <w14:textOutline w14:w="0" w14:cap="flat" w14:cmpd="sng" w14:algn="ctr">
            <w14:noFill/>
            <w14:prstDash w14:val="solid"/>
            <w14:bevel/>
          </w14:textOutline>
        </w:rPr>
      </w:pPr>
      <w:r w:rsidRPr="00964E96">
        <w:rPr>
          <w:rFonts w:ascii="Times New Roman" w:eastAsia="Arial Unicode MS" w:hAnsi="Times New Roman" w:cs="Arial Unicode MS"/>
          <w:b/>
          <w:bCs/>
          <w:color w:val="000000"/>
          <w:sz w:val="28"/>
          <w:szCs w:val="28"/>
          <w:u w:color="000000"/>
          <w:lang w:val="en-US" w:eastAsia="ru-RU"/>
          <w14:textOutline w14:w="0" w14:cap="flat" w14:cmpd="sng" w14:algn="ctr">
            <w14:noFill/>
            <w14:prstDash w14:val="solid"/>
            <w14:bevel/>
          </w14:textOutline>
        </w:rPr>
        <w:t>Appendix. Regional Manifesto Project</w:t>
      </w:r>
    </w:p>
    <w:p w14:paraId="13C97C1E" w14:textId="77777777" w:rsidR="00964E96" w:rsidRPr="00964E96" w:rsidRDefault="00964E96" w:rsidP="00964E96">
      <w:pPr>
        <w:pBdr>
          <w:top w:val="nil"/>
          <w:left w:val="nil"/>
          <w:bottom w:val="nil"/>
          <w:right w:val="nil"/>
          <w:between w:val="nil"/>
          <w:bar w:val="nil"/>
        </w:pBdr>
        <w:spacing w:after="120" w:line="360" w:lineRule="auto"/>
        <w:ind w:firstLine="454"/>
        <w:jc w:val="both"/>
        <w:rPr>
          <w:rFonts w:ascii="Times New Roman" w:eastAsia="Times New Roman" w:hAnsi="Times New Roman" w:cs="Times New Roman"/>
          <w:color w:val="000000"/>
          <w:sz w:val="24"/>
          <w:szCs w:val="24"/>
          <w:u w:color="000000"/>
          <w:lang w:val="en-US" w:eastAsia="ru-RU"/>
          <w14:textOutline w14:w="0" w14:cap="flat" w14:cmpd="sng" w14:algn="ctr">
            <w14:noFill/>
            <w14:prstDash w14:val="solid"/>
            <w14:bevel/>
          </w14:textOutline>
        </w:rPr>
      </w:pPr>
      <w:r w:rsidRPr="00964E96">
        <w:rPr>
          <w:rFonts w:ascii="Times New Roman" w:eastAsia="Arial Unicode MS" w:hAnsi="Times New Roman" w:cs="Arial Unicode MS"/>
          <w:color w:val="000000"/>
          <w:sz w:val="24"/>
          <w:szCs w:val="24"/>
          <w:u w:color="000000"/>
          <w:lang w:val="en-US" w:eastAsia="ru-RU"/>
          <w14:textOutline w14:w="0" w14:cap="flat" w14:cmpd="sng" w14:algn="ctr">
            <w14:noFill/>
            <w14:prstDash w14:val="solid"/>
            <w14:bevel/>
          </w14:textOutline>
        </w:rPr>
        <w:t>The analysis of political parties’ discourse strategies is done by applying the RMP approach, the main goal of which is to measure the political parties’ salience and position in multi-level systems using the content analysis of their electoral manifestos (</w:t>
      </w:r>
      <w:r w:rsidRPr="00964E96">
        <w:rPr>
          <w:rFonts w:ascii="Times New Roman" w:eastAsia="Arial Unicode MS" w:hAnsi="Times New Roman" w:cs="Arial Unicode MS"/>
          <w:i/>
          <w:iCs/>
          <w:color w:val="000000"/>
          <w:sz w:val="24"/>
          <w:szCs w:val="24"/>
          <w:u w:color="000000"/>
          <w:lang w:val="en-US" w:eastAsia="ru-RU"/>
          <w14:textOutline w14:w="0" w14:cap="flat" w14:cmpd="sng" w14:algn="ctr">
            <w14:noFill/>
            <w14:prstDash w14:val="solid"/>
            <w14:bevel/>
          </w14:textOutline>
        </w:rPr>
        <w:t>What Is the RMP?</w:t>
      </w:r>
      <w:r w:rsidRPr="00964E96">
        <w:rPr>
          <w:rFonts w:ascii="Times New Roman" w:eastAsia="Arial Unicode MS" w:hAnsi="Times New Roman" w:cs="Arial Unicode MS"/>
          <w:color w:val="000000"/>
          <w:sz w:val="24"/>
          <w:szCs w:val="24"/>
          <w:u w:color="000000"/>
          <w:lang w:val="en-US" w:eastAsia="ru-RU"/>
          <w14:textOutline w14:w="0" w14:cap="flat" w14:cmpd="sng" w14:algn="ctr">
            <w14:noFill/>
            <w14:prstDash w14:val="solid"/>
            <w14:bevel/>
          </w14:textOutline>
        </w:rPr>
        <w:t xml:space="preserve"> 2021).</w:t>
      </w:r>
    </w:p>
    <w:p w14:paraId="33AB35FC" w14:textId="77777777" w:rsidR="00964E96" w:rsidRPr="00964E96" w:rsidRDefault="00964E96" w:rsidP="00964E96">
      <w:pPr>
        <w:pBdr>
          <w:top w:val="nil"/>
          <w:left w:val="nil"/>
          <w:bottom w:val="nil"/>
          <w:right w:val="nil"/>
          <w:between w:val="nil"/>
          <w:bar w:val="nil"/>
        </w:pBdr>
        <w:spacing w:after="120" w:line="360" w:lineRule="auto"/>
        <w:ind w:firstLine="454"/>
        <w:jc w:val="both"/>
        <w:rPr>
          <w:rFonts w:ascii="Times New Roman" w:eastAsia="Times New Roman" w:hAnsi="Times New Roman" w:cs="Times New Roman"/>
          <w:color w:val="000000"/>
          <w:sz w:val="24"/>
          <w:szCs w:val="24"/>
          <w:u w:color="000000"/>
          <w:lang w:val="en-US" w:eastAsia="ru-RU"/>
          <w14:textOutline w14:w="0" w14:cap="flat" w14:cmpd="sng" w14:algn="ctr">
            <w14:noFill/>
            <w14:prstDash w14:val="solid"/>
            <w14:bevel/>
          </w14:textOutline>
        </w:rPr>
      </w:pPr>
      <w:r w:rsidRPr="00964E96">
        <w:rPr>
          <w:rFonts w:ascii="Times New Roman" w:eastAsia="Arial Unicode MS" w:hAnsi="Times New Roman" w:cs="Arial Unicode MS"/>
          <w:color w:val="000000"/>
          <w:sz w:val="24"/>
          <w:szCs w:val="24"/>
          <w:u w:color="000000"/>
          <w:lang w:val="en-US" w:eastAsia="ru-RU"/>
          <w14:textOutline w14:w="0" w14:cap="flat" w14:cmpd="sng" w14:algn="ctr">
            <w14:noFill/>
            <w14:prstDash w14:val="solid"/>
            <w14:bevel/>
          </w14:textOutline>
        </w:rPr>
        <w:t>The unit of analysis in the RMP methodology is the quasi-sentence</w:t>
      </w:r>
      <w:r w:rsidRPr="00964E96">
        <w:rPr>
          <w:rFonts w:ascii="Times New Roman" w:eastAsia="Arial Unicode MS" w:hAnsi="Times New Roman" w:cs="Arial Unicode MS"/>
          <w:i/>
          <w:iCs/>
          <w:color w:val="000000"/>
          <w:sz w:val="24"/>
          <w:szCs w:val="24"/>
          <w:u w:color="000000"/>
          <w:lang w:val="en-US" w:eastAsia="ru-RU"/>
          <w14:textOutline w14:w="0" w14:cap="flat" w14:cmpd="sng" w14:algn="ctr">
            <w14:noFill/>
            <w14:prstDash w14:val="solid"/>
            <w14:bevel/>
          </w14:textOutline>
        </w:rPr>
        <w:t xml:space="preserve"> </w:t>
      </w:r>
      <w:r w:rsidRPr="00964E96">
        <w:rPr>
          <w:rFonts w:ascii="Times New Roman" w:eastAsia="Arial Unicode MS" w:hAnsi="Times New Roman" w:cs="Arial Unicode MS"/>
          <w:color w:val="000000"/>
          <w:sz w:val="24"/>
          <w:szCs w:val="24"/>
          <w:u w:color="000000"/>
          <w:lang w:val="en-US" w:eastAsia="ru-RU"/>
          <w14:textOutline w14:w="0" w14:cap="flat" w14:cmpd="sng" w14:algn="ctr">
            <w14:noFill/>
            <w14:prstDash w14:val="solid"/>
            <w14:bevel/>
          </w14:textOutline>
        </w:rPr>
        <w:t>– a coding unit including only one argument. A quasi-sentence</w:t>
      </w:r>
      <w:r w:rsidRPr="00964E96">
        <w:rPr>
          <w:rFonts w:ascii="Times New Roman" w:eastAsia="Arial Unicode MS" w:hAnsi="Times New Roman" w:cs="Arial Unicode MS"/>
          <w:i/>
          <w:iCs/>
          <w:color w:val="000000"/>
          <w:sz w:val="24"/>
          <w:szCs w:val="24"/>
          <w:u w:color="000000"/>
          <w:lang w:val="en-US" w:eastAsia="ru-RU"/>
          <w14:textOutline w14:w="0" w14:cap="flat" w14:cmpd="sng" w14:algn="ctr">
            <w14:noFill/>
            <w14:prstDash w14:val="solid"/>
            <w14:bevel/>
          </w14:textOutline>
        </w:rPr>
        <w:t xml:space="preserve"> </w:t>
      </w:r>
      <w:r w:rsidRPr="00964E96">
        <w:rPr>
          <w:rFonts w:ascii="Times New Roman" w:eastAsia="Arial Unicode MS" w:hAnsi="Times New Roman" w:cs="Arial Unicode MS"/>
          <w:color w:val="000000"/>
          <w:sz w:val="24"/>
          <w:szCs w:val="24"/>
          <w:u w:color="000000"/>
          <w:lang w:val="en-US" w:eastAsia="ru-RU"/>
          <w14:textOutline w14:w="0" w14:cap="flat" w14:cmpd="sng" w14:algn="ctr">
            <w14:noFill/>
            <w14:prstDash w14:val="solid"/>
            <w14:bevel/>
          </w14:textOutline>
        </w:rPr>
        <w:t xml:space="preserve">contains exactly one statement or “message” (Alonso et al. 2020). The natural sentence is cut into several quasi-sentences when it contains two unrelated statements, or the statements are related but consider different aspects of a larger policy (Alonso et al. 2020). The code of a quasi-sentence has a two-digit structure. The first number refers to the party’s territorial preferences, and the second part of the code is related to policy preferences. Territorial authority claims consider the level of administration to be addressed or the relationships between the levels. They can address one level of government and then the preferred degree of authority for that level. In addition, the quasi-sentence may refer to more than one level of governance and then indicate the relationships between the levels. </w:t>
      </w:r>
    </w:p>
    <w:p w14:paraId="4A42C908" w14:textId="77777777" w:rsidR="00964E96" w:rsidRPr="00964E96" w:rsidRDefault="00964E96" w:rsidP="00964E96">
      <w:pPr>
        <w:pBdr>
          <w:top w:val="nil"/>
          <w:left w:val="nil"/>
          <w:bottom w:val="nil"/>
          <w:right w:val="nil"/>
          <w:between w:val="nil"/>
          <w:bar w:val="nil"/>
        </w:pBdr>
        <w:spacing w:after="120" w:line="360" w:lineRule="auto"/>
        <w:ind w:firstLine="454"/>
        <w:jc w:val="both"/>
        <w:rPr>
          <w:rFonts w:ascii="Times New Roman" w:eastAsia="Times New Roman" w:hAnsi="Times New Roman" w:cs="Times New Roman"/>
          <w:color w:val="000000"/>
          <w:sz w:val="24"/>
          <w:szCs w:val="24"/>
          <w:u w:color="000000"/>
          <w:lang w:val="en-US" w:eastAsia="ru-RU"/>
          <w14:textOutline w14:w="0" w14:cap="flat" w14:cmpd="sng" w14:algn="ctr">
            <w14:noFill/>
            <w14:prstDash w14:val="solid"/>
            <w14:bevel/>
          </w14:textOutline>
        </w:rPr>
      </w:pPr>
      <w:r w:rsidRPr="00964E96">
        <w:rPr>
          <w:rFonts w:ascii="Times New Roman" w:eastAsia="Arial Unicode MS" w:hAnsi="Times New Roman" w:cs="Arial Unicode MS"/>
          <w:color w:val="000000"/>
          <w:sz w:val="24"/>
          <w:szCs w:val="24"/>
          <w:u w:color="000000"/>
          <w:lang w:val="en-US" w:eastAsia="ru-RU"/>
          <w14:textOutline w14:w="0" w14:cap="flat" w14:cmpd="sng" w14:algn="ctr">
            <w14:noFill/>
            <w14:prstDash w14:val="solid"/>
            <w14:bevel/>
          </w14:textOutline>
        </w:rPr>
        <w:t xml:space="preserve">The second part of the quasi-sentence code is assigned to the policy preferences classified by several domains. These domains are external relations, freedom and democracy, political system, economy, welfare and quality of life, the fabric of society, social groups and gender. In general, the code of the quasi-sentence has the structure XX_YYY(Y), where XX is the territorial preference, and YYY(Y) is the policy preference of the political party (Alonso et al. 2020). The general calculation rule is that the number of quasi-sentences dedicated to each category is computed as a percentage of the overall quasi-sentences in the manifesto. </w:t>
      </w:r>
    </w:p>
    <w:p w14:paraId="7F27127E" w14:textId="77777777" w:rsidR="00964E96" w:rsidRPr="00964E96" w:rsidRDefault="00964E96" w:rsidP="00964E96">
      <w:pPr>
        <w:pBdr>
          <w:top w:val="nil"/>
          <w:left w:val="nil"/>
          <w:bottom w:val="nil"/>
          <w:right w:val="nil"/>
          <w:between w:val="nil"/>
          <w:bar w:val="nil"/>
        </w:pBdr>
        <w:spacing w:after="120" w:line="360" w:lineRule="auto"/>
        <w:ind w:firstLine="454"/>
        <w:jc w:val="both"/>
        <w:rPr>
          <w:rFonts w:ascii="Times New Roman" w:eastAsia="Times New Roman" w:hAnsi="Times New Roman" w:cs="Times New Roman"/>
          <w:color w:val="000000"/>
          <w:sz w:val="24"/>
          <w:szCs w:val="24"/>
          <w:u w:color="000000"/>
          <w:lang w:val="en-US" w:eastAsia="ru-RU"/>
          <w14:textOutline w14:w="0" w14:cap="flat" w14:cmpd="sng" w14:algn="ctr">
            <w14:noFill/>
            <w14:prstDash w14:val="solid"/>
            <w14:bevel/>
          </w14:textOutline>
        </w:rPr>
      </w:pPr>
      <w:r w:rsidRPr="00964E96">
        <w:rPr>
          <w:rFonts w:ascii="Times New Roman" w:eastAsia="Arial Unicode MS" w:hAnsi="Times New Roman" w:cs="Arial Unicode MS"/>
          <w:color w:val="000000"/>
          <w:sz w:val="24"/>
          <w:szCs w:val="24"/>
          <w:u w:color="000000"/>
          <w:lang w:val="en-US" w:eastAsia="ru-RU"/>
          <w14:textOutline w14:w="0" w14:cap="flat" w14:cmpd="sng" w14:algn="ctr">
            <w14:noFill/>
            <w14:prstDash w14:val="solid"/>
            <w14:bevel/>
          </w14:textOutline>
        </w:rPr>
        <w:t>Saliency</w:t>
      </w:r>
      <w:r w:rsidRPr="00964E96">
        <w:rPr>
          <w:rFonts w:ascii="Times New Roman" w:eastAsia="Arial Unicode MS" w:hAnsi="Times New Roman" w:cs="Arial Unicode MS"/>
          <w:i/>
          <w:iCs/>
          <w:color w:val="000000"/>
          <w:sz w:val="24"/>
          <w:szCs w:val="24"/>
          <w:u w:color="000000"/>
          <w:lang w:val="en-US" w:eastAsia="ru-RU"/>
          <w14:textOutline w14:w="0" w14:cap="flat" w14:cmpd="sng" w14:algn="ctr">
            <w14:noFill/>
            <w14:prstDash w14:val="solid"/>
            <w14:bevel/>
          </w14:textOutline>
        </w:rPr>
        <w:t xml:space="preserve"> </w:t>
      </w:r>
      <w:r w:rsidRPr="00964E96">
        <w:rPr>
          <w:rFonts w:ascii="Times New Roman" w:eastAsia="Arial Unicode MS" w:hAnsi="Times New Roman" w:cs="Arial Unicode MS"/>
          <w:color w:val="000000"/>
          <w:sz w:val="24"/>
          <w:szCs w:val="24"/>
          <w:u w:color="000000"/>
          <w:lang w:val="en-US" w:eastAsia="ru-RU"/>
          <w14:textOutline w14:w="0" w14:cap="flat" w14:cmpd="sng" w14:algn="ctr">
            <w14:noFill/>
            <w14:prstDash w14:val="solid"/>
            <w14:bevel/>
          </w14:textOutline>
        </w:rPr>
        <w:t xml:space="preserve">was calculated as the percentage of quasi-sentences assigned to a particular dimension. Our case involves two types of saliency: territorial saliency (percentage related to the center-periphery dimension), and economic saliency (percentage related to the left–right dimension). Saliency scores are interpreted in relative terms rather than absolute ones, and the main focus is on the relative weight of territorial issues vis-à-vis economic ones. It is computed as the ratio between the saliency of economic and territorial dimensions. A value of 1 means that both dimensions are equally important to each other, a value greater than 1 refers to the relative importance of the economic dimension, and a value less than 1 indicates that the party gives more salience to the territorial dimension. </w:t>
      </w:r>
    </w:p>
    <w:p w14:paraId="18FD5CC5" w14:textId="77777777" w:rsidR="00964E96" w:rsidRPr="00964E96" w:rsidRDefault="00964E96" w:rsidP="00964E96">
      <w:pPr>
        <w:pBdr>
          <w:top w:val="nil"/>
          <w:left w:val="nil"/>
          <w:bottom w:val="nil"/>
          <w:right w:val="nil"/>
          <w:between w:val="nil"/>
          <w:bar w:val="nil"/>
        </w:pBdr>
        <w:spacing w:after="120" w:line="360" w:lineRule="auto"/>
        <w:ind w:firstLine="454"/>
        <w:jc w:val="both"/>
        <w:rPr>
          <w:rFonts w:ascii="Times New Roman" w:eastAsia="Times New Roman" w:hAnsi="Times New Roman" w:cs="Times New Roman"/>
          <w:color w:val="000000"/>
          <w:sz w:val="24"/>
          <w:szCs w:val="24"/>
          <w:u w:color="000000"/>
          <w:lang w:val="en-US" w:eastAsia="ru-RU"/>
          <w14:textOutline w14:w="0" w14:cap="flat" w14:cmpd="sng" w14:algn="ctr">
            <w14:noFill/>
            <w14:prstDash w14:val="solid"/>
            <w14:bevel/>
          </w14:textOutline>
        </w:rPr>
      </w:pPr>
      <w:r w:rsidRPr="00964E96">
        <w:rPr>
          <w:rFonts w:ascii="Times New Roman" w:eastAsia="Arial Unicode MS" w:hAnsi="Times New Roman" w:cs="Arial Unicode MS"/>
          <w:color w:val="000000"/>
          <w:sz w:val="24"/>
          <w:szCs w:val="24"/>
          <w:u w:color="000000"/>
          <w:lang w:val="en-US" w:eastAsia="ru-RU"/>
          <w14:textOutline w14:w="0" w14:cap="flat" w14:cmpd="sng" w14:algn="ctr">
            <w14:noFill/>
            <w14:prstDash w14:val="solid"/>
            <w14:bevel/>
          </w14:textOutline>
        </w:rPr>
        <w:t xml:space="preserve">The position was calculated by subtracting the percentages belonging to the opposite categories. It is calculated in the economic dimension and ranges from -100, meaning that the party stands exclusively on the economic left, to +100, meaning that the party positions itself strictly on </w:t>
      </w:r>
      <w:r w:rsidRPr="00964E96">
        <w:rPr>
          <w:rFonts w:ascii="Times New Roman" w:eastAsia="Arial Unicode MS" w:hAnsi="Times New Roman" w:cs="Arial Unicode MS"/>
          <w:color w:val="000000"/>
          <w:sz w:val="24"/>
          <w:szCs w:val="24"/>
          <w:u w:color="000000"/>
          <w:lang w:val="en-US" w:eastAsia="ru-RU"/>
          <w14:textOutline w14:w="0" w14:cap="flat" w14:cmpd="sng" w14:algn="ctr">
            <w14:noFill/>
            <w14:prstDash w14:val="solid"/>
            <w14:bevel/>
          </w14:textOutline>
        </w:rPr>
        <w:lastRenderedPageBreak/>
        <w:t>the economic right. The same logic applies to the territorial dimension (Alonso, Cabeza and Gomez 2015).</w:t>
      </w:r>
    </w:p>
    <w:p w14:paraId="4ADCA1BF" w14:textId="77777777" w:rsidR="00964E96" w:rsidRPr="00964E96" w:rsidRDefault="00964E96" w:rsidP="00964E96">
      <w:pPr>
        <w:pBdr>
          <w:top w:val="nil"/>
          <w:left w:val="nil"/>
          <w:bottom w:val="nil"/>
          <w:right w:val="nil"/>
          <w:between w:val="nil"/>
          <w:bar w:val="nil"/>
        </w:pBdr>
        <w:spacing w:after="120" w:line="360" w:lineRule="auto"/>
        <w:ind w:firstLine="454"/>
        <w:jc w:val="both"/>
        <w:rPr>
          <w:rFonts w:ascii="Times New Roman" w:eastAsia="Times New Roman" w:hAnsi="Times New Roman" w:cs="Times New Roman"/>
          <w:color w:val="000000"/>
          <w:sz w:val="24"/>
          <w:szCs w:val="24"/>
          <w:u w:color="000000"/>
          <w:lang w:val="en-US" w:eastAsia="ru-RU"/>
          <w14:textOutline w14:w="0" w14:cap="flat" w14:cmpd="sng" w14:algn="ctr">
            <w14:noFill/>
            <w14:prstDash w14:val="solid"/>
            <w14:bevel/>
          </w14:textOutline>
        </w:rPr>
      </w:pPr>
      <w:r w:rsidRPr="00964E96">
        <w:rPr>
          <w:rFonts w:ascii="Times New Roman" w:eastAsia="Arial Unicode MS" w:hAnsi="Times New Roman" w:cs="Arial Unicode MS"/>
          <w:color w:val="000000"/>
          <w:sz w:val="24"/>
          <w:szCs w:val="24"/>
          <w:u w:color="000000"/>
          <w:lang w:val="en-US" w:eastAsia="ru-RU"/>
          <w14:textOutline w14:w="0" w14:cap="flat" w14:cmpd="sng" w14:algn="ctr">
            <w14:noFill/>
            <w14:prstDash w14:val="solid"/>
            <w14:bevel/>
          </w14:textOutline>
        </w:rPr>
        <w:t>Positional blurring reflects the simultaneous presence of arguments regarding and against the same issue. It is calculated as the subtraction of pro-and-con arguments on both dimensions and then the division of this figure into absolute values by the total number of quasi-sentences assigned to the dimension. The operationalized range of positional blurring is from 1 for a completely clear position on the issue to 0 for a blurred position (Alonso, Cabeza and Gomez 2015).</w:t>
      </w:r>
    </w:p>
    <w:p w14:paraId="1B3DE866" w14:textId="0FAF345E" w:rsidR="00844066" w:rsidRPr="00964E96" w:rsidRDefault="00844066">
      <w:pPr>
        <w:rPr>
          <w:lang w:val="en-US"/>
        </w:rPr>
      </w:pPr>
    </w:p>
    <w:sectPr w:rsidR="00844066" w:rsidRPr="00964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96"/>
    <w:rsid w:val="00844066"/>
    <w:rsid w:val="0096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0523"/>
  <w15:chartTrackingRefBased/>
  <w15:docId w15:val="{F0155462-0058-4400-A585-F02E3CCB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1</cp:revision>
  <dcterms:created xsi:type="dcterms:W3CDTF">2023-02-02T16:32:00Z</dcterms:created>
  <dcterms:modified xsi:type="dcterms:W3CDTF">2023-02-02T16:33:00Z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f5640fa5-dea0-4a8a-9b9d-dfa10fb01dc6</vt:lpwstr>
  </property>
</Properties>
</file>