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000B" w14:textId="77777777" w:rsidR="00A675C5" w:rsidRPr="00B90540" w:rsidRDefault="00A675C5" w:rsidP="00A675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sz w:val="36"/>
          <w:szCs w:val="24"/>
        </w:rPr>
      </w:pPr>
      <w:r w:rsidRPr="00B90540">
        <w:rPr>
          <w:rFonts w:ascii="Times New Roman" w:hAnsi="Times New Roman" w:cs="Times New Roman"/>
          <w:sz w:val="36"/>
          <w:szCs w:val="24"/>
        </w:rPr>
        <w:t xml:space="preserve">Twisted </w:t>
      </w:r>
      <w:proofErr w:type="spellStart"/>
      <w:r>
        <w:rPr>
          <w:rFonts w:ascii="Times New Roman" w:hAnsi="Times New Roman" w:cs="Times New Roman"/>
          <w:sz w:val="36"/>
          <w:szCs w:val="24"/>
        </w:rPr>
        <w:t>H</w:t>
      </w:r>
      <w:r w:rsidRPr="00B90540">
        <w:rPr>
          <w:rFonts w:ascii="Times New Roman" w:hAnsi="Times New Roman" w:cs="Times New Roman"/>
          <w:sz w:val="36"/>
          <w:szCs w:val="24"/>
        </w:rPr>
        <w:t>andaxes</w:t>
      </w:r>
      <w:proofErr w:type="spellEnd"/>
      <w:r w:rsidRPr="00B90540">
        <w:rPr>
          <w:rFonts w:ascii="Times New Roman" w:hAnsi="Times New Roman" w:cs="Times New Roman"/>
          <w:sz w:val="36"/>
          <w:szCs w:val="24"/>
        </w:rPr>
        <w:t xml:space="preserve"> in Middle Pleistocene Britain and their </w:t>
      </w:r>
      <w:r>
        <w:rPr>
          <w:rFonts w:ascii="Times New Roman" w:hAnsi="Times New Roman" w:cs="Times New Roman"/>
          <w:sz w:val="36"/>
          <w:szCs w:val="24"/>
        </w:rPr>
        <w:t>I</w:t>
      </w:r>
      <w:r w:rsidRPr="00B90540">
        <w:rPr>
          <w:rFonts w:ascii="Times New Roman" w:hAnsi="Times New Roman" w:cs="Times New Roman"/>
          <w:sz w:val="36"/>
          <w:szCs w:val="24"/>
        </w:rPr>
        <w:t xml:space="preserve">mplications for </w:t>
      </w:r>
      <w:r>
        <w:rPr>
          <w:rFonts w:ascii="Times New Roman" w:hAnsi="Times New Roman" w:cs="Times New Roman"/>
          <w:sz w:val="36"/>
          <w:szCs w:val="24"/>
        </w:rPr>
        <w:t>R</w:t>
      </w:r>
      <w:r w:rsidRPr="00B90540">
        <w:rPr>
          <w:rFonts w:ascii="Times New Roman" w:hAnsi="Times New Roman" w:cs="Times New Roman"/>
          <w:sz w:val="36"/>
          <w:szCs w:val="24"/>
        </w:rPr>
        <w:t xml:space="preserve">egional-scale </w:t>
      </w:r>
      <w:r>
        <w:rPr>
          <w:rFonts w:ascii="Times New Roman" w:hAnsi="Times New Roman" w:cs="Times New Roman"/>
          <w:sz w:val="36"/>
          <w:szCs w:val="24"/>
        </w:rPr>
        <w:t>C</w:t>
      </w:r>
      <w:r w:rsidRPr="00B90540">
        <w:rPr>
          <w:rFonts w:ascii="Times New Roman" w:hAnsi="Times New Roman" w:cs="Times New Roman"/>
          <w:sz w:val="36"/>
          <w:szCs w:val="24"/>
        </w:rPr>
        <w:t xml:space="preserve">ultural </w:t>
      </w:r>
      <w:r>
        <w:rPr>
          <w:rFonts w:ascii="Times New Roman" w:hAnsi="Times New Roman" w:cs="Times New Roman"/>
          <w:sz w:val="36"/>
          <w:szCs w:val="24"/>
        </w:rPr>
        <w:t>V</w:t>
      </w:r>
      <w:r w:rsidRPr="00B90540">
        <w:rPr>
          <w:rFonts w:ascii="Times New Roman" w:hAnsi="Times New Roman" w:cs="Times New Roman"/>
          <w:sz w:val="36"/>
          <w:szCs w:val="24"/>
        </w:rPr>
        <w:t>ariation and the Deep History of Acheulean Hominin Groups</w:t>
      </w:r>
    </w:p>
    <w:p w14:paraId="49848F6C" w14:textId="77777777" w:rsidR="00A675C5" w:rsidRPr="00B90540" w:rsidRDefault="00A675C5" w:rsidP="00A675C5">
      <w:pPr>
        <w:tabs>
          <w:tab w:val="left" w:pos="720"/>
          <w:tab w:val="left" w:pos="1440"/>
          <w:tab w:val="left" w:pos="2160"/>
          <w:tab w:val="left" w:pos="2880"/>
          <w:tab w:val="left" w:pos="3600"/>
          <w:tab w:val="left" w:pos="4320"/>
        </w:tabs>
        <w:ind w:firstLine="720"/>
        <w:rPr>
          <w:rFonts w:ascii="Times New Roman" w:hAnsi="Times New Roman" w:cs="Times New Roman"/>
          <w:sz w:val="24"/>
          <w:szCs w:val="24"/>
        </w:rPr>
      </w:pPr>
    </w:p>
    <w:p w14:paraId="7D7EEB83" w14:textId="2D71A3AD" w:rsidR="00A675C5" w:rsidRPr="001162BE" w:rsidRDefault="00A675C5" w:rsidP="00A675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sz w:val="24"/>
          <w:szCs w:val="24"/>
          <w:vertAlign w:val="superscript"/>
        </w:rPr>
      </w:pPr>
      <w:r w:rsidRPr="001162BE">
        <w:rPr>
          <w:rFonts w:ascii="Times New Roman" w:hAnsi="Times New Roman" w:cs="Times New Roman"/>
          <w:i/>
          <w:sz w:val="24"/>
          <w:szCs w:val="24"/>
        </w:rPr>
        <w:t>By</w:t>
      </w:r>
      <w:r w:rsidRPr="001162BE">
        <w:rPr>
          <w:rFonts w:ascii="Times New Roman" w:hAnsi="Times New Roman" w:cs="Times New Roman"/>
          <w:sz w:val="24"/>
          <w:szCs w:val="24"/>
        </w:rPr>
        <w:t xml:space="preserve"> MARK WHITE, NICK ASHTON, </w:t>
      </w:r>
      <w:r w:rsidRPr="001162BE">
        <w:rPr>
          <w:rFonts w:ascii="Times New Roman" w:hAnsi="Times New Roman" w:cs="Times New Roman"/>
          <w:i/>
          <w:sz w:val="24"/>
          <w:szCs w:val="24"/>
        </w:rPr>
        <w:t>and</w:t>
      </w:r>
      <w:r w:rsidRPr="001162BE">
        <w:rPr>
          <w:rFonts w:ascii="Times New Roman" w:hAnsi="Times New Roman" w:cs="Times New Roman"/>
          <w:sz w:val="24"/>
          <w:szCs w:val="24"/>
        </w:rPr>
        <w:t xml:space="preserve"> DAVID BRIDGLAND</w:t>
      </w:r>
    </w:p>
    <w:p w14:paraId="00D806E3" w14:textId="7BA0F717" w:rsidR="004F539B" w:rsidRDefault="004F539B" w:rsidP="00A675C5">
      <w:pPr>
        <w:tabs>
          <w:tab w:val="left" w:pos="720"/>
          <w:tab w:val="left" w:pos="1440"/>
          <w:tab w:val="left" w:pos="2160"/>
          <w:tab w:val="left" w:pos="2880"/>
          <w:tab w:val="left" w:pos="3600"/>
          <w:tab w:val="left" w:pos="4320"/>
        </w:tabs>
        <w:ind w:firstLine="720"/>
        <w:jc w:val="both"/>
        <w:rPr>
          <w:rFonts w:ascii="Palatino Linotype" w:hAnsi="Palatino Linotype" w:cs="Times New Roman"/>
          <w:color w:val="000000" w:themeColor="text1"/>
        </w:rPr>
      </w:pPr>
    </w:p>
    <w:p w14:paraId="693425FD" w14:textId="10A245D6" w:rsidR="00A675C5" w:rsidRDefault="00A675C5" w:rsidP="00A675C5">
      <w:pPr>
        <w:tabs>
          <w:tab w:val="left" w:pos="720"/>
          <w:tab w:val="left" w:pos="1440"/>
          <w:tab w:val="left" w:pos="2160"/>
          <w:tab w:val="left" w:pos="2880"/>
          <w:tab w:val="left" w:pos="3600"/>
          <w:tab w:val="left" w:pos="4320"/>
        </w:tabs>
        <w:ind w:firstLine="720"/>
        <w:jc w:val="both"/>
        <w:rPr>
          <w:rFonts w:ascii="Palatino Linotype" w:hAnsi="Palatino Linotype" w:cs="Times New Roman"/>
          <w:color w:val="000000" w:themeColor="text1"/>
        </w:rPr>
      </w:pPr>
    </w:p>
    <w:p w14:paraId="3C5DDDF0" w14:textId="5FFDA4E0" w:rsidR="00A675C5" w:rsidRPr="00A675C5" w:rsidRDefault="00A675C5" w:rsidP="00A675C5">
      <w:pPr>
        <w:tabs>
          <w:tab w:val="left" w:pos="720"/>
          <w:tab w:val="left" w:pos="1440"/>
          <w:tab w:val="left" w:pos="2160"/>
          <w:tab w:val="left" w:pos="2880"/>
          <w:tab w:val="left" w:pos="3600"/>
          <w:tab w:val="left" w:pos="4320"/>
        </w:tabs>
        <w:jc w:val="center"/>
        <w:rPr>
          <w:rFonts w:ascii="Palatino Linotype" w:hAnsi="Palatino Linotype" w:cs="Times New Roman"/>
          <w:color w:val="000000" w:themeColor="text1"/>
        </w:rPr>
      </w:pPr>
      <w:r>
        <w:rPr>
          <w:rFonts w:ascii="Palatino Linotype" w:hAnsi="Palatino Linotype" w:cs="Times New Roman"/>
          <w:color w:val="000000" w:themeColor="text1"/>
        </w:rPr>
        <w:t xml:space="preserve">APPENDIX S1: </w:t>
      </w:r>
      <w:r w:rsidRPr="00A675C5">
        <w:rPr>
          <w:rFonts w:ascii="Palatino Linotype" w:hAnsi="Palatino Linotype" w:cs="Times New Roman"/>
          <w:color w:val="000000" w:themeColor="text1"/>
        </w:rPr>
        <w:t xml:space="preserve">HANDAXE MORPHOMETRICS </w:t>
      </w:r>
      <w:r>
        <w:rPr>
          <w:rFonts w:ascii="Palatino Linotype" w:hAnsi="Palatino Linotype" w:cs="Times New Roman"/>
          <w:color w:val="000000" w:themeColor="text1"/>
        </w:rPr>
        <w:t>&amp;</w:t>
      </w:r>
      <w:r w:rsidRPr="00A675C5">
        <w:rPr>
          <w:rFonts w:ascii="Palatino Linotype" w:hAnsi="Palatino Linotype" w:cs="Times New Roman"/>
          <w:color w:val="000000" w:themeColor="text1"/>
        </w:rPr>
        <w:t xml:space="preserve"> TECHNOLOGY</w:t>
      </w:r>
    </w:p>
    <w:p w14:paraId="777E6544" w14:textId="77777777" w:rsidR="00A675C5" w:rsidRDefault="00A675C5" w:rsidP="00A675C5">
      <w:pPr>
        <w:tabs>
          <w:tab w:val="left" w:pos="720"/>
          <w:tab w:val="left" w:pos="1440"/>
          <w:tab w:val="left" w:pos="2160"/>
          <w:tab w:val="left" w:pos="2880"/>
          <w:tab w:val="left" w:pos="3600"/>
          <w:tab w:val="left" w:pos="4320"/>
        </w:tabs>
        <w:jc w:val="both"/>
        <w:rPr>
          <w:rFonts w:ascii="Palatino Linotype" w:hAnsi="Palatino Linotype" w:cs="Times New Roman"/>
          <w:color w:val="000000" w:themeColor="text1"/>
        </w:rPr>
      </w:pPr>
    </w:p>
    <w:p w14:paraId="24C6B7ED" w14:textId="1626BBF8" w:rsidR="00AB733E" w:rsidRPr="007424B0" w:rsidRDefault="00AB733E" w:rsidP="00A675C5">
      <w:pPr>
        <w:tabs>
          <w:tab w:val="left" w:pos="720"/>
          <w:tab w:val="left" w:pos="1440"/>
          <w:tab w:val="left" w:pos="2160"/>
          <w:tab w:val="left" w:pos="2880"/>
          <w:tab w:val="left" w:pos="3600"/>
          <w:tab w:val="left" w:pos="4320"/>
        </w:tabs>
        <w:jc w:val="both"/>
        <w:rPr>
          <w:rFonts w:ascii="Palatino Linotype" w:hAnsi="Palatino Linotype" w:cs="Times New Roman"/>
          <w:color w:val="000000" w:themeColor="text1"/>
        </w:rPr>
      </w:pPr>
      <w:r w:rsidRPr="00A675C5">
        <w:rPr>
          <w:rFonts w:ascii="Palatino Linotype" w:hAnsi="Palatino Linotype" w:cs="Times New Roman"/>
          <w:color w:val="000000" w:themeColor="text1"/>
        </w:rPr>
        <w:t xml:space="preserve">White (1998a) considered whether twisted </w:t>
      </w:r>
      <w:proofErr w:type="spellStart"/>
      <w:r w:rsidRPr="00A675C5">
        <w:rPr>
          <w:rFonts w:ascii="Palatino Linotype" w:hAnsi="Palatino Linotype" w:cs="Times New Roman"/>
          <w:color w:val="000000" w:themeColor="text1"/>
        </w:rPr>
        <w:t>ovates</w:t>
      </w:r>
      <w:proofErr w:type="spellEnd"/>
      <w:r w:rsidRPr="00A675C5">
        <w:rPr>
          <w:rFonts w:ascii="Palatino Linotype" w:hAnsi="Palatino Linotype" w:cs="Times New Roman"/>
          <w:color w:val="000000" w:themeColor="text1"/>
        </w:rPr>
        <w:t xml:space="preserve"> and </w:t>
      </w:r>
      <w:proofErr w:type="spellStart"/>
      <w:r w:rsidRPr="00A675C5">
        <w:rPr>
          <w:rFonts w:ascii="Palatino Linotype" w:hAnsi="Palatino Linotype" w:cs="Times New Roman"/>
          <w:color w:val="000000" w:themeColor="text1"/>
        </w:rPr>
        <w:t>cordates</w:t>
      </w:r>
      <w:proofErr w:type="spellEnd"/>
      <w:r w:rsidRPr="00A675C5">
        <w:rPr>
          <w:rFonts w:ascii="Palatino Linotype" w:hAnsi="Palatino Linotype" w:cs="Times New Roman"/>
          <w:color w:val="000000" w:themeColor="text1"/>
        </w:rPr>
        <w:t xml:space="preserve"> represented </w:t>
      </w:r>
      <w:proofErr w:type="spellStart"/>
      <w:r w:rsidRPr="00A675C5">
        <w:rPr>
          <w:rFonts w:ascii="Palatino Linotype" w:hAnsi="Palatino Linotype" w:cs="Times New Roman"/>
          <w:color w:val="000000" w:themeColor="text1"/>
        </w:rPr>
        <w:t>resharpened</w:t>
      </w:r>
      <w:proofErr w:type="spellEnd"/>
      <w:r w:rsidRPr="00A675C5">
        <w:rPr>
          <w:rFonts w:ascii="Palatino Linotype" w:hAnsi="Palatino Linotype" w:cs="Times New Roman"/>
          <w:color w:val="000000" w:themeColor="text1"/>
        </w:rPr>
        <w:t xml:space="preserve"> expressions of non-</w:t>
      </w:r>
      <w:r w:rsidRPr="007424B0">
        <w:rPr>
          <w:rFonts w:ascii="Palatino Linotype" w:hAnsi="Palatino Linotype" w:cs="Times New Roman"/>
          <w:color w:val="000000" w:themeColor="text1"/>
        </w:rPr>
        <w:t xml:space="preserve">twisted ovates, a possibility suggested by the work of Shannon </w:t>
      </w:r>
      <w:proofErr w:type="spellStart"/>
      <w:r w:rsidRPr="007424B0">
        <w:rPr>
          <w:rFonts w:ascii="Palatino Linotype" w:hAnsi="Palatino Linotype" w:cs="Times New Roman"/>
          <w:color w:val="000000" w:themeColor="text1"/>
        </w:rPr>
        <w:t>McPherron</w:t>
      </w:r>
      <w:proofErr w:type="spellEnd"/>
      <w:r w:rsidRPr="007424B0">
        <w:rPr>
          <w:rFonts w:ascii="Palatino Linotype" w:hAnsi="Palatino Linotype" w:cs="Times New Roman"/>
          <w:color w:val="000000" w:themeColor="text1"/>
        </w:rPr>
        <w:t xml:space="preserve"> (</w:t>
      </w:r>
      <w:proofErr w:type="spellStart"/>
      <w:r w:rsidRPr="007424B0">
        <w:rPr>
          <w:rFonts w:ascii="Palatino Linotype" w:hAnsi="Palatino Linotype" w:cs="Times New Roman"/>
          <w:color w:val="000000" w:themeColor="text1"/>
        </w:rPr>
        <w:t>eg</w:t>
      </w:r>
      <w:proofErr w:type="spellEnd"/>
      <w:r w:rsidRPr="007424B0">
        <w:rPr>
          <w:rFonts w:ascii="Palatino Linotype" w:hAnsi="Palatino Linotype" w:cs="Times New Roman"/>
          <w:color w:val="000000" w:themeColor="text1"/>
        </w:rPr>
        <w:t xml:space="preserve">, 1994). Two factors were explored: the need for economy in raw material use and </w:t>
      </w:r>
      <w:proofErr w:type="spellStart"/>
      <w:r w:rsidRPr="007424B0">
        <w:rPr>
          <w:rFonts w:ascii="Palatino Linotype" w:hAnsi="Palatino Linotype" w:cs="Times New Roman"/>
          <w:color w:val="000000" w:themeColor="text1"/>
        </w:rPr>
        <w:t>handaxe</w:t>
      </w:r>
      <w:proofErr w:type="spellEnd"/>
      <w:r w:rsidRPr="007424B0">
        <w:rPr>
          <w:rFonts w:ascii="Palatino Linotype" w:hAnsi="Palatino Linotype" w:cs="Times New Roman"/>
          <w:color w:val="000000" w:themeColor="text1"/>
        </w:rPr>
        <w:t xml:space="preserve"> morphometrics.</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 xml:space="preserve">Careful selection and edge maintenance of flat flint blanks has been used to explain the unique series of plano-convex ‘slipper-shaped’ handaxes from Wolvercote, in the flint-poor Upper Thames Valley (Ashton 2001). Similarly, the reformatting of </w:t>
      </w:r>
      <w:proofErr w:type="spellStart"/>
      <w:r w:rsidRPr="007424B0">
        <w:rPr>
          <w:rFonts w:ascii="Palatino Linotype" w:hAnsi="Palatino Linotype" w:cs="Times New Roman"/>
          <w:color w:val="000000" w:themeColor="text1"/>
        </w:rPr>
        <w:t>ovates</w:t>
      </w:r>
      <w:proofErr w:type="spellEnd"/>
      <w:r w:rsidRPr="007424B0">
        <w:rPr>
          <w:rFonts w:ascii="Palatino Linotype" w:hAnsi="Palatino Linotype" w:cs="Times New Roman"/>
          <w:color w:val="000000" w:themeColor="text1"/>
        </w:rPr>
        <w:t xml:space="preserve"> with </w:t>
      </w:r>
      <w:proofErr w:type="spellStart"/>
      <w:r w:rsidRPr="007424B0">
        <w:rPr>
          <w:rFonts w:ascii="Palatino Linotype" w:hAnsi="Palatino Linotype" w:cs="Times New Roman"/>
          <w:color w:val="000000" w:themeColor="text1"/>
        </w:rPr>
        <w:t>tranchet</w:t>
      </w:r>
      <w:proofErr w:type="spellEnd"/>
      <w:r w:rsidRPr="007424B0">
        <w:rPr>
          <w:rFonts w:ascii="Palatino Linotype" w:hAnsi="Palatino Linotype" w:cs="Times New Roman"/>
          <w:color w:val="000000" w:themeColor="text1"/>
        </w:rPr>
        <w:t xml:space="preserve"> removals was used to account for the higher frequency of cleavers in assemblages belonging to Roe’s Group I, most coming from sites where river cobbles formed the principle source of raw materials (White 2006).</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Most twisted ovate sites, however, are situated in flint-rich areas such as the Lower Thames and East Anglia where, even if a source of flint was not immediately available, transport distances would have been negligible.</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 xml:space="preserve">No common geographical or environmental factor can be identified that might have encouraged hominins to extend the life of their tools in this way at these sites. </w:t>
      </w:r>
    </w:p>
    <w:p w14:paraId="47976206" w14:textId="0E9385E8" w:rsidR="00AB733E" w:rsidRPr="007424B0" w:rsidRDefault="00AB733E" w:rsidP="00A675C5">
      <w:pPr>
        <w:tabs>
          <w:tab w:val="left" w:pos="720"/>
          <w:tab w:val="left" w:pos="1440"/>
          <w:tab w:val="left" w:pos="2160"/>
          <w:tab w:val="left" w:pos="2880"/>
          <w:tab w:val="left" w:pos="3600"/>
          <w:tab w:val="left" w:pos="4320"/>
        </w:tabs>
        <w:ind w:firstLine="720"/>
        <w:jc w:val="both"/>
        <w:rPr>
          <w:rFonts w:ascii="Palatino Linotype" w:hAnsi="Palatino Linotype" w:cs="Times New Roman"/>
          <w:color w:val="000000" w:themeColor="text1"/>
        </w:rPr>
      </w:pPr>
      <w:r w:rsidRPr="007424B0">
        <w:rPr>
          <w:rFonts w:ascii="Palatino Linotype" w:hAnsi="Palatino Linotype" w:cs="Times New Roman"/>
          <w:color w:val="000000" w:themeColor="text1"/>
        </w:rPr>
        <w:t xml:space="preserve">To demonstrate unequivocally whether twisted handaxes were or were not </w:t>
      </w:r>
      <w:proofErr w:type="spellStart"/>
      <w:r w:rsidRPr="007424B0">
        <w:rPr>
          <w:rFonts w:ascii="Palatino Linotype" w:hAnsi="Palatino Linotype" w:cs="Times New Roman"/>
          <w:color w:val="000000" w:themeColor="text1"/>
        </w:rPr>
        <w:t>resharpened</w:t>
      </w:r>
      <w:proofErr w:type="spellEnd"/>
      <w:r w:rsidRPr="007424B0">
        <w:rPr>
          <w:rFonts w:ascii="Palatino Linotype" w:hAnsi="Palatino Linotype" w:cs="Times New Roman"/>
          <w:color w:val="000000" w:themeColor="text1"/>
        </w:rPr>
        <w:t xml:space="preserve"> would require the refitting of sequences not yet recovered from the record. In their absence, handaxe morphometrics and technology provide the only viable proxies.</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 xml:space="preserve">If twisted </w:t>
      </w:r>
      <w:proofErr w:type="spellStart"/>
      <w:r w:rsidRPr="007424B0">
        <w:rPr>
          <w:rFonts w:ascii="Palatino Linotype" w:hAnsi="Palatino Linotype" w:cs="Times New Roman"/>
          <w:color w:val="000000" w:themeColor="text1"/>
        </w:rPr>
        <w:t>ovates</w:t>
      </w:r>
      <w:proofErr w:type="spellEnd"/>
      <w:r w:rsidRPr="007424B0">
        <w:rPr>
          <w:rFonts w:ascii="Palatino Linotype" w:hAnsi="Palatino Linotype" w:cs="Times New Roman"/>
          <w:color w:val="000000" w:themeColor="text1"/>
        </w:rPr>
        <w:t xml:space="preserve"> and twisted </w:t>
      </w:r>
      <w:proofErr w:type="spellStart"/>
      <w:r w:rsidRPr="007424B0">
        <w:rPr>
          <w:rFonts w:ascii="Palatino Linotype" w:hAnsi="Palatino Linotype" w:cs="Times New Roman"/>
          <w:color w:val="000000" w:themeColor="text1"/>
        </w:rPr>
        <w:t>cordates</w:t>
      </w:r>
      <w:proofErr w:type="spellEnd"/>
      <w:r w:rsidRPr="007424B0">
        <w:rPr>
          <w:rFonts w:ascii="Palatino Linotype" w:hAnsi="Palatino Linotype" w:cs="Times New Roman"/>
          <w:color w:val="000000" w:themeColor="text1"/>
        </w:rPr>
        <w:t xml:space="preserve"> were </w:t>
      </w:r>
      <w:proofErr w:type="spellStart"/>
      <w:r w:rsidRPr="007424B0">
        <w:rPr>
          <w:rFonts w:ascii="Palatino Linotype" w:hAnsi="Palatino Linotype" w:cs="Times New Roman"/>
          <w:color w:val="000000" w:themeColor="text1"/>
        </w:rPr>
        <w:t>resharpened</w:t>
      </w:r>
      <w:proofErr w:type="spellEnd"/>
      <w:r w:rsidRPr="007424B0">
        <w:rPr>
          <w:rFonts w:ascii="Palatino Linotype" w:hAnsi="Palatino Linotype" w:cs="Times New Roman"/>
          <w:color w:val="000000" w:themeColor="text1"/>
        </w:rPr>
        <w:t xml:space="preserve"> variants of non-twisted </w:t>
      </w:r>
      <w:proofErr w:type="spellStart"/>
      <w:r w:rsidRPr="007424B0">
        <w:rPr>
          <w:rFonts w:ascii="Palatino Linotype" w:hAnsi="Palatino Linotype" w:cs="Times New Roman"/>
          <w:color w:val="000000" w:themeColor="text1"/>
        </w:rPr>
        <w:t>ovates</w:t>
      </w:r>
      <w:proofErr w:type="spellEnd"/>
      <w:r w:rsidR="004F539B" w:rsidRPr="007424B0">
        <w:rPr>
          <w:rFonts w:ascii="Palatino Linotype" w:hAnsi="Palatino Linotype" w:cs="Times New Roman"/>
          <w:color w:val="000000" w:themeColor="text1"/>
        </w:rPr>
        <w:t xml:space="preserve"> and </w:t>
      </w:r>
      <w:proofErr w:type="spellStart"/>
      <w:r w:rsidR="004F539B" w:rsidRPr="007424B0">
        <w:rPr>
          <w:rFonts w:ascii="Palatino Linotype" w:hAnsi="Palatino Linotype" w:cs="Times New Roman"/>
          <w:color w:val="000000" w:themeColor="text1"/>
        </w:rPr>
        <w:t>cordates</w:t>
      </w:r>
      <w:proofErr w:type="spellEnd"/>
      <w:r w:rsidRPr="007424B0">
        <w:rPr>
          <w:rFonts w:ascii="Palatino Linotype" w:hAnsi="Palatino Linotype" w:cs="Times New Roman"/>
          <w:color w:val="000000" w:themeColor="text1"/>
        </w:rPr>
        <w:t>, then we might reasonably expect them to show evidence of greater reduction intensity, in the form of more flake scars and less cortex.</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 xml:space="preserve">We might also expect </w:t>
      </w:r>
      <w:r w:rsidR="008A2FF3" w:rsidRPr="007424B0">
        <w:rPr>
          <w:rFonts w:ascii="Palatino Linotype" w:hAnsi="Palatino Linotype" w:cs="Times New Roman"/>
          <w:color w:val="000000" w:themeColor="text1"/>
        </w:rPr>
        <w:t xml:space="preserve">morpho-metrical differences. </w:t>
      </w:r>
      <w:r w:rsidRPr="007424B0">
        <w:rPr>
          <w:rFonts w:ascii="Palatino Linotype" w:hAnsi="Palatino Linotype" w:cs="Times New Roman"/>
          <w:color w:val="000000" w:themeColor="text1"/>
        </w:rPr>
        <w:t xml:space="preserve">For example, as the imposition of twisted edges demonstrably involved removing flakes from the margins of the handaxe, rather than the tip or the butt, any resharpening should cause the width to decrease faster than length, leading to an increase in elongation (width/length) and relatively narrower </w:t>
      </w:r>
      <w:proofErr w:type="spellStart"/>
      <w:r w:rsidRPr="007424B0">
        <w:rPr>
          <w:rFonts w:ascii="Palatino Linotype" w:hAnsi="Palatino Linotype" w:cs="Times New Roman"/>
          <w:color w:val="000000" w:themeColor="text1"/>
        </w:rPr>
        <w:t>handaxes</w:t>
      </w:r>
      <w:proofErr w:type="spellEnd"/>
      <w:r w:rsidRPr="007424B0">
        <w:rPr>
          <w:rFonts w:ascii="Palatino Linotype" w:hAnsi="Palatino Linotype" w:cs="Times New Roman"/>
          <w:color w:val="000000" w:themeColor="text1"/>
        </w:rPr>
        <w:t>.</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 xml:space="preserve">Refinement (thickness/width) would be similarly affected by the reduction in width, probably decreasing as width was reduced faster than thickness, although the reverse may also apply. All of this assumes, of course, that hominins did not consciously maintain the shape of a </w:t>
      </w:r>
      <w:proofErr w:type="spellStart"/>
      <w:r w:rsidRPr="007424B0">
        <w:rPr>
          <w:rFonts w:ascii="Palatino Linotype" w:hAnsi="Palatino Linotype" w:cs="Times New Roman"/>
          <w:color w:val="000000" w:themeColor="text1"/>
        </w:rPr>
        <w:t>handaxe</w:t>
      </w:r>
      <w:proofErr w:type="spellEnd"/>
      <w:r w:rsidRPr="007424B0">
        <w:rPr>
          <w:rFonts w:ascii="Palatino Linotype" w:hAnsi="Palatino Linotype" w:cs="Times New Roman"/>
          <w:color w:val="000000" w:themeColor="text1"/>
        </w:rPr>
        <w:t xml:space="preserve"> as they </w:t>
      </w:r>
      <w:proofErr w:type="spellStart"/>
      <w:r w:rsidRPr="007424B0">
        <w:rPr>
          <w:rFonts w:ascii="Palatino Linotype" w:hAnsi="Palatino Linotype" w:cs="Times New Roman"/>
          <w:color w:val="000000" w:themeColor="text1"/>
        </w:rPr>
        <w:t>resharpened</w:t>
      </w:r>
      <w:proofErr w:type="spellEnd"/>
      <w:r w:rsidRPr="007424B0">
        <w:rPr>
          <w:rFonts w:ascii="Palatino Linotype" w:hAnsi="Palatino Linotype" w:cs="Times New Roman"/>
          <w:color w:val="000000" w:themeColor="text1"/>
        </w:rPr>
        <w:t xml:space="preserve"> it. </w:t>
      </w:r>
    </w:p>
    <w:p w14:paraId="15985860" w14:textId="3F2E41E8" w:rsidR="00AB733E" w:rsidRPr="00A675C5" w:rsidRDefault="00AB733E" w:rsidP="00A675C5">
      <w:pPr>
        <w:tabs>
          <w:tab w:val="left" w:pos="720"/>
          <w:tab w:val="left" w:pos="1440"/>
          <w:tab w:val="left" w:pos="2160"/>
          <w:tab w:val="left" w:pos="2880"/>
          <w:tab w:val="left" w:pos="3600"/>
          <w:tab w:val="left" w:pos="4320"/>
        </w:tabs>
        <w:ind w:firstLine="720"/>
        <w:jc w:val="both"/>
        <w:rPr>
          <w:rFonts w:ascii="Palatino Linotype" w:hAnsi="Palatino Linotype" w:cs="Times New Roman"/>
          <w:color w:val="000000" w:themeColor="text1"/>
        </w:rPr>
      </w:pPr>
      <w:r w:rsidRPr="007424B0">
        <w:rPr>
          <w:rFonts w:ascii="Palatino Linotype" w:hAnsi="Palatino Linotype" w:cs="Times New Roman"/>
          <w:color w:val="000000" w:themeColor="text1"/>
        </w:rPr>
        <w:t xml:space="preserve">Table </w:t>
      </w:r>
      <w:r w:rsidR="00A675C5" w:rsidRPr="007424B0">
        <w:rPr>
          <w:rFonts w:ascii="Palatino Linotype" w:hAnsi="Palatino Linotype" w:cs="Times New Roman"/>
          <w:color w:val="000000" w:themeColor="text1"/>
        </w:rPr>
        <w:t>S</w:t>
      </w:r>
      <w:r w:rsidRPr="007424B0">
        <w:rPr>
          <w:rFonts w:ascii="Palatino Linotype" w:hAnsi="Palatino Linotype" w:cs="Times New Roman"/>
          <w:color w:val="000000" w:themeColor="text1"/>
        </w:rPr>
        <w:t>1 shows data for length, width, thickness, scar count, elongation</w:t>
      </w:r>
      <w:r w:rsidR="001161B7" w:rsidRPr="007424B0">
        <w:rPr>
          <w:rFonts w:ascii="Palatino Linotype" w:hAnsi="Palatino Linotype" w:cs="Times New Roman"/>
          <w:color w:val="000000" w:themeColor="text1"/>
        </w:rPr>
        <w:t>,</w:t>
      </w:r>
      <w:r w:rsidRPr="007424B0">
        <w:rPr>
          <w:rFonts w:ascii="Palatino Linotype" w:hAnsi="Palatino Linotype" w:cs="Times New Roman"/>
          <w:color w:val="000000" w:themeColor="text1"/>
        </w:rPr>
        <w:t xml:space="preserve"> and refinement for twisted and non-twisted ovates from five key assemblages from East Anglia and the Thames Valley.</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 xml:space="preserve">At face value, some would seem to conform to a reduction trajectory </w:t>
      </w:r>
      <w:proofErr w:type="gramStart"/>
      <w:r w:rsidRPr="007424B0">
        <w:rPr>
          <w:rFonts w:ascii="Palatino Linotype" w:hAnsi="Palatino Linotype" w:cs="Times New Roman"/>
          <w:color w:val="000000" w:themeColor="text1"/>
        </w:rPr>
        <w:t>similar to</w:t>
      </w:r>
      <w:proofErr w:type="gramEnd"/>
      <w:r w:rsidRPr="007424B0">
        <w:rPr>
          <w:rFonts w:ascii="Palatino Linotype" w:hAnsi="Palatino Linotype" w:cs="Times New Roman"/>
          <w:color w:val="000000" w:themeColor="text1"/>
        </w:rPr>
        <w:t xml:space="preserve"> that outlined above, twisted ovates generally being smaller and more heavily worked, although the East Anglian sites show that handaxes with twists are less elongated than those without, contrary to </w:t>
      </w:r>
      <w:r w:rsidR="00347856" w:rsidRPr="007424B0">
        <w:rPr>
          <w:rFonts w:ascii="Palatino Linotype" w:hAnsi="Palatino Linotype" w:cs="Times New Roman"/>
          <w:color w:val="000000" w:themeColor="text1"/>
        </w:rPr>
        <w:t>the type of predictions outlined above</w:t>
      </w:r>
      <w:r w:rsidRPr="007424B0">
        <w:rPr>
          <w:rFonts w:ascii="Palatino Linotype" w:hAnsi="Palatino Linotype" w:cs="Times New Roman"/>
          <w:color w:val="000000" w:themeColor="text1"/>
        </w:rPr>
        <w:t>.</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 xml:space="preserve">However, pairwise students t-tests produced few significant differences, providing little reason to conclude that twisted ovates were the result of </w:t>
      </w:r>
      <w:proofErr w:type="spellStart"/>
      <w:r w:rsidRPr="007424B0">
        <w:rPr>
          <w:rFonts w:ascii="Palatino Linotype" w:hAnsi="Palatino Linotype" w:cs="Times New Roman"/>
          <w:color w:val="000000" w:themeColor="text1"/>
        </w:rPr>
        <w:t>resharpening</w:t>
      </w:r>
      <w:proofErr w:type="spellEnd"/>
      <w:r w:rsidRPr="007424B0">
        <w:rPr>
          <w:rFonts w:ascii="Palatino Linotype" w:hAnsi="Palatino Linotype" w:cs="Times New Roman"/>
          <w:color w:val="000000" w:themeColor="text1"/>
        </w:rPr>
        <w:t xml:space="preserve"> (Table </w:t>
      </w:r>
      <w:r w:rsidR="00A675C5" w:rsidRPr="007424B0">
        <w:rPr>
          <w:rFonts w:ascii="Palatino Linotype" w:hAnsi="Palatino Linotype" w:cs="Times New Roman"/>
          <w:color w:val="000000" w:themeColor="text1"/>
        </w:rPr>
        <w:t>S</w:t>
      </w:r>
      <w:r w:rsidRPr="007424B0">
        <w:rPr>
          <w:rFonts w:ascii="Palatino Linotype" w:hAnsi="Palatino Linotype" w:cs="Times New Roman"/>
          <w:color w:val="000000" w:themeColor="text1"/>
        </w:rPr>
        <w:t>1) rather than just part of the normal variation in size and working intensity at each site.</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No significant differences were found at Elveden or Wansunt, while the single significant result from Bowman’s Lodge (a continuation of the same Dartford Heath deposits as Wansunt and only metres away on the other side of the Penton Road) is probably just the result of a sampling issue.</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 xml:space="preserve">While all sites do show higher scar counts on twisted ovates, this is statistically significant only at Foxhall Road and at Hitchin, where the twisted ovates are </w:t>
      </w:r>
      <w:proofErr w:type="gramStart"/>
      <w:r w:rsidRPr="007424B0">
        <w:rPr>
          <w:rFonts w:ascii="Palatino Linotype" w:hAnsi="Palatino Linotype" w:cs="Times New Roman"/>
          <w:color w:val="000000" w:themeColor="text1"/>
        </w:rPr>
        <w:t>actually longer</w:t>
      </w:r>
      <w:proofErr w:type="gramEnd"/>
      <w:r w:rsidRPr="007424B0">
        <w:rPr>
          <w:rFonts w:ascii="Palatino Linotype" w:hAnsi="Palatino Linotype" w:cs="Times New Roman"/>
          <w:color w:val="000000" w:themeColor="text1"/>
        </w:rPr>
        <w:t xml:space="preserve"> and wider than non-twisted</w:t>
      </w:r>
      <w:r w:rsidR="008A2FF3" w:rsidRPr="007424B0">
        <w:rPr>
          <w:rFonts w:ascii="Palatino Linotype" w:hAnsi="Palatino Linotype" w:cs="Times New Roman"/>
          <w:color w:val="000000" w:themeColor="text1"/>
        </w:rPr>
        <w:t xml:space="preserve"> ones</w:t>
      </w:r>
      <w:r w:rsidRPr="007424B0">
        <w:rPr>
          <w:rFonts w:ascii="Palatino Linotype" w:hAnsi="Palatino Linotype" w:cs="Times New Roman"/>
          <w:color w:val="000000" w:themeColor="text1"/>
        </w:rPr>
        <w:t xml:space="preserve">, contrary to the expectations of a </w:t>
      </w:r>
      <w:proofErr w:type="spellStart"/>
      <w:r w:rsidRPr="007424B0">
        <w:rPr>
          <w:rFonts w:ascii="Palatino Linotype" w:hAnsi="Palatino Linotype" w:cs="Times New Roman"/>
          <w:color w:val="000000" w:themeColor="text1"/>
        </w:rPr>
        <w:t>resharpening</w:t>
      </w:r>
      <w:proofErr w:type="spellEnd"/>
      <w:r w:rsidRPr="007424B0">
        <w:rPr>
          <w:rFonts w:ascii="Palatino Linotype" w:hAnsi="Palatino Linotype" w:cs="Times New Roman"/>
          <w:color w:val="000000" w:themeColor="text1"/>
        </w:rPr>
        <w:t xml:space="preserve"> model.</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The increased scar counts probably reflect the simple fact that producing twisted edges required more removals.</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The assemblage from the Foxhall Road Grey Clay is the smallest (n=18) but also the most coherent and informative</w:t>
      </w:r>
      <w:bookmarkStart w:id="0" w:name="_GoBack"/>
      <w:bookmarkEnd w:id="0"/>
      <w:r w:rsidRPr="007424B0">
        <w:rPr>
          <w:rFonts w:ascii="Palatino Linotype" w:hAnsi="Palatino Linotype" w:cs="Times New Roman"/>
          <w:color w:val="000000" w:themeColor="text1"/>
        </w:rPr>
        <w:t>, having been carefully excavated and recorded by Nina Layard in 1903</w:t>
      </w:r>
      <w:r w:rsidR="008517A1" w:rsidRPr="007424B0">
        <w:rPr>
          <w:rFonts w:ascii="Palatino Linotype" w:hAnsi="Palatino Linotype" w:cs="Times New Roman"/>
          <w:color w:val="000000" w:themeColor="text1"/>
        </w:rPr>
        <w:t>–</w:t>
      </w:r>
      <w:r w:rsidRPr="007424B0">
        <w:rPr>
          <w:rFonts w:ascii="Palatino Linotype" w:hAnsi="Palatino Linotype" w:cs="Times New Roman"/>
          <w:color w:val="000000" w:themeColor="text1"/>
        </w:rPr>
        <w:t>4 (White and Plunkett 2004).</w:t>
      </w:r>
      <w:r w:rsidR="001161B7" w:rsidRPr="007424B0">
        <w:rPr>
          <w:rFonts w:ascii="Palatino Linotype" w:hAnsi="Palatino Linotype" w:cs="Times New Roman"/>
          <w:color w:val="000000" w:themeColor="text1"/>
        </w:rPr>
        <w:t xml:space="preserve"> </w:t>
      </w:r>
      <w:r w:rsidRPr="007424B0">
        <w:rPr>
          <w:rFonts w:ascii="Palatino Linotype" w:hAnsi="Palatino Linotype" w:cs="Times New Roman"/>
          <w:color w:val="000000" w:themeColor="text1"/>
        </w:rPr>
        <w:t xml:space="preserve"> Se</w:t>
      </w:r>
      <w:r w:rsidRPr="00A675C5">
        <w:rPr>
          <w:rFonts w:ascii="Palatino Linotype" w:hAnsi="Palatino Linotype" w:cs="Times New Roman"/>
          <w:color w:val="000000" w:themeColor="text1"/>
        </w:rPr>
        <w:t>ven handaxes (39% of the assemblage) have twisted edges and are significantly different to the non-twisted ovates (n=</w:t>
      </w:r>
      <w:r w:rsidR="00347856" w:rsidRPr="00A675C5">
        <w:rPr>
          <w:rFonts w:ascii="Palatino Linotype" w:hAnsi="Palatino Linotype" w:cs="Times New Roman"/>
          <w:color w:val="000000" w:themeColor="text1"/>
        </w:rPr>
        <w:t>11</w:t>
      </w:r>
      <w:r w:rsidRPr="00A675C5">
        <w:rPr>
          <w:rFonts w:ascii="Palatino Linotype" w:hAnsi="Palatino Linotype" w:cs="Times New Roman"/>
          <w:color w:val="000000" w:themeColor="text1"/>
        </w:rPr>
        <w:t>) in length, width, scar count, elongation</w:t>
      </w:r>
      <w:r w:rsidR="008517A1">
        <w:rPr>
          <w:rFonts w:ascii="Palatino Linotype" w:hAnsi="Palatino Linotype" w:cs="Times New Roman"/>
          <w:color w:val="000000" w:themeColor="text1"/>
        </w:rPr>
        <w:t>,</w:t>
      </w:r>
      <w:r w:rsidRPr="00A675C5">
        <w:rPr>
          <w:rFonts w:ascii="Palatino Linotype" w:hAnsi="Palatino Linotype" w:cs="Times New Roman"/>
          <w:color w:val="000000" w:themeColor="text1"/>
        </w:rPr>
        <w:t xml:space="preserve"> and refinement.</w:t>
      </w:r>
      <w:r w:rsidR="001161B7">
        <w:rPr>
          <w:rFonts w:ascii="Palatino Linotype" w:hAnsi="Palatino Linotype" w:cs="Times New Roman"/>
          <w:color w:val="000000" w:themeColor="text1"/>
        </w:rPr>
        <w:t xml:space="preserve"> </w:t>
      </w:r>
      <w:r w:rsidRPr="00A675C5">
        <w:rPr>
          <w:rFonts w:ascii="Palatino Linotype" w:hAnsi="Palatino Linotype" w:cs="Times New Roman"/>
          <w:color w:val="000000" w:themeColor="text1"/>
        </w:rPr>
        <w:t xml:space="preserve">The pattern is inverse to that expected, however, with twisted ovates being </w:t>
      </w:r>
      <w:r w:rsidR="008A2FF3" w:rsidRPr="00A675C5">
        <w:rPr>
          <w:rFonts w:ascii="Palatino Linotype" w:hAnsi="Palatino Linotype" w:cs="Times New Roman"/>
          <w:color w:val="000000" w:themeColor="text1"/>
        </w:rPr>
        <w:t xml:space="preserve">much </w:t>
      </w:r>
      <w:r w:rsidRPr="00A675C5">
        <w:rPr>
          <w:rFonts w:ascii="Palatino Linotype" w:hAnsi="Palatino Linotype" w:cs="Times New Roman"/>
          <w:color w:val="000000" w:themeColor="text1"/>
        </w:rPr>
        <w:t>longer, wider, thicker and more elongated than non-twisted ones.</w:t>
      </w:r>
      <w:r w:rsidR="001161B7">
        <w:rPr>
          <w:rFonts w:ascii="Palatino Linotype" w:hAnsi="Palatino Linotype" w:cs="Times New Roman"/>
          <w:color w:val="000000" w:themeColor="text1"/>
        </w:rPr>
        <w:t xml:space="preserve"> </w:t>
      </w:r>
    </w:p>
    <w:p w14:paraId="10830656" w14:textId="6CA32730" w:rsidR="004F539B" w:rsidRPr="00A675C5" w:rsidRDefault="00E45D14" w:rsidP="00A675C5">
      <w:pPr>
        <w:tabs>
          <w:tab w:val="left" w:pos="720"/>
          <w:tab w:val="left" w:pos="1440"/>
          <w:tab w:val="left" w:pos="2160"/>
          <w:tab w:val="left" w:pos="2880"/>
          <w:tab w:val="left" w:pos="3600"/>
          <w:tab w:val="left" w:pos="4320"/>
        </w:tabs>
        <w:ind w:firstLine="720"/>
        <w:jc w:val="both"/>
        <w:rPr>
          <w:rFonts w:ascii="Palatino Linotype" w:hAnsi="Palatino Linotype" w:cs="Times New Roman"/>
          <w:color w:val="000000" w:themeColor="text1"/>
          <w:highlight w:val="lightGray"/>
        </w:rPr>
      </w:pPr>
      <w:r w:rsidRPr="00A675C5">
        <w:rPr>
          <w:rFonts w:ascii="Palatino Linotype" w:hAnsi="Palatino Linotype" w:cs="Times New Roman"/>
          <w:color w:val="000000" w:themeColor="text1"/>
        </w:rPr>
        <w:t xml:space="preserve">In sum, twisted handaxes are not resharpened versions of untwisted forms. </w:t>
      </w:r>
      <w:r w:rsidR="004F539B" w:rsidRPr="00A675C5">
        <w:rPr>
          <w:rFonts w:ascii="Palatino Linotype" w:hAnsi="Palatino Linotype" w:cs="Times New Roman"/>
          <w:color w:val="000000" w:themeColor="text1"/>
          <w:highlight w:val="lightGray"/>
        </w:rPr>
        <w:br w:type="page"/>
      </w:r>
    </w:p>
    <w:p w14:paraId="18D2FA60" w14:textId="77777777" w:rsidR="00AB733E" w:rsidRPr="00A675C5" w:rsidRDefault="00AB733E" w:rsidP="00A675C5">
      <w:pPr>
        <w:tabs>
          <w:tab w:val="left" w:pos="720"/>
          <w:tab w:val="left" w:pos="1440"/>
          <w:tab w:val="left" w:pos="2160"/>
          <w:tab w:val="left" w:pos="2880"/>
          <w:tab w:val="left" w:pos="3600"/>
          <w:tab w:val="left" w:pos="4320"/>
        </w:tabs>
        <w:ind w:firstLine="720"/>
        <w:jc w:val="both"/>
        <w:rPr>
          <w:rFonts w:ascii="Palatino Linotype" w:hAnsi="Palatino Linotype" w:cs="Times New Roman"/>
          <w:color w:val="000000" w:themeColor="text1"/>
          <w:highlight w:val="lightGray"/>
        </w:rPr>
      </w:pPr>
    </w:p>
    <w:p w14:paraId="5F5404A8" w14:textId="7E2B1A3F" w:rsidR="004F539B" w:rsidRPr="00D46424" w:rsidRDefault="00D46424" w:rsidP="00D46424">
      <w:pPr>
        <w:widowControl w:val="0"/>
        <w:tabs>
          <w:tab w:val="left" w:pos="720"/>
          <w:tab w:val="left" w:pos="1440"/>
          <w:tab w:val="left" w:pos="2160"/>
          <w:tab w:val="left" w:pos="2880"/>
          <w:tab w:val="left" w:pos="3600"/>
          <w:tab w:val="left" w:pos="4320"/>
        </w:tabs>
        <w:jc w:val="center"/>
        <w:rPr>
          <w:rFonts w:ascii="Palatino Linotype" w:hAnsi="Palatino Linotype" w:cs="Times New Roman"/>
          <w:smallCaps/>
          <w:color w:val="000000" w:themeColor="text1"/>
        </w:rPr>
      </w:pPr>
      <w:r w:rsidRPr="00D46424">
        <w:rPr>
          <w:rFonts w:ascii="Palatino Linotype" w:hAnsi="Palatino Linotype" w:cs="Times New Roman"/>
          <w:smallCaps/>
          <w:color w:val="000000" w:themeColor="text1"/>
        </w:rPr>
        <w:t xml:space="preserve">table s1: selected metrical and technological attributes for key twisted </w:t>
      </w:r>
      <w:proofErr w:type="spellStart"/>
      <w:r w:rsidRPr="00D46424">
        <w:rPr>
          <w:rFonts w:ascii="Palatino Linotype" w:hAnsi="Palatino Linotype" w:cs="Times New Roman"/>
          <w:smallCaps/>
          <w:color w:val="000000" w:themeColor="text1"/>
        </w:rPr>
        <w:t>handaxe</w:t>
      </w:r>
      <w:proofErr w:type="spellEnd"/>
      <w:r w:rsidRPr="00D46424">
        <w:rPr>
          <w:rFonts w:ascii="Palatino Linotype" w:hAnsi="Palatino Linotype" w:cs="Times New Roman"/>
          <w:smallCaps/>
          <w:color w:val="000000" w:themeColor="text1"/>
        </w:rPr>
        <w:t xml:space="preserve"> assemblage, showing means and (standard deviations)</w:t>
      </w:r>
    </w:p>
    <w:tbl>
      <w:tblPr>
        <w:tblpPr w:leftFromText="180" w:rightFromText="180" w:vertAnchor="text" w:horzAnchor="margin" w:tblpXSpec="center" w:tblpY="177"/>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547"/>
        <w:gridCol w:w="1134"/>
        <w:gridCol w:w="1134"/>
        <w:gridCol w:w="1008"/>
        <w:gridCol w:w="1260"/>
        <w:gridCol w:w="1134"/>
        <w:gridCol w:w="1134"/>
      </w:tblGrid>
      <w:tr w:rsidR="00D46424" w:rsidRPr="00D46424" w14:paraId="340EB218" w14:textId="77777777" w:rsidTr="00D46424">
        <w:tc>
          <w:tcPr>
            <w:tcW w:w="2547" w:type="dxa"/>
            <w:tcBorders>
              <w:top w:val="single" w:sz="4" w:space="0" w:color="auto"/>
              <w:bottom w:val="single" w:sz="4" w:space="0" w:color="auto"/>
            </w:tcBorders>
            <w:shd w:val="clear" w:color="auto" w:fill="auto"/>
            <w:noWrap/>
            <w:hideMark/>
          </w:tcPr>
          <w:p w14:paraId="354399AB" w14:textId="77777777" w:rsidR="004F539B" w:rsidRPr="00D46424" w:rsidRDefault="004F539B" w:rsidP="00D46424">
            <w:pPr>
              <w:rPr>
                <w:rFonts w:ascii="Palatino Linotype" w:hAnsi="Palatino Linotype" w:cs="Times New Roman"/>
                <w:i/>
                <w:color w:val="000000" w:themeColor="text1"/>
                <w:sz w:val="18"/>
                <w:szCs w:val="18"/>
              </w:rPr>
            </w:pPr>
          </w:p>
        </w:tc>
        <w:tc>
          <w:tcPr>
            <w:tcW w:w="1134" w:type="dxa"/>
            <w:tcBorders>
              <w:top w:val="single" w:sz="4" w:space="0" w:color="auto"/>
              <w:bottom w:val="single" w:sz="4" w:space="0" w:color="auto"/>
            </w:tcBorders>
            <w:shd w:val="clear" w:color="auto" w:fill="auto"/>
            <w:noWrap/>
            <w:hideMark/>
          </w:tcPr>
          <w:p w14:paraId="63C753B4" w14:textId="3C102B6D" w:rsidR="004F539B" w:rsidRPr="00D46424" w:rsidRDefault="004F539B" w:rsidP="00D46424">
            <w:pPr>
              <w:jc w:val="center"/>
              <w:rPr>
                <w:rFonts w:ascii="Palatino Linotype" w:eastAsia="Times New Roman" w:hAnsi="Palatino Linotype" w:cs="Times New Roman"/>
                <w:bCs/>
                <w:i/>
                <w:color w:val="000000" w:themeColor="text1"/>
                <w:sz w:val="18"/>
                <w:szCs w:val="18"/>
              </w:rPr>
            </w:pPr>
            <w:r w:rsidRPr="00D46424">
              <w:rPr>
                <w:rFonts w:ascii="Palatino Linotype" w:eastAsia="Times New Roman" w:hAnsi="Palatino Linotype" w:cs="Times New Roman"/>
                <w:bCs/>
                <w:i/>
                <w:color w:val="000000" w:themeColor="text1"/>
                <w:sz w:val="18"/>
                <w:szCs w:val="18"/>
              </w:rPr>
              <w:t xml:space="preserve">Length </w:t>
            </w:r>
            <w:r w:rsidR="00D46424" w:rsidRPr="00D46424">
              <w:rPr>
                <w:rFonts w:ascii="Palatino Linotype" w:eastAsia="Times New Roman" w:hAnsi="Palatino Linotype" w:cs="Times New Roman"/>
                <w:bCs/>
                <w:i/>
                <w:color w:val="000000" w:themeColor="text1"/>
                <w:sz w:val="18"/>
                <w:szCs w:val="18"/>
              </w:rPr>
              <w:t>(</w:t>
            </w:r>
            <w:r w:rsidRPr="00D46424">
              <w:rPr>
                <w:rFonts w:ascii="Palatino Linotype" w:eastAsia="Times New Roman" w:hAnsi="Palatino Linotype" w:cs="Times New Roman"/>
                <w:bCs/>
                <w:i/>
                <w:color w:val="000000" w:themeColor="text1"/>
                <w:sz w:val="18"/>
                <w:szCs w:val="18"/>
              </w:rPr>
              <w:t>mm</w:t>
            </w:r>
            <w:r w:rsidR="00D46424" w:rsidRPr="00D46424">
              <w:rPr>
                <w:rFonts w:ascii="Palatino Linotype" w:eastAsia="Times New Roman" w:hAnsi="Palatino Linotype" w:cs="Times New Roman"/>
                <w:bCs/>
                <w:i/>
                <w:color w:val="000000" w:themeColor="text1"/>
                <w:sz w:val="18"/>
                <w:szCs w:val="18"/>
              </w:rPr>
              <w:t>)</w:t>
            </w:r>
          </w:p>
          <w:p w14:paraId="535EBD47" w14:textId="77777777" w:rsidR="00D46424" w:rsidRPr="00D46424" w:rsidRDefault="00D46424" w:rsidP="00D46424">
            <w:pPr>
              <w:jc w:val="center"/>
              <w:rPr>
                <w:rFonts w:ascii="Palatino Linotype" w:eastAsia="Times New Roman" w:hAnsi="Palatino Linotype" w:cs="Times New Roman"/>
                <w:bCs/>
                <w:i/>
                <w:color w:val="000000" w:themeColor="text1"/>
                <w:sz w:val="18"/>
                <w:szCs w:val="18"/>
              </w:rPr>
            </w:pPr>
          </w:p>
          <w:p w14:paraId="7D6AF987" w14:textId="69E3D09F" w:rsidR="00D46424" w:rsidRPr="00D46424" w:rsidRDefault="00D46424" w:rsidP="00D46424">
            <w:pPr>
              <w:jc w:val="center"/>
              <w:rPr>
                <w:rFonts w:ascii="Palatino Linotype" w:eastAsia="Times New Roman" w:hAnsi="Palatino Linotype" w:cs="Times New Roman"/>
                <w:bCs/>
                <w:i/>
                <w:color w:val="000000" w:themeColor="text1"/>
                <w:sz w:val="18"/>
                <w:szCs w:val="18"/>
              </w:rPr>
            </w:pPr>
          </w:p>
        </w:tc>
        <w:tc>
          <w:tcPr>
            <w:tcW w:w="1134" w:type="dxa"/>
            <w:tcBorders>
              <w:top w:val="single" w:sz="4" w:space="0" w:color="auto"/>
              <w:bottom w:val="single" w:sz="4" w:space="0" w:color="auto"/>
            </w:tcBorders>
            <w:shd w:val="clear" w:color="auto" w:fill="auto"/>
            <w:noWrap/>
            <w:hideMark/>
          </w:tcPr>
          <w:p w14:paraId="0BF3AA08" w14:textId="4F5B9D22" w:rsidR="004F539B" w:rsidRPr="00D46424" w:rsidRDefault="004F539B" w:rsidP="00D46424">
            <w:pPr>
              <w:jc w:val="center"/>
              <w:rPr>
                <w:rFonts w:ascii="Palatino Linotype" w:eastAsia="Times New Roman" w:hAnsi="Palatino Linotype" w:cs="Times New Roman"/>
                <w:bCs/>
                <w:i/>
                <w:color w:val="000000" w:themeColor="text1"/>
                <w:sz w:val="18"/>
                <w:szCs w:val="18"/>
              </w:rPr>
            </w:pPr>
            <w:r w:rsidRPr="00D46424">
              <w:rPr>
                <w:rFonts w:ascii="Palatino Linotype" w:eastAsia="Times New Roman" w:hAnsi="Palatino Linotype" w:cs="Times New Roman"/>
                <w:bCs/>
                <w:i/>
                <w:color w:val="000000" w:themeColor="text1"/>
                <w:sz w:val="18"/>
                <w:szCs w:val="18"/>
              </w:rPr>
              <w:t xml:space="preserve">Width </w:t>
            </w:r>
            <w:r w:rsidR="00D46424" w:rsidRPr="00D46424">
              <w:rPr>
                <w:rFonts w:ascii="Palatino Linotype" w:eastAsia="Times New Roman" w:hAnsi="Palatino Linotype" w:cs="Times New Roman"/>
                <w:bCs/>
                <w:i/>
                <w:color w:val="000000" w:themeColor="text1"/>
                <w:sz w:val="18"/>
                <w:szCs w:val="18"/>
              </w:rPr>
              <w:t>(</w:t>
            </w:r>
            <w:r w:rsidRPr="00D46424">
              <w:rPr>
                <w:rFonts w:ascii="Palatino Linotype" w:eastAsia="Times New Roman" w:hAnsi="Palatino Linotype" w:cs="Times New Roman"/>
                <w:bCs/>
                <w:i/>
                <w:color w:val="000000" w:themeColor="text1"/>
                <w:sz w:val="18"/>
                <w:szCs w:val="18"/>
              </w:rPr>
              <w:t>mm</w:t>
            </w:r>
            <w:r w:rsidR="00D46424" w:rsidRPr="00D46424">
              <w:rPr>
                <w:rFonts w:ascii="Palatino Linotype" w:eastAsia="Times New Roman" w:hAnsi="Palatino Linotype" w:cs="Times New Roman"/>
                <w:bCs/>
                <w:i/>
                <w:color w:val="000000" w:themeColor="text1"/>
                <w:sz w:val="18"/>
                <w:szCs w:val="18"/>
              </w:rPr>
              <w:t>)</w:t>
            </w:r>
          </w:p>
        </w:tc>
        <w:tc>
          <w:tcPr>
            <w:tcW w:w="1008" w:type="dxa"/>
            <w:tcBorders>
              <w:top w:val="single" w:sz="4" w:space="0" w:color="auto"/>
              <w:bottom w:val="single" w:sz="4" w:space="0" w:color="auto"/>
            </w:tcBorders>
            <w:shd w:val="clear" w:color="auto" w:fill="auto"/>
            <w:noWrap/>
            <w:hideMark/>
          </w:tcPr>
          <w:p w14:paraId="1DCE9D4C" w14:textId="0A3CE430" w:rsidR="004F539B" w:rsidRPr="00D46424" w:rsidRDefault="004F539B" w:rsidP="00D46424">
            <w:pPr>
              <w:jc w:val="center"/>
              <w:rPr>
                <w:rFonts w:ascii="Palatino Linotype" w:eastAsia="Times New Roman" w:hAnsi="Palatino Linotype" w:cs="Times New Roman"/>
                <w:bCs/>
                <w:i/>
                <w:color w:val="000000" w:themeColor="text1"/>
                <w:sz w:val="18"/>
                <w:szCs w:val="18"/>
              </w:rPr>
            </w:pPr>
            <w:r w:rsidRPr="00D46424">
              <w:rPr>
                <w:rFonts w:ascii="Palatino Linotype" w:eastAsia="Times New Roman" w:hAnsi="Palatino Linotype" w:cs="Times New Roman"/>
                <w:bCs/>
                <w:i/>
                <w:color w:val="000000" w:themeColor="text1"/>
                <w:sz w:val="18"/>
                <w:szCs w:val="18"/>
              </w:rPr>
              <w:t>Thickness</w:t>
            </w:r>
            <w:r w:rsidR="00D46424" w:rsidRPr="00D46424">
              <w:rPr>
                <w:rFonts w:ascii="Palatino Linotype" w:eastAsia="Times New Roman" w:hAnsi="Palatino Linotype" w:cs="Times New Roman"/>
                <w:bCs/>
                <w:i/>
                <w:color w:val="000000" w:themeColor="text1"/>
                <w:sz w:val="18"/>
                <w:szCs w:val="18"/>
              </w:rPr>
              <w:t xml:space="preserve"> (</w:t>
            </w:r>
            <w:r w:rsidRPr="00D46424">
              <w:rPr>
                <w:rFonts w:ascii="Palatino Linotype" w:eastAsia="Times New Roman" w:hAnsi="Palatino Linotype" w:cs="Times New Roman"/>
                <w:bCs/>
                <w:i/>
                <w:color w:val="000000" w:themeColor="text1"/>
                <w:sz w:val="18"/>
                <w:szCs w:val="18"/>
              </w:rPr>
              <w:t>mm</w:t>
            </w:r>
            <w:r w:rsidR="00D46424" w:rsidRPr="00D46424">
              <w:rPr>
                <w:rFonts w:ascii="Palatino Linotype" w:eastAsia="Times New Roman" w:hAnsi="Palatino Linotype" w:cs="Times New Roman"/>
                <w:bCs/>
                <w:i/>
                <w:color w:val="000000" w:themeColor="text1"/>
                <w:sz w:val="18"/>
                <w:szCs w:val="18"/>
              </w:rPr>
              <w:t>)</w:t>
            </w:r>
          </w:p>
        </w:tc>
        <w:tc>
          <w:tcPr>
            <w:tcW w:w="1260" w:type="dxa"/>
            <w:tcBorders>
              <w:top w:val="single" w:sz="4" w:space="0" w:color="auto"/>
              <w:bottom w:val="single" w:sz="4" w:space="0" w:color="auto"/>
            </w:tcBorders>
            <w:shd w:val="clear" w:color="auto" w:fill="auto"/>
            <w:noWrap/>
            <w:hideMark/>
          </w:tcPr>
          <w:p w14:paraId="1A751C6B" w14:textId="0253B42B" w:rsidR="004F539B" w:rsidRPr="00D46424" w:rsidRDefault="004F539B" w:rsidP="00D46424">
            <w:pPr>
              <w:jc w:val="center"/>
              <w:rPr>
                <w:rFonts w:ascii="Palatino Linotype" w:eastAsia="Times New Roman" w:hAnsi="Palatino Linotype" w:cs="Times New Roman"/>
                <w:bCs/>
                <w:i/>
                <w:color w:val="000000" w:themeColor="text1"/>
                <w:sz w:val="18"/>
                <w:szCs w:val="18"/>
              </w:rPr>
            </w:pPr>
            <w:r w:rsidRPr="00D46424">
              <w:rPr>
                <w:rFonts w:ascii="Palatino Linotype" w:eastAsia="Times New Roman" w:hAnsi="Palatino Linotype" w:cs="Times New Roman"/>
                <w:bCs/>
                <w:i/>
                <w:color w:val="000000" w:themeColor="text1"/>
                <w:sz w:val="18"/>
                <w:szCs w:val="18"/>
              </w:rPr>
              <w:t>Scars &gt;5</w:t>
            </w:r>
            <w:r w:rsidR="00D46424" w:rsidRPr="00D46424">
              <w:rPr>
                <w:rFonts w:ascii="Palatino Linotype" w:eastAsia="Times New Roman" w:hAnsi="Palatino Linotype" w:cs="Times New Roman"/>
                <w:bCs/>
                <w:i/>
                <w:color w:val="000000" w:themeColor="text1"/>
                <w:sz w:val="18"/>
                <w:szCs w:val="18"/>
              </w:rPr>
              <w:t xml:space="preserve"> </w:t>
            </w:r>
            <w:r w:rsidRPr="00D46424">
              <w:rPr>
                <w:rFonts w:ascii="Palatino Linotype" w:eastAsia="Times New Roman" w:hAnsi="Palatino Linotype" w:cs="Times New Roman"/>
                <w:bCs/>
                <w:i/>
                <w:color w:val="000000" w:themeColor="text1"/>
                <w:sz w:val="18"/>
                <w:szCs w:val="18"/>
              </w:rPr>
              <w:t>mm</w:t>
            </w:r>
          </w:p>
        </w:tc>
        <w:tc>
          <w:tcPr>
            <w:tcW w:w="1134" w:type="dxa"/>
            <w:tcBorders>
              <w:top w:val="single" w:sz="4" w:space="0" w:color="auto"/>
              <w:bottom w:val="single" w:sz="4" w:space="0" w:color="auto"/>
            </w:tcBorders>
            <w:shd w:val="clear" w:color="auto" w:fill="auto"/>
            <w:noWrap/>
            <w:hideMark/>
          </w:tcPr>
          <w:p w14:paraId="19CFE401" w14:textId="77777777" w:rsidR="004F539B" w:rsidRPr="00D46424" w:rsidRDefault="004F539B" w:rsidP="00D46424">
            <w:pPr>
              <w:jc w:val="center"/>
              <w:rPr>
                <w:rFonts w:ascii="Palatino Linotype" w:eastAsia="Times New Roman" w:hAnsi="Palatino Linotype" w:cs="Times New Roman"/>
                <w:bCs/>
                <w:i/>
                <w:color w:val="000000" w:themeColor="text1"/>
                <w:sz w:val="18"/>
                <w:szCs w:val="18"/>
              </w:rPr>
            </w:pPr>
            <w:r w:rsidRPr="00D46424">
              <w:rPr>
                <w:rFonts w:ascii="Palatino Linotype" w:eastAsia="Times New Roman" w:hAnsi="Palatino Linotype" w:cs="Times New Roman"/>
                <w:bCs/>
                <w:i/>
                <w:color w:val="000000" w:themeColor="text1"/>
                <w:sz w:val="18"/>
                <w:szCs w:val="18"/>
              </w:rPr>
              <w:t>Elongation (L/W)</w:t>
            </w:r>
          </w:p>
        </w:tc>
        <w:tc>
          <w:tcPr>
            <w:tcW w:w="1134" w:type="dxa"/>
            <w:tcBorders>
              <w:top w:val="single" w:sz="4" w:space="0" w:color="auto"/>
              <w:bottom w:val="single" w:sz="4" w:space="0" w:color="auto"/>
            </w:tcBorders>
            <w:shd w:val="clear" w:color="auto" w:fill="auto"/>
            <w:noWrap/>
            <w:hideMark/>
          </w:tcPr>
          <w:p w14:paraId="47A53881" w14:textId="77777777" w:rsidR="004F539B" w:rsidRPr="00D46424" w:rsidRDefault="004F539B" w:rsidP="00D46424">
            <w:pPr>
              <w:jc w:val="center"/>
              <w:rPr>
                <w:rFonts w:ascii="Palatino Linotype" w:eastAsia="Times New Roman" w:hAnsi="Palatino Linotype" w:cs="Times New Roman"/>
                <w:bCs/>
                <w:i/>
                <w:color w:val="000000" w:themeColor="text1"/>
                <w:sz w:val="18"/>
                <w:szCs w:val="18"/>
              </w:rPr>
            </w:pPr>
            <w:r w:rsidRPr="00D46424">
              <w:rPr>
                <w:rFonts w:ascii="Palatino Linotype" w:eastAsia="Times New Roman" w:hAnsi="Palatino Linotype" w:cs="Times New Roman"/>
                <w:bCs/>
                <w:i/>
                <w:color w:val="000000" w:themeColor="text1"/>
                <w:sz w:val="18"/>
                <w:szCs w:val="18"/>
              </w:rPr>
              <w:t>Refinement (W/Th)</w:t>
            </w:r>
          </w:p>
          <w:p w14:paraId="576AB781" w14:textId="7853F32F" w:rsidR="00D46424" w:rsidRPr="00D46424" w:rsidRDefault="00D46424" w:rsidP="00D46424">
            <w:pPr>
              <w:jc w:val="center"/>
              <w:rPr>
                <w:rFonts w:ascii="Palatino Linotype" w:eastAsia="Times New Roman" w:hAnsi="Palatino Linotype" w:cs="Times New Roman"/>
                <w:bCs/>
                <w:i/>
                <w:color w:val="000000" w:themeColor="text1"/>
                <w:sz w:val="18"/>
                <w:szCs w:val="18"/>
              </w:rPr>
            </w:pPr>
          </w:p>
        </w:tc>
      </w:tr>
      <w:tr w:rsidR="00D46424" w:rsidRPr="00D46424" w14:paraId="7EABE7FB" w14:textId="77777777" w:rsidTr="00D46424">
        <w:tc>
          <w:tcPr>
            <w:tcW w:w="2547" w:type="dxa"/>
            <w:tcBorders>
              <w:top w:val="single" w:sz="4" w:space="0" w:color="auto"/>
            </w:tcBorders>
            <w:shd w:val="clear" w:color="auto" w:fill="auto"/>
            <w:noWrap/>
            <w:hideMark/>
          </w:tcPr>
          <w:p w14:paraId="32D32194" w14:textId="77777777" w:rsidR="004F539B" w:rsidRPr="00D46424" w:rsidRDefault="004F539B" w:rsidP="00D46424">
            <w:pPr>
              <w:rPr>
                <w:rFonts w:ascii="Palatino Linotype" w:eastAsia="Times New Roman" w:hAnsi="Palatino Linotype" w:cs="Times New Roman"/>
                <w:bCs/>
                <w:color w:val="000000" w:themeColor="text1"/>
                <w:sz w:val="18"/>
                <w:szCs w:val="18"/>
              </w:rPr>
            </w:pPr>
            <w:proofErr w:type="spellStart"/>
            <w:r w:rsidRPr="00D46424">
              <w:rPr>
                <w:rFonts w:ascii="Palatino Linotype" w:eastAsia="Times New Roman" w:hAnsi="Palatino Linotype" w:cs="Times New Roman"/>
                <w:bCs/>
                <w:color w:val="000000" w:themeColor="text1"/>
                <w:sz w:val="18"/>
                <w:szCs w:val="18"/>
              </w:rPr>
              <w:t>Bowmans</w:t>
            </w:r>
            <w:proofErr w:type="spellEnd"/>
            <w:r w:rsidRPr="00D46424">
              <w:rPr>
                <w:rFonts w:ascii="Palatino Linotype" w:eastAsia="Times New Roman" w:hAnsi="Palatino Linotype" w:cs="Times New Roman"/>
                <w:bCs/>
                <w:color w:val="000000" w:themeColor="text1"/>
                <w:sz w:val="18"/>
                <w:szCs w:val="18"/>
              </w:rPr>
              <w:t xml:space="preserve"> Lodge Twisted (n=10)</w:t>
            </w:r>
          </w:p>
        </w:tc>
        <w:tc>
          <w:tcPr>
            <w:tcW w:w="1134" w:type="dxa"/>
            <w:tcBorders>
              <w:top w:val="single" w:sz="4" w:space="0" w:color="auto"/>
            </w:tcBorders>
            <w:shd w:val="clear" w:color="auto" w:fill="auto"/>
            <w:noWrap/>
            <w:hideMark/>
          </w:tcPr>
          <w:p w14:paraId="68BC02F4"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82.4 (23.0)</w:t>
            </w:r>
          </w:p>
        </w:tc>
        <w:tc>
          <w:tcPr>
            <w:tcW w:w="1134" w:type="dxa"/>
            <w:tcBorders>
              <w:top w:val="single" w:sz="4" w:space="0" w:color="auto"/>
            </w:tcBorders>
            <w:shd w:val="clear" w:color="auto" w:fill="auto"/>
            <w:noWrap/>
            <w:hideMark/>
          </w:tcPr>
          <w:p w14:paraId="0FCA42D4"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53.1 (10.3)</w:t>
            </w:r>
          </w:p>
        </w:tc>
        <w:tc>
          <w:tcPr>
            <w:tcW w:w="1008" w:type="dxa"/>
            <w:tcBorders>
              <w:top w:val="single" w:sz="4" w:space="0" w:color="auto"/>
            </w:tcBorders>
            <w:shd w:val="clear" w:color="auto" w:fill="auto"/>
            <w:noWrap/>
            <w:hideMark/>
          </w:tcPr>
          <w:p w14:paraId="5D727FFA"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21.9 (5.1)</w:t>
            </w:r>
          </w:p>
        </w:tc>
        <w:tc>
          <w:tcPr>
            <w:tcW w:w="1260" w:type="dxa"/>
            <w:tcBorders>
              <w:top w:val="single" w:sz="4" w:space="0" w:color="auto"/>
            </w:tcBorders>
            <w:shd w:val="clear" w:color="auto" w:fill="auto"/>
            <w:noWrap/>
            <w:hideMark/>
          </w:tcPr>
          <w:p w14:paraId="0CA4862C"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56.6 (10.0)</w:t>
            </w:r>
          </w:p>
        </w:tc>
        <w:tc>
          <w:tcPr>
            <w:tcW w:w="1134" w:type="dxa"/>
            <w:tcBorders>
              <w:top w:val="single" w:sz="4" w:space="0" w:color="auto"/>
            </w:tcBorders>
            <w:shd w:val="clear" w:color="auto" w:fill="auto"/>
            <w:noWrap/>
            <w:hideMark/>
          </w:tcPr>
          <w:p w14:paraId="1EBBEC20"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0.66 (0.14)</w:t>
            </w:r>
          </w:p>
        </w:tc>
        <w:tc>
          <w:tcPr>
            <w:tcW w:w="1134" w:type="dxa"/>
            <w:tcBorders>
              <w:top w:val="single" w:sz="4" w:space="0" w:color="auto"/>
            </w:tcBorders>
            <w:shd w:val="clear" w:color="auto" w:fill="auto"/>
            <w:noWrap/>
            <w:hideMark/>
          </w:tcPr>
          <w:p w14:paraId="2A5E4C90"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0.42 (0.07)</w:t>
            </w:r>
          </w:p>
        </w:tc>
      </w:tr>
      <w:tr w:rsidR="00D46424" w:rsidRPr="00D46424" w14:paraId="120D3B9B" w14:textId="77777777" w:rsidTr="00D46424">
        <w:tc>
          <w:tcPr>
            <w:tcW w:w="2547" w:type="dxa"/>
            <w:shd w:val="clear" w:color="auto" w:fill="auto"/>
            <w:noWrap/>
            <w:hideMark/>
          </w:tcPr>
          <w:p w14:paraId="23EF86D1" w14:textId="77777777" w:rsidR="004F539B" w:rsidRPr="00D46424" w:rsidRDefault="004F539B" w:rsidP="00D46424">
            <w:pPr>
              <w:rPr>
                <w:rFonts w:ascii="Palatino Linotype" w:eastAsia="Times New Roman" w:hAnsi="Palatino Linotype" w:cs="Times New Roman"/>
                <w:bCs/>
                <w:color w:val="000000" w:themeColor="text1"/>
                <w:sz w:val="18"/>
                <w:szCs w:val="18"/>
              </w:rPr>
            </w:pPr>
            <w:proofErr w:type="spellStart"/>
            <w:r w:rsidRPr="00D46424">
              <w:rPr>
                <w:rFonts w:ascii="Palatino Linotype" w:eastAsia="Times New Roman" w:hAnsi="Palatino Linotype" w:cs="Times New Roman"/>
                <w:bCs/>
                <w:color w:val="000000" w:themeColor="text1"/>
                <w:sz w:val="18"/>
                <w:szCs w:val="18"/>
              </w:rPr>
              <w:t>Bowmans</w:t>
            </w:r>
            <w:proofErr w:type="spellEnd"/>
            <w:r w:rsidRPr="00D46424">
              <w:rPr>
                <w:rFonts w:ascii="Palatino Linotype" w:eastAsia="Times New Roman" w:hAnsi="Palatino Linotype" w:cs="Times New Roman"/>
                <w:bCs/>
                <w:color w:val="000000" w:themeColor="text1"/>
                <w:sz w:val="18"/>
                <w:szCs w:val="18"/>
              </w:rPr>
              <w:t xml:space="preserve"> Lodge Untwisted (n=14)</w:t>
            </w:r>
          </w:p>
        </w:tc>
        <w:tc>
          <w:tcPr>
            <w:tcW w:w="1134" w:type="dxa"/>
            <w:shd w:val="clear" w:color="auto" w:fill="auto"/>
            <w:noWrap/>
            <w:hideMark/>
          </w:tcPr>
          <w:p w14:paraId="3713B281"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90.5 (25.4)</w:t>
            </w:r>
          </w:p>
        </w:tc>
        <w:tc>
          <w:tcPr>
            <w:tcW w:w="1134" w:type="dxa"/>
            <w:shd w:val="clear" w:color="auto" w:fill="auto"/>
            <w:noWrap/>
            <w:hideMark/>
          </w:tcPr>
          <w:p w14:paraId="09B3C9A5"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63.5 (16.2)</w:t>
            </w:r>
          </w:p>
        </w:tc>
        <w:tc>
          <w:tcPr>
            <w:tcW w:w="1008" w:type="dxa"/>
            <w:shd w:val="clear" w:color="auto" w:fill="auto"/>
            <w:noWrap/>
            <w:hideMark/>
          </w:tcPr>
          <w:p w14:paraId="514B7D0E"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28.3 (7.2)</w:t>
            </w:r>
          </w:p>
        </w:tc>
        <w:tc>
          <w:tcPr>
            <w:tcW w:w="1260" w:type="dxa"/>
            <w:shd w:val="clear" w:color="auto" w:fill="auto"/>
            <w:noWrap/>
            <w:hideMark/>
          </w:tcPr>
          <w:p w14:paraId="5809722D"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53.8 (15.8)</w:t>
            </w:r>
          </w:p>
        </w:tc>
        <w:tc>
          <w:tcPr>
            <w:tcW w:w="1134" w:type="dxa"/>
            <w:shd w:val="clear" w:color="auto" w:fill="auto"/>
            <w:noWrap/>
            <w:hideMark/>
          </w:tcPr>
          <w:p w14:paraId="7D6E1E5B"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0.72 (0.12)</w:t>
            </w:r>
          </w:p>
        </w:tc>
        <w:tc>
          <w:tcPr>
            <w:tcW w:w="1134" w:type="dxa"/>
            <w:shd w:val="clear" w:color="auto" w:fill="auto"/>
            <w:noWrap/>
            <w:hideMark/>
          </w:tcPr>
          <w:p w14:paraId="048F8C7D"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0.45 (0.06)</w:t>
            </w:r>
          </w:p>
        </w:tc>
      </w:tr>
      <w:tr w:rsidR="00D46424" w:rsidRPr="00D46424" w14:paraId="1B7A466E" w14:textId="77777777" w:rsidTr="00D46424">
        <w:tc>
          <w:tcPr>
            <w:tcW w:w="2547" w:type="dxa"/>
            <w:shd w:val="clear" w:color="auto" w:fill="auto"/>
            <w:noWrap/>
            <w:hideMark/>
          </w:tcPr>
          <w:p w14:paraId="20B45285" w14:textId="77777777" w:rsidR="004F539B" w:rsidRPr="00D46424" w:rsidRDefault="004F539B" w:rsidP="00D46424">
            <w:pPr>
              <w:rPr>
                <w:rFonts w:ascii="Palatino Linotype" w:eastAsia="Times New Roman" w:hAnsi="Palatino Linotype" w:cs="Times New Roman"/>
                <w:bCs/>
                <w:color w:val="000000" w:themeColor="text1"/>
                <w:sz w:val="18"/>
                <w:szCs w:val="18"/>
              </w:rPr>
            </w:pPr>
            <w:proofErr w:type="spellStart"/>
            <w:r w:rsidRPr="00D46424">
              <w:rPr>
                <w:rFonts w:ascii="Palatino Linotype" w:eastAsia="Times New Roman" w:hAnsi="Palatino Linotype" w:cs="Times New Roman"/>
                <w:bCs/>
                <w:color w:val="000000" w:themeColor="text1"/>
                <w:sz w:val="18"/>
                <w:szCs w:val="18"/>
              </w:rPr>
              <w:t>Wansunt</w:t>
            </w:r>
            <w:proofErr w:type="spellEnd"/>
            <w:r w:rsidRPr="00D46424">
              <w:rPr>
                <w:rFonts w:ascii="Palatino Linotype" w:eastAsia="Times New Roman" w:hAnsi="Palatino Linotype" w:cs="Times New Roman"/>
                <w:bCs/>
                <w:color w:val="000000" w:themeColor="text1"/>
                <w:sz w:val="18"/>
                <w:szCs w:val="18"/>
              </w:rPr>
              <w:t xml:space="preserve"> Twisted (n=8)</w:t>
            </w:r>
          </w:p>
        </w:tc>
        <w:tc>
          <w:tcPr>
            <w:tcW w:w="1134" w:type="dxa"/>
            <w:shd w:val="clear" w:color="auto" w:fill="auto"/>
            <w:noWrap/>
            <w:hideMark/>
          </w:tcPr>
          <w:p w14:paraId="40CE8E69"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85.3 (19.2)</w:t>
            </w:r>
          </w:p>
        </w:tc>
        <w:tc>
          <w:tcPr>
            <w:tcW w:w="1134" w:type="dxa"/>
            <w:shd w:val="clear" w:color="auto" w:fill="auto"/>
            <w:noWrap/>
            <w:hideMark/>
          </w:tcPr>
          <w:p w14:paraId="4F3A20AB"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59.1 (14.0)</w:t>
            </w:r>
          </w:p>
        </w:tc>
        <w:tc>
          <w:tcPr>
            <w:tcW w:w="1008" w:type="dxa"/>
            <w:shd w:val="clear" w:color="auto" w:fill="auto"/>
            <w:noWrap/>
            <w:hideMark/>
          </w:tcPr>
          <w:p w14:paraId="040427C0"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23.5 (4.5)</w:t>
            </w:r>
          </w:p>
        </w:tc>
        <w:tc>
          <w:tcPr>
            <w:tcW w:w="1260" w:type="dxa"/>
            <w:shd w:val="clear" w:color="auto" w:fill="auto"/>
            <w:noWrap/>
            <w:hideMark/>
          </w:tcPr>
          <w:p w14:paraId="2E75AC3F"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59.6 (13.3)</w:t>
            </w:r>
          </w:p>
        </w:tc>
        <w:tc>
          <w:tcPr>
            <w:tcW w:w="1134" w:type="dxa"/>
            <w:shd w:val="clear" w:color="auto" w:fill="auto"/>
            <w:noWrap/>
            <w:hideMark/>
          </w:tcPr>
          <w:p w14:paraId="735DA8E7"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0.70 (0.10)</w:t>
            </w:r>
          </w:p>
        </w:tc>
        <w:tc>
          <w:tcPr>
            <w:tcW w:w="1134" w:type="dxa"/>
            <w:shd w:val="clear" w:color="auto" w:fill="auto"/>
            <w:noWrap/>
            <w:hideMark/>
          </w:tcPr>
          <w:p w14:paraId="6B2592B6"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0.40 (0.06)</w:t>
            </w:r>
          </w:p>
        </w:tc>
      </w:tr>
      <w:tr w:rsidR="00D46424" w:rsidRPr="00D46424" w14:paraId="7F67A79A" w14:textId="77777777" w:rsidTr="00D46424">
        <w:tc>
          <w:tcPr>
            <w:tcW w:w="2547" w:type="dxa"/>
            <w:shd w:val="clear" w:color="auto" w:fill="auto"/>
            <w:noWrap/>
            <w:hideMark/>
          </w:tcPr>
          <w:p w14:paraId="3CECBC9B" w14:textId="77777777" w:rsidR="004F539B" w:rsidRPr="00D46424" w:rsidRDefault="004F539B" w:rsidP="00D46424">
            <w:pPr>
              <w:rPr>
                <w:rFonts w:ascii="Palatino Linotype" w:eastAsia="Times New Roman" w:hAnsi="Palatino Linotype" w:cs="Times New Roman"/>
                <w:bCs/>
                <w:color w:val="000000" w:themeColor="text1"/>
                <w:sz w:val="18"/>
                <w:szCs w:val="18"/>
              </w:rPr>
            </w:pPr>
            <w:proofErr w:type="spellStart"/>
            <w:r w:rsidRPr="00D46424">
              <w:rPr>
                <w:rFonts w:ascii="Palatino Linotype" w:eastAsia="Times New Roman" w:hAnsi="Palatino Linotype" w:cs="Times New Roman"/>
                <w:bCs/>
                <w:color w:val="000000" w:themeColor="text1"/>
                <w:sz w:val="18"/>
                <w:szCs w:val="18"/>
              </w:rPr>
              <w:t>Wansunt</w:t>
            </w:r>
            <w:proofErr w:type="spellEnd"/>
            <w:r w:rsidRPr="00D46424">
              <w:rPr>
                <w:rFonts w:ascii="Palatino Linotype" w:eastAsia="Times New Roman" w:hAnsi="Palatino Linotype" w:cs="Times New Roman"/>
                <w:bCs/>
                <w:color w:val="000000" w:themeColor="text1"/>
                <w:sz w:val="18"/>
                <w:szCs w:val="18"/>
              </w:rPr>
              <w:t xml:space="preserve"> Untwisted (n=19)</w:t>
            </w:r>
          </w:p>
        </w:tc>
        <w:tc>
          <w:tcPr>
            <w:tcW w:w="1134" w:type="dxa"/>
            <w:shd w:val="clear" w:color="auto" w:fill="auto"/>
            <w:noWrap/>
            <w:hideMark/>
          </w:tcPr>
          <w:p w14:paraId="610C6D8F"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88.3 (17.5)</w:t>
            </w:r>
          </w:p>
        </w:tc>
        <w:tc>
          <w:tcPr>
            <w:tcW w:w="1134" w:type="dxa"/>
            <w:shd w:val="clear" w:color="auto" w:fill="auto"/>
            <w:noWrap/>
            <w:hideMark/>
          </w:tcPr>
          <w:p w14:paraId="34D3EC54"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64.8 (13.3)</w:t>
            </w:r>
          </w:p>
        </w:tc>
        <w:tc>
          <w:tcPr>
            <w:tcW w:w="1008" w:type="dxa"/>
            <w:shd w:val="clear" w:color="auto" w:fill="auto"/>
            <w:noWrap/>
            <w:hideMark/>
          </w:tcPr>
          <w:p w14:paraId="411E2324"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23.9 (4.5)</w:t>
            </w:r>
          </w:p>
        </w:tc>
        <w:tc>
          <w:tcPr>
            <w:tcW w:w="1260" w:type="dxa"/>
            <w:shd w:val="clear" w:color="auto" w:fill="auto"/>
            <w:noWrap/>
            <w:hideMark/>
          </w:tcPr>
          <w:p w14:paraId="3C36E0A3"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54.9 (13.3)</w:t>
            </w:r>
          </w:p>
        </w:tc>
        <w:tc>
          <w:tcPr>
            <w:tcW w:w="1134" w:type="dxa"/>
            <w:shd w:val="clear" w:color="auto" w:fill="auto"/>
            <w:noWrap/>
            <w:hideMark/>
          </w:tcPr>
          <w:p w14:paraId="2054AEC6"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0.74 (0.08)</w:t>
            </w:r>
          </w:p>
        </w:tc>
        <w:tc>
          <w:tcPr>
            <w:tcW w:w="1134" w:type="dxa"/>
            <w:shd w:val="clear" w:color="auto" w:fill="auto"/>
            <w:noWrap/>
            <w:hideMark/>
          </w:tcPr>
          <w:p w14:paraId="6BC1A86F"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0.37 (0.04)</w:t>
            </w:r>
          </w:p>
        </w:tc>
      </w:tr>
      <w:tr w:rsidR="00D46424" w:rsidRPr="00D46424" w14:paraId="7DAFD066" w14:textId="77777777" w:rsidTr="00D46424">
        <w:tc>
          <w:tcPr>
            <w:tcW w:w="2547" w:type="dxa"/>
            <w:shd w:val="clear" w:color="auto" w:fill="auto"/>
            <w:noWrap/>
            <w:hideMark/>
          </w:tcPr>
          <w:p w14:paraId="4695B3C2" w14:textId="77777777" w:rsidR="004F539B" w:rsidRPr="00D46424" w:rsidRDefault="004F539B" w:rsidP="00D46424">
            <w:pPr>
              <w:rPr>
                <w:rFonts w:ascii="Palatino Linotype" w:eastAsia="Times New Roman" w:hAnsi="Palatino Linotype" w:cs="Times New Roman"/>
                <w:bCs/>
                <w:color w:val="000000" w:themeColor="text1"/>
                <w:sz w:val="18"/>
                <w:szCs w:val="18"/>
              </w:rPr>
            </w:pPr>
            <w:r w:rsidRPr="00D46424">
              <w:rPr>
                <w:rFonts w:ascii="Palatino Linotype" w:eastAsia="Times New Roman" w:hAnsi="Palatino Linotype" w:cs="Times New Roman"/>
                <w:bCs/>
                <w:color w:val="000000" w:themeColor="text1"/>
                <w:sz w:val="18"/>
                <w:szCs w:val="18"/>
              </w:rPr>
              <w:t>Elveden Twisted (n=25)</w:t>
            </w:r>
          </w:p>
        </w:tc>
        <w:tc>
          <w:tcPr>
            <w:tcW w:w="1134" w:type="dxa"/>
            <w:shd w:val="clear" w:color="auto" w:fill="auto"/>
            <w:noWrap/>
            <w:hideMark/>
          </w:tcPr>
          <w:p w14:paraId="781DFA35"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105.5 (25.1)</w:t>
            </w:r>
          </w:p>
        </w:tc>
        <w:tc>
          <w:tcPr>
            <w:tcW w:w="1134" w:type="dxa"/>
            <w:shd w:val="clear" w:color="auto" w:fill="auto"/>
            <w:noWrap/>
            <w:hideMark/>
          </w:tcPr>
          <w:p w14:paraId="3114B033"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66.0 (14.6)</w:t>
            </w:r>
          </w:p>
        </w:tc>
        <w:tc>
          <w:tcPr>
            <w:tcW w:w="1008" w:type="dxa"/>
            <w:shd w:val="clear" w:color="auto" w:fill="auto"/>
            <w:noWrap/>
            <w:hideMark/>
          </w:tcPr>
          <w:p w14:paraId="01B87291"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28.9 (6.8)</w:t>
            </w:r>
          </w:p>
        </w:tc>
        <w:tc>
          <w:tcPr>
            <w:tcW w:w="1260" w:type="dxa"/>
            <w:shd w:val="clear" w:color="auto" w:fill="auto"/>
            <w:noWrap/>
            <w:hideMark/>
          </w:tcPr>
          <w:p w14:paraId="1C0FD695"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63.1 (21.2)</w:t>
            </w:r>
          </w:p>
        </w:tc>
        <w:tc>
          <w:tcPr>
            <w:tcW w:w="1134" w:type="dxa"/>
            <w:shd w:val="clear" w:color="auto" w:fill="auto"/>
            <w:noWrap/>
            <w:hideMark/>
          </w:tcPr>
          <w:p w14:paraId="26A7C48F"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0.63 (0.09)</w:t>
            </w:r>
          </w:p>
        </w:tc>
        <w:tc>
          <w:tcPr>
            <w:tcW w:w="1134" w:type="dxa"/>
            <w:shd w:val="clear" w:color="auto" w:fill="auto"/>
            <w:noWrap/>
            <w:hideMark/>
          </w:tcPr>
          <w:p w14:paraId="0D2C75CC"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0.44 (0.09)</w:t>
            </w:r>
          </w:p>
        </w:tc>
      </w:tr>
      <w:tr w:rsidR="00D46424" w:rsidRPr="00D46424" w14:paraId="4C794428" w14:textId="77777777" w:rsidTr="00D46424">
        <w:tc>
          <w:tcPr>
            <w:tcW w:w="2547" w:type="dxa"/>
            <w:shd w:val="clear" w:color="auto" w:fill="auto"/>
            <w:noWrap/>
            <w:hideMark/>
          </w:tcPr>
          <w:p w14:paraId="5CDAC939" w14:textId="77777777" w:rsidR="004F539B" w:rsidRPr="00D46424" w:rsidRDefault="004F539B" w:rsidP="00D46424">
            <w:pPr>
              <w:rPr>
                <w:rFonts w:ascii="Palatino Linotype" w:eastAsia="Times New Roman" w:hAnsi="Palatino Linotype" w:cs="Times New Roman"/>
                <w:bCs/>
                <w:color w:val="000000" w:themeColor="text1"/>
                <w:sz w:val="18"/>
                <w:szCs w:val="18"/>
              </w:rPr>
            </w:pPr>
            <w:r w:rsidRPr="00D46424">
              <w:rPr>
                <w:rFonts w:ascii="Palatino Linotype" w:eastAsia="Times New Roman" w:hAnsi="Palatino Linotype" w:cs="Times New Roman"/>
                <w:bCs/>
                <w:color w:val="000000" w:themeColor="text1"/>
                <w:sz w:val="18"/>
                <w:szCs w:val="18"/>
              </w:rPr>
              <w:t>Elveden Untwisted (n=29)</w:t>
            </w:r>
          </w:p>
        </w:tc>
        <w:tc>
          <w:tcPr>
            <w:tcW w:w="1134" w:type="dxa"/>
            <w:shd w:val="clear" w:color="auto" w:fill="auto"/>
            <w:noWrap/>
            <w:hideMark/>
          </w:tcPr>
          <w:p w14:paraId="50666666"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110.0 (26.1)</w:t>
            </w:r>
          </w:p>
        </w:tc>
        <w:tc>
          <w:tcPr>
            <w:tcW w:w="1134" w:type="dxa"/>
            <w:shd w:val="clear" w:color="auto" w:fill="auto"/>
            <w:noWrap/>
            <w:hideMark/>
          </w:tcPr>
          <w:p w14:paraId="037336F8"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66.4 (17.1)</w:t>
            </w:r>
          </w:p>
        </w:tc>
        <w:tc>
          <w:tcPr>
            <w:tcW w:w="1008" w:type="dxa"/>
            <w:shd w:val="clear" w:color="auto" w:fill="auto"/>
            <w:noWrap/>
            <w:hideMark/>
          </w:tcPr>
          <w:p w14:paraId="76106863"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30.3 (6.8)</w:t>
            </w:r>
          </w:p>
        </w:tc>
        <w:tc>
          <w:tcPr>
            <w:tcW w:w="1260" w:type="dxa"/>
            <w:shd w:val="clear" w:color="auto" w:fill="auto"/>
            <w:noWrap/>
            <w:hideMark/>
          </w:tcPr>
          <w:p w14:paraId="6E8182D1"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58.0 (18.0)</w:t>
            </w:r>
          </w:p>
        </w:tc>
        <w:tc>
          <w:tcPr>
            <w:tcW w:w="1134" w:type="dxa"/>
            <w:shd w:val="clear" w:color="auto" w:fill="auto"/>
            <w:noWrap/>
            <w:hideMark/>
          </w:tcPr>
          <w:p w14:paraId="798478A5"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0.61 (0.10)</w:t>
            </w:r>
          </w:p>
        </w:tc>
        <w:tc>
          <w:tcPr>
            <w:tcW w:w="1134" w:type="dxa"/>
            <w:shd w:val="clear" w:color="auto" w:fill="auto"/>
            <w:noWrap/>
            <w:hideMark/>
          </w:tcPr>
          <w:p w14:paraId="6A15415C"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0.47 (0.09)</w:t>
            </w:r>
          </w:p>
        </w:tc>
      </w:tr>
      <w:tr w:rsidR="00D46424" w:rsidRPr="00D46424" w14:paraId="3BAE640C" w14:textId="77777777" w:rsidTr="00D46424">
        <w:tc>
          <w:tcPr>
            <w:tcW w:w="2547" w:type="dxa"/>
            <w:shd w:val="clear" w:color="auto" w:fill="auto"/>
            <w:noWrap/>
            <w:hideMark/>
          </w:tcPr>
          <w:p w14:paraId="63389549" w14:textId="77777777" w:rsidR="004F539B" w:rsidRPr="00D46424" w:rsidRDefault="004F539B" w:rsidP="00D46424">
            <w:pPr>
              <w:rPr>
                <w:rFonts w:ascii="Palatino Linotype" w:eastAsia="Times New Roman" w:hAnsi="Palatino Linotype" w:cs="Times New Roman"/>
                <w:bCs/>
                <w:color w:val="000000" w:themeColor="text1"/>
                <w:sz w:val="18"/>
                <w:szCs w:val="18"/>
              </w:rPr>
            </w:pPr>
            <w:r w:rsidRPr="00D46424">
              <w:rPr>
                <w:rFonts w:ascii="Palatino Linotype" w:eastAsia="Times New Roman" w:hAnsi="Palatino Linotype" w:cs="Times New Roman"/>
                <w:bCs/>
                <w:color w:val="000000" w:themeColor="text1"/>
                <w:sz w:val="18"/>
                <w:szCs w:val="18"/>
              </w:rPr>
              <w:t>Hitchin Twisted (n=9)</w:t>
            </w:r>
          </w:p>
        </w:tc>
        <w:tc>
          <w:tcPr>
            <w:tcW w:w="1134" w:type="dxa"/>
            <w:shd w:val="clear" w:color="auto" w:fill="auto"/>
            <w:noWrap/>
            <w:hideMark/>
          </w:tcPr>
          <w:p w14:paraId="0CC3FACC"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104.9 (25.3)</w:t>
            </w:r>
          </w:p>
        </w:tc>
        <w:tc>
          <w:tcPr>
            <w:tcW w:w="1134" w:type="dxa"/>
            <w:shd w:val="clear" w:color="auto" w:fill="auto"/>
            <w:noWrap/>
            <w:hideMark/>
          </w:tcPr>
          <w:p w14:paraId="55791F74"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65.7 (15.9)</w:t>
            </w:r>
          </w:p>
        </w:tc>
        <w:tc>
          <w:tcPr>
            <w:tcW w:w="1008" w:type="dxa"/>
            <w:shd w:val="clear" w:color="auto" w:fill="auto"/>
            <w:noWrap/>
            <w:hideMark/>
          </w:tcPr>
          <w:p w14:paraId="22B87996"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27.7 (7.3)</w:t>
            </w:r>
          </w:p>
        </w:tc>
        <w:tc>
          <w:tcPr>
            <w:tcW w:w="1260" w:type="dxa"/>
            <w:shd w:val="clear" w:color="auto" w:fill="auto"/>
            <w:noWrap/>
            <w:hideMark/>
          </w:tcPr>
          <w:p w14:paraId="1A1D3E2B"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59.8 (11.5)</w:t>
            </w:r>
          </w:p>
        </w:tc>
        <w:tc>
          <w:tcPr>
            <w:tcW w:w="1134" w:type="dxa"/>
            <w:shd w:val="clear" w:color="auto" w:fill="auto"/>
            <w:noWrap/>
            <w:hideMark/>
          </w:tcPr>
          <w:p w14:paraId="6EE6C6D1"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0.64 (0.06)</w:t>
            </w:r>
          </w:p>
        </w:tc>
        <w:tc>
          <w:tcPr>
            <w:tcW w:w="1134" w:type="dxa"/>
            <w:shd w:val="clear" w:color="auto" w:fill="auto"/>
            <w:noWrap/>
            <w:hideMark/>
          </w:tcPr>
          <w:p w14:paraId="26663FE8"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0.43 (0.08)</w:t>
            </w:r>
          </w:p>
        </w:tc>
      </w:tr>
      <w:tr w:rsidR="00D46424" w:rsidRPr="00D46424" w14:paraId="6BB6D75C" w14:textId="77777777" w:rsidTr="00D46424">
        <w:tc>
          <w:tcPr>
            <w:tcW w:w="2547" w:type="dxa"/>
            <w:shd w:val="clear" w:color="auto" w:fill="auto"/>
            <w:noWrap/>
            <w:hideMark/>
          </w:tcPr>
          <w:p w14:paraId="2C41061D" w14:textId="77777777" w:rsidR="004F539B" w:rsidRPr="00D46424" w:rsidRDefault="004F539B" w:rsidP="00D46424">
            <w:pPr>
              <w:rPr>
                <w:rFonts w:ascii="Palatino Linotype" w:eastAsia="Times New Roman" w:hAnsi="Palatino Linotype" w:cs="Times New Roman"/>
                <w:bCs/>
                <w:color w:val="000000" w:themeColor="text1"/>
                <w:sz w:val="18"/>
                <w:szCs w:val="18"/>
              </w:rPr>
            </w:pPr>
            <w:r w:rsidRPr="00D46424">
              <w:rPr>
                <w:rFonts w:ascii="Palatino Linotype" w:eastAsia="Times New Roman" w:hAnsi="Palatino Linotype" w:cs="Times New Roman"/>
                <w:bCs/>
                <w:color w:val="000000" w:themeColor="text1"/>
                <w:sz w:val="18"/>
                <w:szCs w:val="18"/>
              </w:rPr>
              <w:t>Hitchin Untwisted (n=15)</w:t>
            </w:r>
          </w:p>
        </w:tc>
        <w:tc>
          <w:tcPr>
            <w:tcW w:w="1134" w:type="dxa"/>
            <w:shd w:val="clear" w:color="auto" w:fill="auto"/>
            <w:noWrap/>
            <w:hideMark/>
          </w:tcPr>
          <w:p w14:paraId="559453A3"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101.2 (25.5)</w:t>
            </w:r>
          </w:p>
        </w:tc>
        <w:tc>
          <w:tcPr>
            <w:tcW w:w="1134" w:type="dxa"/>
            <w:shd w:val="clear" w:color="auto" w:fill="auto"/>
            <w:noWrap/>
            <w:hideMark/>
          </w:tcPr>
          <w:p w14:paraId="36596A88"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60.1 (12.5)</w:t>
            </w:r>
          </w:p>
        </w:tc>
        <w:tc>
          <w:tcPr>
            <w:tcW w:w="1008" w:type="dxa"/>
            <w:shd w:val="clear" w:color="auto" w:fill="auto"/>
            <w:noWrap/>
            <w:hideMark/>
          </w:tcPr>
          <w:p w14:paraId="1F58C6D7"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28.9 (8.2)</w:t>
            </w:r>
          </w:p>
        </w:tc>
        <w:tc>
          <w:tcPr>
            <w:tcW w:w="1260" w:type="dxa"/>
            <w:shd w:val="clear" w:color="auto" w:fill="auto"/>
            <w:noWrap/>
            <w:hideMark/>
          </w:tcPr>
          <w:p w14:paraId="2BD0DB02"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48.3 (11.5)</w:t>
            </w:r>
          </w:p>
        </w:tc>
        <w:tc>
          <w:tcPr>
            <w:tcW w:w="1134" w:type="dxa"/>
            <w:shd w:val="clear" w:color="auto" w:fill="auto"/>
            <w:noWrap/>
            <w:hideMark/>
          </w:tcPr>
          <w:p w14:paraId="066E9859"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0.61 (0.14)</w:t>
            </w:r>
          </w:p>
        </w:tc>
        <w:tc>
          <w:tcPr>
            <w:tcW w:w="1134" w:type="dxa"/>
            <w:shd w:val="clear" w:color="auto" w:fill="auto"/>
            <w:noWrap/>
            <w:hideMark/>
          </w:tcPr>
          <w:p w14:paraId="5BD73FC9"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0.48 (0.11)</w:t>
            </w:r>
          </w:p>
        </w:tc>
      </w:tr>
      <w:tr w:rsidR="00D46424" w:rsidRPr="00D46424" w14:paraId="496C4E39" w14:textId="77777777" w:rsidTr="00D46424">
        <w:tc>
          <w:tcPr>
            <w:tcW w:w="2547" w:type="dxa"/>
            <w:tcBorders>
              <w:bottom w:val="single" w:sz="6" w:space="0" w:color="BFBFBF" w:themeColor="background1" w:themeShade="BF"/>
            </w:tcBorders>
            <w:shd w:val="clear" w:color="auto" w:fill="auto"/>
            <w:noWrap/>
            <w:hideMark/>
          </w:tcPr>
          <w:p w14:paraId="6070E05A" w14:textId="77777777" w:rsidR="004F539B" w:rsidRPr="00D46424" w:rsidRDefault="004F539B" w:rsidP="00D46424">
            <w:pPr>
              <w:rPr>
                <w:rFonts w:ascii="Palatino Linotype" w:eastAsia="Times New Roman" w:hAnsi="Palatino Linotype" w:cs="Times New Roman"/>
                <w:bCs/>
                <w:color w:val="000000" w:themeColor="text1"/>
                <w:sz w:val="18"/>
                <w:szCs w:val="18"/>
              </w:rPr>
            </w:pPr>
            <w:r w:rsidRPr="00D46424">
              <w:rPr>
                <w:rFonts w:ascii="Palatino Linotype" w:eastAsia="Times New Roman" w:hAnsi="Palatino Linotype" w:cs="Times New Roman"/>
                <w:bCs/>
                <w:color w:val="000000" w:themeColor="text1"/>
                <w:sz w:val="18"/>
                <w:szCs w:val="18"/>
              </w:rPr>
              <w:t>Foxhall Road Grey Clay Twisted (n=7)</w:t>
            </w:r>
          </w:p>
        </w:tc>
        <w:tc>
          <w:tcPr>
            <w:tcW w:w="1134" w:type="dxa"/>
            <w:tcBorders>
              <w:bottom w:val="single" w:sz="6" w:space="0" w:color="BFBFBF" w:themeColor="background1" w:themeShade="BF"/>
            </w:tcBorders>
            <w:shd w:val="clear" w:color="auto" w:fill="auto"/>
            <w:noWrap/>
            <w:hideMark/>
          </w:tcPr>
          <w:p w14:paraId="655BC751"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96.0 (16.1)</w:t>
            </w:r>
          </w:p>
        </w:tc>
        <w:tc>
          <w:tcPr>
            <w:tcW w:w="1134" w:type="dxa"/>
            <w:tcBorders>
              <w:bottom w:val="single" w:sz="6" w:space="0" w:color="BFBFBF" w:themeColor="background1" w:themeShade="BF"/>
            </w:tcBorders>
            <w:shd w:val="clear" w:color="auto" w:fill="auto"/>
            <w:noWrap/>
            <w:hideMark/>
          </w:tcPr>
          <w:p w14:paraId="0CFA5A7A"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73.0 (13.8)</w:t>
            </w:r>
          </w:p>
        </w:tc>
        <w:tc>
          <w:tcPr>
            <w:tcW w:w="1008" w:type="dxa"/>
            <w:tcBorders>
              <w:bottom w:val="single" w:sz="6" w:space="0" w:color="BFBFBF" w:themeColor="background1" w:themeShade="BF"/>
            </w:tcBorders>
            <w:shd w:val="clear" w:color="auto" w:fill="auto"/>
            <w:noWrap/>
            <w:hideMark/>
          </w:tcPr>
          <w:p w14:paraId="7B6DAAF2"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26.7 (7.1)</w:t>
            </w:r>
          </w:p>
        </w:tc>
        <w:tc>
          <w:tcPr>
            <w:tcW w:w="1260" w:type="dxa"/>
            <w:tcBorders>
              <w:bottom w:val="single" w:sz="6" w:space="0" w:color="BFBFBF" w:themeColor="background1" w:themeShade="BF"/>
            </w:tcBorders>
            <w:shd w:val="clear" w:color="auto" w:fill="auto"/>
            <w:noWrap/>
            <w:hideMark/>
          </w:tcPr>
          <w:p w14:paraId="394401B2"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73.1 (13.2)</w:t>
            </w:r>
          </w:p>
        </w:tc>
        <w:tc>
          <w:tcPr>
            <w:tcW w:w="1134" w:type="dxa"/>
            <w:tcBorders>
              <w:bottom w:val="single" w:sz="6" w:space="0" w:color="BFBFBF" w:themeColor="background1" w:themeShade="BF"/>
            </w:tcBorders>
            <w:shd w:val="clear" w:color="auto" w:fill="auto"/>
            <w:noWrap/>
            <w:hideMark/>
          </w:tcPr>
          <w:p w14:paraId="0101E634"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0.76 (0.04)</w:t>
            </w:r>
          </w:p>
        </w:tc>
        <w:tc>
          <w:tcPr>
            <w:tcW w:w="1134" w:type="dxa"/>
            <w:tcBorders>
              <w:bottom w:val="single" w:sz="6" w:space="0" w:color="BFBFBF" w:themeColor="background1" w:themeShade="BF"/>
            </w:tcBorders>
            <w:shd w:val="clear" w:color="auto" w:fill="auto"/>
            <w:noWrap/>
            <w:hideMark/>
          </w:tcPr>
          <w:p w14:paraId="40E918E1"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0.36 (0.04)</w:t>
            </w:r>
          </w:p>
        </w:tc>
      </w:tr>
      <w:tr w:rsidR="00D46424" w:rsidRPr="00D46424" w14:paraId="432FA284" w14:textId="77777777" w:rsidTr="00D46424">
        <w:tc>
          <w:tcPr>
            <w:tcW w:w="2547" w:type="dxa"/>
            <w:tcBorders>
              <w:top w:val="single" w:sz="6" w:space="0" w:color="BFBFBF" w:themeColor="background1" w:themeShade="BF"/>
              <w:bottom w:val="single" w:sz="4" w:space="0" w:color="auto"/>
            </w:tcBorders>
            <w:shd w:val="clear" w:color="auto" w:fill="auto"/>
            <w:noWrap/>
            <w:hideMark/>
          </w:tcPr>
          <w:p w14:paraId="50C8A288" w14:textId="2284E0A0" w:rsidR="004F539B" w:rsidRDefault="004F539B" w:rsidP="00D46424">
            <w:pPr>
              <w:rPr>
                <w:rFonts w:ascii="Palatino Linotype" w:eastAsia="Times New Roman" w:hAnsi="Palatino Linotype" w:cs="Times New Roman"/>
                <w:bCs/>
                <w:color w:val="000000" w:themeColor="text1"/>
                <w:sz w:val="18"/>
                <w:szCs w:val="18"/>
              </w:rPr>
            </w:pPr>
            <w:r w:rsidRPr="00D46424">
              <w:rPr>
                <w:rFonts w:ascii="Palatino Linotype" w:eastAsia="Times New Roman" w:hAnsi="Palatino Linotype" w:cs="Times New Roman"/>
                <w:bCs/>
                <w:color w:val="000000" w:themeColor="text1"/>
                <w:sz w:val="18"/>
                <w:szCs w:val="18"/>
              </w:rPr>
              <w:t>Foxhall Road Grey Clay Untwisted (n=11)</w:t>
            </w:r>
          </w:p>
          <w:p w14:paraId="5EAA2CD8" w14:textId="77777777" w:rsidR="00EE11F6" w:rsidRPr="00D46424" w:rsidRDefault="00EE11F6" w:rsidP="00D46424">
            <w:pPr>
              <w:rPr>
                <w:rFonts w:ascii="Palatino Linotype" w:eastAsia="Times New Roman" w:hAnsi="Palatino Linotype" w:cs="Times New Roman"/>
                <w:bCs/>
                <w:color w:val="000000" w:themeColor="text1"/>
                <w:sz w:val="18"/>
                <w:szCs w:val="18"/>
              </w:rPr>
            </w:pPr>
          </w:p>
          <w:p w14:paraId="5B01C7E2" w14:textId="70E30877" w:rsidR="00D46424" w:rsidRPr="00D46424" w:rsidRDefault="00D46424" w:rsidP="00D46424">
            <w:pPr>
              <w:rPr>
                <w:rFonts w:ascii="Palatino Linotype" w:eastAsia="Times New Roman" w:hAnsi="Palatino Linotype" w:cs="Times New Roman"/>
                <w:bCs/>
                <w:color w:val="000000" w:themeColor="text1"/>
                <w:sz w:val="18"/>
                <w:szCs w:val="18"/>
              </w:rPr>
            </w:pPr>
          </w:p>
        </w:tc>
        <w:tc>
          <w:tcPr>
            <w:tcW w:w="1134" w:type="dxa"/>
            <w:tcBorders>
              <w:top w:val="single" w:sz="6" w:space="0" w:color="BFBFBF" w:themeColor="background1" w:themeShade="BF"/>
              <w:bottom w:val="single" w:sz="4" w:space="0" w:color="auto"/>
            </w:tcBorders>
            <w:shd w:val="clear" w:color="auto" w:fill="auto"/>
            <w:noWrap/>
            <w:hideMark/>
          </w:tcPr>
          <w:p w14:paraId="6E5E0782"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76.0 (13.7)</w:t>
            </w:r>
          </w:p>
        </w:tc>
        <w:tc>
          <w:tcPr>
            <w:tcW w:w="1134" w:type="dxa"/>
            <w:tcBorders>
              <w:top w:val="single" w:sz="6" w:space="0" w:color="BFBFBF" w:themeColor="background1" w:themeShade="BF"/>
              <w:bottom w:val="single" w:sz="4" w:space="0" w:color="auto"/>
            </w:tcBorders>
            <w:shd w:val="clear" w:color="auto" w:fill="auto"/>
            <w:noWrap/>
            <w:hideMark/>
          </w:tcPr>
          <w:p w14:paraId="28530156"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51.5 (6.4)</w:t>
            </w:r>
          </w:p>
        </w:tc>
        <w:tc>
          <w:tcPr>
            <w:tcW w:w="1008" w:type="dxa"/>
            <w:tcBorders>
              <w:top w:val="single" w:sz="6" w:space="0" w:color="BFBFBF" w:themeColor="background1" w:themeShade="BF"/>
              <w:bottom w:val="single" w:sz="4" w:space="0" w:color="auto"/>
            </w:tcBorders>
            <w:shd w:val="clear" w:color="auto" w:fill="auto"/>
            <w:noWrap/>
            <w:hideMark/>
          </w:tcPr>
          <w:p w14:paraId="13670481"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24.0 (3.2)</w:t>
            </w:r>
          </w:p>
        </w:tc>
        <w:tc>
          <w:tcPr>
            <w:tcW w:w="1260" w:type="dxa"/>
            <w:tcBorders>
              <w:top w:val="single" w:sz="6" w:space="0" w:color="BFBFBF" w:themeColor="background1" w:themeShade="BF"/>
              <w:bottom w:val="single" w:sz="4" w:space="0" w:color="auto"/>
            </w:tcBorders>
            <w:shd w:val="clear" w:color="auto" w:fill="auto"/>
            <w:noWrap/>
            <w:hideMark/>
          </w:tcPr>
          <w:p w14:paraId="72248E8B"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41.5 (14.0)</w:t>
            </w:r>
          </w:p>
        </w:tc>
        <w:tc>
          <w:tcPr>
            <w:tcW w:w="1134" w:type="dxa"/>
            <w:tcBorders>
              <w:top w:val="single" w:sz="6" w:space="0" w:color="BFBFBF" w:themeColor="background1" w:themeShade="BF"/>
              <w:bottom w:val="single" w:sz="4" w:space="0" w:color="auto"/>
            </w:tcBorders>
            <w:shd w:val="clear" w:color="auto" w:fill="auto"/>
            <w:noWrap/>
            <w:hideMark/>
          </w:tcPr>
          <w:p w14:paraId="7F7D67D9"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0.68 (0.04)</w:t>
            </w:r>
          </w:p>
        </w:tc>
        <w:tc>
          <w:tcPr>
            <w:tcW w:w="1134" w:type="dxa"/>
            <w:tcBorders>
              <w:top w:val="single" w:sz="6" w:space="0" w:color="BFBFBF" w:themeColor="background1" w:themeShade="BF"/>
              <w:bottom w:val="single" w:sz="4" w:space="0" w:color="auto"/>
            </w:tcBorders>
            <w:shd w:val="clear" w:color="auto" w:fill="auto"/>
            <w:noWrap/>
            <w:hideMark/>
          </w:tcPr>
          <w:p w14:paraId="0905EBB1" w14:textId="77777777" w:rsidR="004F539B" w:rsidRPr="00D46424" w:rsidRDefault="004F539B" w:rsidP="00D46424">
            <w:pPr>
              <w:jc w:val="center"/>
              <w:rPr>
                <w:rFonts w:ascii="Palatino Linotype" w:eastAsia="Times New Roman" w:hAnsi="Palatino Linotype" w:cs="Times New Roman"/>
                <w:color w:val="000000" w:themeColor="text1"/>
                <w:sz w:val="18"/>
                <w:szCs w:val="18"/>
              </w:rPr>
            </w:pPr>
            <w:r w:rsidRPr="00D46424">
              <w:rPr>
                <w:rFonts w:ascii="Palatino Linotype" w:eastAsia="Times New Roman" w:hAnsi="Palatino Linotype" w:cs="Times New Roman"/>
                <w:color w:val="000000" w:themeColor="text1"/>
                <w:sz w:val="18"/>
                <w:szCs w:val="18"/>
              </w:rPr>
              <w:t>0.47 (0.02)</w:t>
            </w:r>
          </w:p>
        </w:tc>
      </w:tr>
    </w:tbl>
    <w:p w14:paraId="157A8B28" w14:textId="77777777" w:rsidR="004F539B" w:rsidRPr="00A675C5" w:rsidRDefault="004F539B" w:rsidP="00A675C5">
      <w:pPr>
        <w:tabs>
          <w:tab w:val="left" w:pos="720"/>
          <w:tab w:val="left" w:pos="1440"/>
          <w:tab w:val="left" w:pos="2160"/>
          <w:tab w:val="left" w:pos="2880"/>
          <w:tab w:val="left" w:pos="3600"/>
          <w:tab w:val="left" w:pos="4320"/>
        </w:tabs>
        <w:ind w:firstLine="720"/>
        <w:jc w:val="both"/>
        <w:rPr>
          <w:rFonts w:ascii="Palatino Linotype" w:hAnsi="Palatino Linotype" w:cs="Times New Roman"/>
          <w:color w:val="000000" w:themeColor="text1"/>
        </w:rPr>
      </w:pPr>
    </w:p>
    <w:p w14:paraId="10EA7860" w14:textId="47C93F70" w:rsidR="00D46424" w:rsidRPr="00D46424" w:rsidRDefault="00D46424" w:rsidP="00D46424">
      <w:pPr>
        <w:tabs>
          <w:tab w:val="left" w:pos="720"/>
          <w:tab w:val="left" w:pos="1440"/>
          <w:tab w:val="left" w:pos="2160"/>
          <w:tab w:val="left" w:pos="2880"/>
          <w:tab w:val="left" w:pos="3600"/>
          <w:tab w:val="left" w:pos="4320"/>
        </w:tabs>
        <w:ind w:left="113"/>
        <w:rPr>
          <w:rFonts w:ascii="Palatino Linotype" w:hAnsi="Palatino Linotype" w:cs="Times New Roman"/>
          <w:color w:val="000000" w:themeColor="text1"/>
          <w:sz w:val="18"/>
        </w:rPr>
      </w:pPr>
      <w:r w:rsidRPr="00D46424">
        <w:rPr>
          <w:rFonts w:ascii="Palatino Linotype" w:hAnsi="Palatino Linotype" w:cs="Times New Roman"/>
          <w:color w:val="000000" w:themeColor="text1"/>
          <w:sz w:val="18"/>
        </w:rPr>
        <w:t>Data are presented for twisted handaxes and for non-twisted handaxes falling into Roe’s metrically-defined ovate category.</w:t>
      </w:r>
      <w:r w:rsidR="001161B7">
        <w:rPr>
          <w:rFonts w:ascii="Palatino Linotype" w:hAnsi="Palatino Linotype" w:cs="Times New Roman"/>
          <w:color w:val="000000" w:themeColor="text1"/>
          <w:sz w:val="18"/>
        </w:rPr>
        <w:t xml:space="preserve"> </w:t>
      </w:r>
      <w:r w:rsidRPr="00D46424">
        <w:rPr>
          <w:rFonts w:ascii="Palatino Linotype" w:hAnsi="Palatino Linotype" w:cs="Times New Roman"/>
          <w:color w:val="000000" w:themeColor="text1"/>
          <w:sz w:val="18"/>
        </w:rPr>
        <w:t xml:space="preserve">Pointed </w:t>
      </w:r>
      <w:proofErr w:type="spellStart"/>
      <w:r w:rsidRPr="00D46424">
        <w:rPr>
          <w:rFonts w:ascii="Palatino Linotype" w:hAnsi="Palatino Linotype" w:cs="Times New Roman"/>
          <w:color w:val="000000" w:themeColor="text1"/>
          <w:sz w:val="18"/>
        </w:rPr>
        <w:t>handaxes</w:t>
      </w:r>
      <w:proofErr w:type="spellEnd"/>
      <w:r w:rsidRPr="00D46424">
        <w:rPr>
          <w:rFonts w:ascii="Palatino Linotype" w:hAnsi="Palatino Linotype" w:cs="Times New Roman"/>
          <w:color w:val="000000" w:themeColor="text1"/>
          <w:sz w:val="18"/>
        </w:rPr>
        <w:t xml:space="preserve"> are excluded as their ‘starting’ shape renders it improbable that they could ever be re-sharpened into twisted </w:t>
      </w:r>
      <w:proofErr w:type="spellStart"/>
      <w:r w:rsidRPr="00D46424">
        <w:rPr>
          <w:rFonts w:ascii="Palatino Linotype" w:hAnsi="Palatino Linotype" w:cs="Times New Roman"/>
          <w:color w:val="000000" w:themeColor="text1"/>
          <w:sz w:val="18"/>
        </w:rPr>
        <w:t>ovates</w:t>
      </w:r>
      <w:proofErr w:type="spellEnd"/>
      <w:r w:rsidRPr="00D46424">
        <w:rPr>
          <w:rFonts w:ascii="Palatino Linotype" w:hAnsi="Palatino Linotype" w:cs="Times New Roman"/>
          <w:color w:val="000000" w:themeColor="text1"/>
          <w:sz w:val="18"/>
        </w:rPr>
        <w:t>.</w:t>
      </w:r>
    </w:p>
    <w:p w14:paraId="66720702" w14:textId="77777777" w:rsidR="00D46424" w:rsidRDefault="00D46424" w:rsidP="00A675C5">
      <w:pPr>
        <w:tabs>
          <w:tab w:val="left" w:pos="720"/>
          <w:tab w:val="left" w:pos="1440"/>
          <w:tab w:val="left" w:pos="2160"/>
          <w:tab w:val="left" w:pos="2880"/>
          <w:tab w:val="left" w:pos="3600"/>
          <w:tab w:val="left" w:pos="4320"/>
        </w:tabs>
        <w:ind w:firstLine="720"/>
        <w:jc w:val="both"/>
        <w:rPr>
          <w:rFonts w:ascii="Palatino Linotype" w:hAnsi="Palatino Linotype" w:cs="Times New Roman"/>
          <w:color w:val="000000" w:themeColor="text1"/>
        </w:rPr>
      </w:pPr>
    </w:p>
    <w:p w14:paraId="3DB81163" w14:textId="77777777" w:rsidR="00D46424" w:rsidRDefault="00D46424" w:rsidP="00A675C5">
      <w:pPr>
        <w:tabs>
          <w:tab w:val="left" w:pos="720"/>
          <w:tab w:val="left" w:pos="1440"/>
          <w:tab w:val="left" w:pos="2160"/>
          <w:tab w:val="left" w:pos="2880"/>
          <w:tab w:val="left" w:pos="3600"/>
          <w:tab w:val="left" w:pos="4320"/>
        </w:tabs>
        <w:ind w:firstLine="720"/>
        <w:jc w:val="both"/>
        <w:rPr>
          <w:rFonts w:ascii="Palatino Linotype" w:hAnsi="Palatino Linotype" w:cs="Times New Roman"/>
          <w:color w:val="000000" w:themeColor="text1"/>
        </w:rPr>
      </w:pPr>
    </w:p>
    <w:p w14:paraId="193931E9" w14:textId="1C1CE2F8" w:rsidR="004F539B" w:rsidRPr="00EE11F6" w:rsidRDefault="00EE11F6" w:rsidP="00EE11F6">
      <w:pPr>
        <w:tabs>
          <w:tab w:val="left" w:pos="720"/>
          <w:tab w:val="left" w:pos="1440"/>
          <w:tab w:val="left" w:pos="2160"/>
          <w:tab w:val="left" w:pos="2880"/>
          <w:tab w:val="left" w:pos="3600"/>
          <w:tab w:val="left" w:pos="4320"/>
        </w:tabs>
        <w:jc w:val="center"/>
        <w:rPr>
          <w:rFonts w:ascii="Palatino Linotype" w:hAnsi="Palatino Linotype" w:cs="Times New Roman"/>
          <w:smallCaps/>
          <w:color w:val="000000" w:themeColor="text1"/>
        </w:rPr>
      </w:pPr>
      <w:r w:rsidRPr="007424B0">
        <w:rPr>
          <w:rFonts w:ascii="Palatino Linotype" w:hAnsi="Palatino Linotype" w:cs="Times New Roman"/>
          <w:smallCaps/>
          <w:color w:val="000000" w:themeColor="text1"/>
        </w:rPr>
        <w:t xml:space="preserve">table s2: results of student’s t-test comparing twisted </w:t>
      </w:r>
      <w:proofErr w:type="spellStart"/>
      <w:r w:rsidRPr="007424B0">
        <w:rPr>
          <w:rFonts w:ascii="Palatino Linotype" w:hAnsi="Palatino Linotype" w:cs="Times New Roman"/>
          <w:smallCaps/>
          <w:color w:val="000000" w:themeColor="text1"/>
        </w:rPr>
        <w:t>handaxes</w:t>
      </w:r>
      <w:proofErr w:type="spellEnd"/>
      <w:r w:rsidRPr="007424B0">
        <w:rPr>
          <w:rFonts w:ascii="Palatino Linotype" w:hAnsi="Palatino Linotype" w:cs="Times New Roman"/>
          <w:smallCaps/>
          <w:color w:val="000000" w:themeColor="text1"/>
        </w:rPr>
        <w:t xml:space="preserve"> with non-twisted </w:t>
      </w:r>
      <w:proofErr w:type="spellStart"/>
      <w:r w:rsidRPr="007424B0">
        <w:rPr>
          <w:rFonts w:ascii="Palatino Linotype" w:hAnsi="Palatino Linotype" w:cs="Times New Roman"/>
          <w:smallCaps/>
          <w:color w:val="000000" w:themeColor="text1"/>
        </w:rPr>
        <w:t>handaxes</w:t>
      </w:r>
      <w:proofErr w:type="spellEnd"/>
      <w:r w:rsidRPr="007424B0">
        <w:rPr>
          <w:rFonts w:ascii="Palatino Linotype" w:hAnsi="Palatino Linotype" w:cs="Times New Roman"/>
          <w:smallCaps/>
          <w:color w:val="000000" w:themeColor="text1"/>
        </w:rPr>
        <w:t xml:space="preserve"> in roe’s metrically-defined ovate category</w:t>
      </w:r>
    </w:p>
    <w:p w14:paraId="423C69D9" w14:textId="77777777" w:rsidR="004F539B" w:rsidRPr="00A675C5" w:rsidRDefault="004F539B" w:rsidP="00A675C5">
      <w:pPr>
        <w:ind w:firstLine="720"/>
        <w:jc w:val="both"/>
        <w:rPr>
          <w:rFonts w:ascii="Palatino Linotype" w:hAnsi="Palatino Linotype" w:cs="Times New Roman"/>
          <w:b/>
          <w:color w:val="000000" w:themeColor="text1"/>
        </w:rPr>
      </w:pPr>
    </w:p>
    <w:tbl>
      <w:tblPr>
        <w:tblW w:w="9639" w:type="dxa"/>
        <w:tblLook w:val="04A0" w:firstRow="1" w:lastRow="0" w:firstColumn="1" w:lastColumn="0" w:noHBand="0" w:noVBand="1"/>
      </w:tblPr>
      <w:tblGrid>
        <w:gridCol w:w="2644"/>
        <w:gridCol w:w="475"/>
        <w:gridCol w:w="422"/>
        <w:gridCol w:w="951"/>
        <w:gridCol w:w="811"/>
        <w:gridCol w:w="1116"/>
        <w:gridCol w:w="745"/>
        <w:gridCol w:w="1219"/>
        <w:gridCol w:w="1256"/>
      </w:tblGrid>
      <w:tr w:rsidR="0020079C" w:rsidRPr="00EE11F6" w14:paraId="1405E606" w14:textId="77777777" w:rsidTr="00EE11F6">
        <w:tc>
          <w:tcPr>
            <w:tcW w:w="0" w:type="auto"/>
            <w:tcBorders>
              <w:top w:val="single" w:sz="4" w:space="0" w:color="auto"/>
              <w:bottom w:val="single" w:sz="4" w:space="0" w:color="auto"/>
            </w:tcBorders>
            <w:shd w:val="clear" w:color="auto" w:fill="auto"/>
            <w:noWrap/>
            <w:hideMark/>
          </w:tcPr>
          <w:p w14:paraId="22B57822" w14:textId="77777777" w:rsidR="004F539B" w:rsidRPr="00EE11F6" w:rsidRDefault="004F539B" w:rsidP="0020079C">
            <w:pPr>
              <w:rPr>
                <w:rFonts w:ascii="Palatino Linotype" w:eastAsia="Times New Roman" w:hAnsi="Palatino Linotype" w:cs="Times New Roman"/>
                <w:i/>
                <w:color w:val="000000" w:themeColor="text1"/>
                <w:sz w:val="18"/>
                <w:szCs w:val="18"/>
              </w:rPr>
            </w:pPr>
          </w:p>
        </w:tc>
        <w:tc>
          <w:tcPr>
            <w:tcW w:w="0" w:type="auto"/>
            <w:tcBorders>
              <w:top w:val="single" w:sz="4" w:space="0" w:color="auto"/>
              <w:bottom w:val="single" w:sz="4" w:space="0" w:color="auto"/>
            </w:tcBorders>
            <w:shd w:val="clear" w:color="auto" w:fill="auto"/>
            <w:noWrap/>
            <w:hideMark/>
          </w:tcPr>
          <w:p w14:paraId="26CE8313" w14:textId="77777777" w:rsidR="004F539B" w:rsidRPr="00EE11F6" w:rsidRDefault="004F539B" w:rsidP="00EE11F6">
            <w:pPr>
              <w:jc w:val="center"/>
              <w:rPr>
                <w:rFonts w:ascii="Palatino Linotype" w:eastAsia="Times New Roman" w:hAnsi="Palatino Linotype" w:cs="Times New Roman"/>
                <w:bCs/>
                <w:i/>
                <w:color w:val="000000" w:themeColor="text1"/>
                <w:sz w:val="18"/>
                <w:szCs w:val="18"/>
              </w:rPr>
            </w:pPr>
            <w:r w:rsidRPr="007424B0">
              <w:rPr>
                <w:rFonts w:ascii="Palatino Linotype" w:eastAsia="Times New Roman" w:hAnsi="Palatino Linotype" w:cs="Times New Roman"/>
                <w:bCs/>
                <w:i/>
                <w:color w:val="000000" w:themeColor="text1"/>
                <w:sz w:val="18"/>
                <w:szCs w:val="18"/>
              </w:rPr>
              <w:t>df</w:t>
            </w:r>
          </w:p>
        </w:tc>
        <w:tc>
          <w:tcPr>
            <w:tcW w:w="422" w:type="dxa"/>
            <w:tcBorders>
              <w:top w:val="single" w:sz="4" w:space="0" w:color="auto"/>
              <w:bottom w:val="single" w:sz="4" w:space="0" w:color="auto"/>
            </w:tcBorders>
            <w:shd w:val="clear" w:color="auto" w:fill="auto"/>
            <w:noWrap/>
            <w:hideMark/>
          </w:tcPr>
          <w:p w14:paraId="5B8737C2" w14:textId="77777777" w:rsidR="004F539B" w:rsidRPr="00EE11F6" w:rsidRDefault="004F539B" w:rsidP="00EE11F6">
            <w:pPr>
              <w:jc w:val="center"/>
              <w:rPr>
                <w:rFonts w:ascii="Palatino Linotype" w:eastAsia="Times New Roman" w:hAnsi="Palatino Linotype" w:cs="Times New Roman"/>
                <w:bCs/>
                <w:i/>
                <w:color w:val="000000" w:themeColor="text1"/>
                <w:sz w:val="18"/>
                <w:szCs w:val="18"/>
              </w:rPr>
            </w:pPr>
          </w:p>
        </w:tc>
        <w:tc>
          <w:tcPr>
            <w:tcW w:w="951" w:type="dxa"/>
            <w:tcBorders>
              <w:top w:val="single" w:sz="4" w:space="0" w:color="auto"/>
              <w:bottom w:val="single" w:sz="4" w:space="0" w:color="auto"/>
            </w:tcBorders>
            <w:shd w:val="clear" w:color="auto" w:fill="auto"/>
            <w:noWrap/>
            <w:hideMark/>
          </w:tcPr>
          <w:p w14:paraId="6D72EEBB" w14:textId="77777777" w:rsidR="004F539B" w:rsidRPr="00EE11F6" w:rsidRDefault="004F539B" w:rsidP="00EE11F6">
            <w:pPr>
              <w:jc w:val="center"/>
              <w:rPr>
                <w:rFonts w:ascii="Palatino Linotype" w:eastAsia="Times New Roman" w:hAnsi="Palatino Linotype" w:cs="Times New Roman"/>
                <w:bCs/>
                <w:i/>
                <w:color w:val="000000" w:themeColor="text1"/>
                <w:sz w:val="18"/>
                <w:szCs w:val="18"/>
              </w:rPr>
            </w:pPr>
            <w:r w:rsidRPr="00EE11F6">
              <w:rPr>
                <w:rFonts w:ascii="Palatino Linotype" w:eastAsia="Times New Roman" w:hAnsi="Palatino Linotype" w:cs="Times New Roman"/>
                <w:bCs/>
                <w:i/>
                <w:color w:val="000000" w:themeColor="text1"/>
                <w:sz w:val="18"/>
                <w:szCs w:val="18"/>
              </w:rPr>
              <w:t>Length</w:t>
            </w:r>
          </w:p>
        </w:tc>
        <w:tc>
          <w:tcPr>
            <w:tcW w:w="0" w:type="auto"/>
            <w:tcBorders>
              <w:top w:val="single" w:sz="4" w:space="0" w:color="auto"/>
              <w:bottom w:val="single" w:sz="4" w:space="0" w:color="auto"/>
            </w:tcBorders>
            <w:shd w:val="clear" w:color="auto" w:fill="auto"/>
            <w:noWrap/>
            <w:hideMark/>
          </w:tcPr>
          <w:p w14:paraId="6D3D734B" w14:textId="77777777" w:rsidR="004F539B" w:rsidRPr="00EE11F6" w:rsidRDefault="004F539B" w:rsidP="00EE11F6">
            <w:pPr>
              <w:jc w:val="center"/>
              <w:rPr>
                <w:rFonts w:ascii="Palatino Linotype" w:eastAsia="Times New Roman" w:hAnsi="Palatino Linotype" w:cs="Times New Roman"/>
                <w:bCs/>
                <w:i/>
                <w:color w:val="000000" w:themeColor="text1"/>
                <w:sz w:val="18"/>
                <w:szCs w:val="18"/>
              </w:rPr>
            </w:pPr>
            <w:r w:rsidRPr="00EE11F6">
              <w:rPr>
                <w:rFonts w:ascii="Palatino Linotype" w:eastAsia="Times New Roman" w:hAnsi="Palatino Linotype" w:cs="Times New Roman"/>
                <w:bCs/>
                <w:i/>
                <w:color w:val="000000" w:themeColor="text1"/>
                <w:sz w:val="18"/>
                <w:szCs w:val="18"/>
              </w:rPr>
              <w:t>Width</w:t>
            </w:r>
          </w:p>
        </w:tc>
        <w:tc>
          <w:tcPr>
            <w:tcW w:w="0" w:type="auto"/>
            <w:tcBorders>
              <w:top w:val="single" w:sz="4" w:space="0" w:color="auto"/>
              <w:bottom w:val="single" w:sz="4" w:space="0" w:color="auto"/>
            </w:tcBorders>
            <w:shd w:val="clear" w:color="auto" w:fill="auto"/>
            <w:noWrap/>
            <w:hideMark/>
          </w:tcPr>
          <w:p w14:paraId="697CEBB8" w14:textId="77777777" w:rsidR="004F539B" w:rsidRPr="00EE11F6" w:rsidRDefault="004F539B" w:rsidP="00EE11F6">
            <w:pPr>
              <w:jc w:val="center"/>
              <w:rPr>
                <w:rFonts w:ascii="Palatino Linotype" w:eastAsia="Times New Roman" w:hAnsi="Palatino Linotype" w:cs="Times New Roman"/>
                <w:bCs/>
                <w:i/>
                <w:color w:val="000000" w:themeColor="text1"/>
                <w:sz w:val="18"/>
                <w:szCs w:val="18"/>
              </w:rPr>
            </w:pPr>
            <w:r w:rsidRPr="00EE11F6">
              <w:rPr>
                <w:rFonts w:ascii="Palatino Linotype" w:eastAsia="Times New Roman" w:hAnsi="Palatino Linotype" w:cs="Times New Roman"/>
                <w:bCs/>
                <w:i/>
                <w:color w:val="000000" w:themeColor="text1"/>
                <w:sz w:val="18"/>
                <w:szCs w:val="18"/>
              </w:rPr>
              <w:t>Thickness</w:t>
            </w:r>
          </w:p>
        </w:tc>
        <w:tc>
          <w:tcPr>
            <w:tcW w:w="0" w:type="auto"/>
            <w:tcBorders>
              <w:top w:val="single" w:sz="4" w:space="0" w:color="auto"/>
              <w:bottom w:val="single" w:sz="4" w:space="0" w:color="auto"/>
            </w:tcBorders>
            <w:shd w:val="clear" w:color="auto" w:fill="auto"/>
            <w:noWrap/>
            <w:hideMark/>
          </w:tcPr>
          <w:p w14:paraId="786BEC33" w14:textId="77777777" w:rsidR="004F539B" w:rsidRPr="00EE11F6" w:rsidRDefault="004F539B" w:rsidP="00EE11F6">
            <w:pPr>
              <w:jc w:val="center"/>
              <w:rPr>
                <w:rFonts w:ascii="Palatino Linotype" w:eastAsia="Times New Roman" w:hAnsi="Palatino Linotype" w:cs="Times New Roman"/>
                <w:bCs/>
                <w:i/>
                <w:color w:val="000000" w:themeColor="text1"/>
                <w:sz w:val="18"/>
                <w:szCs w:val="18"/>
              </w:rPr>
            </w:pPr>
            <w:r w:rsidRPr="00EE11F6">
              <w:rPr>
                <w:rFonts w:ascii="Palatino Linotype" w:eastAsia="Times New Roman" w:hAnsi="Palatino Linotype" w:cs="Times New Roman"/>
                <w:bCs/>
                <w:i/>
                <w:color w:val="000000" w:themeColor="text1"/>
                <w:sz w:val="18"/>
                <w:szCs w:val="18"/>
              </w:rPr>
              <w:t>Scars</w:t>
            </w:r>
          </w:p>
        </w:tc>
        <w:tc>
          <w:tcPr>
            <w:tcW w:w="0" w:type="auto"/>
            <w:tcBorders>
              <w:top w:val="single" w:sz="4" w:space="0" w:color="auto"/>
              <w:bottom w:val="single" w:sz="4" w:space="0" w:color="auto"/>
            </w:tcBorders>
            <w:shd w:val="clear" w:color="auto" w:fill="auto"/>
            <w:noWrap/>
            <w:hideMark/>
          </w:tcPr>
          <w:p w14:paraId="5F51521E" w14:textId="77777777" w:rsidR="004F539B" w:rsidRPr="00EE11F6" w:rsidRDefault="004F539B" w:rsidP="00EE11F6">
            <w:pPr>
              <w:jc w:val="center"/>
              <w:rPr>
                <w:rFonts w:ascii="Palatino Linotype" w:eastAsia="Times New Roman" w:hAnsi="Palatino Linotype" w:cs="Times New Roman"/>
                <w:bCs/>
                <w:i/>
                <w:color w:val="000000" w:themeColor="text1"/>
                <w:sz w:val="18"/>
                <w:szCs w:val="18"/>
              </w:rPr>
            </w:pPr>
            <w:r w:rsidRPr="00EE11F6">
              <w:rPr>
                <w:rFonts w:ascii="Palatino Linotype" w:eastAsia="Times New Roman" w:hAnsi="Palatino Linotype" w:cs="Times New Roman"/>
                <w:bCs/>
                <w:i/>
                <w:color w:val="000000" w:themeColor="text1"/>
                <w:sz w:val="18"/>
                <w:szCs w:val="18"/>
              </w:rPr>
              <w:t>Elongation</w:t>
            </w:r>
          </w:p>
        </w:tc>
        <w:tc>
          <w:tcPr>
            <w:tcW w:w="0" w:type="auto"/>
            <w:tcBorders>
              <w:top w:val="single" w:sz="4" w:space="0" w:color="auto"/>
              <w:bottom w:val="single" w:sz="4" w:space="0" w:color="auto"/>
            </w:tcBorders>
            <w:shd w:val="clear" w:color="auto" w:fill="auto"/>
            <w:noWrap/>
            <w:hideMark/>
          </w:tcPr>
          <w:p w14:paraId="38C64EBE" w14:textId="0D1B6196" w:rsidR="004F539B" w:rsidRPr="00EE11F6" w:rsidRDefault="004F539B" w:rsidP="00EE11F6">
            <w:pPr>
              <w:jc w:val="center"/>
              <w:rPr>
                <w:rFonts w:ascii="Palatino Linotype" w:eastAsia="Times New Roman" w:hAnsi="Palatino Linotype" w:cs="Times New Roman"/>
                <w:bCs/>
                <w:i/>
                <w:color w:val="000000" w:themeColor="text1"/>
                <w:sz w:val="18"/>
                <w:szCs w:val="18"/>
              </w:rPr>
            </w:pPr>
            <w:r w:rsidRPr="00EE11F6">
              <w:rPr>
                <w:rFonts w:ascii="Palatino Linotype" w:eastAsia="Times New Roman" w:hAnsi="Palatino Linotype" w:cs="Times New Roman"/>
                <w:bCs/>
                <w:i/>
                <w:color w:val="000000" w:themeColor="text1"/>
                <w:sz w:val="18"/>
                <w:szCs w:val="18"/>
              </w:rPr>
              <w:t>Refinement</w:t>
            </w:r>
          </w:p>
          <w:p w14:paraId="6E7B7CCC" w14:textId="77777777" w:rsidR="00EE11F6" w:rsidRPr="00EE11F6" w:rsidRDefault="00EE11F6" w:rsidP="00EE11F6">
            <w:pPr>
              <w:jc w:val="center"/>
              <w:rPr>
                <w:rFonts w:ascii="Palatino Linotype" w:eastAsia="Times New Roman" w:hAnsi="Palatino Linotype" w:cs="Times New Roman"/>
                <w:bCs/>
                <w:i/>
                <w:color w:val="000000" w:themeColor="text1"/>
                <w:sz w:val="18"/>
                <w:szCs w:val="18"/>
              </w:rPr>
            </w:pPr>
          </w:p>
          <w:p w14:paraId="4DC830D3" w14:textId="32105CD6" w:rsidR="00EE11F6" w:rsidRPr="00EE11F6" w:rsidRDefault="00EE11F6" w:rsidP="00EE11F6">
            <w:pPr>
              <w:jc w:val="center"/>
              <w:rPr>
                <w:rFonts w:ascii="Palatino Linotype" w:eastAsia="Times New Roman" w:hAnsi="Palatino Linotype" w:cs="Times New Roman"/>
                <w:bCs/>
                <w:i/>
                <w:color w:val="000000" w:themeColor="text1"/>
                <w:sz w:val="18"/>
                <w:szCs w:val="18"/>
              </w:rPr>
            </w:pPr>
          </w:p>
        </w:tc>
      </w:tr>
      <w:tr w:rsidR="0020079C" w:rsidRPr="0020079C" w14:paraId="555BAD59" w14:textId="77777777" w:rsidTr="00EE11F6">
        <w:tc>
          <w:tcPr>
            <w:tcW w:w="0" w:type="auto"/>
            <w:tcBorders>
              <w:top w:val="single" w:sz="4" w:space="0" w:color="auto"/>
            </w:tcBorders>
            <w:shd w:val="clear" w:color="auto" w:fill="auto"/>
            <w:noWrap/>
            <w:hideMark/>
          </w:tcPr>
          <w:p w14:paraId="41561FB7" w14:textId="77777777" w:rsidR="004F539B" w:rsidRPr="0020079C" w:rsidRDefault="004F539B" w:rsidP="0020079C">
            <w:pPr>
              <w:rPr>
                <w:rFonts w:ascii="Palatino Linotype" w:eastAsia="Times New Roman" w:hAnsi="Palatino Linotype" w:cs="Times New Roman"/>
                <w:bCs/>
                <w:color w:val="000000" w:themeColor="text1"/>
                <w:sz w:val="18"/>
                <w:szCs w:val="18"/>
              </w:rPr>
            </w:pPr>
            <w:proofErr w:type="spellStart"/>
            <w:r w:rsidRPr="0020079C">
              <w:rPr>
                <w:rFonts w:ascii="Palatino Linotype" w:eastAsia="Times New Roman" w:hAnsi="Palatino Linotype" w:cs="Times New Roman"/>
                <w:bCs/>
                <w:color w:val="000000" w:themeColor="text1"/>
                <w:sz w:val="18"/>
                <w:szCs w:val="18"/>
              </w:rPr>
              <w:t>Bowmans</w:t>
            </w:r>
            <w:proofErr w:type="spellEnd"/>
            <w:r w:rsidRPr="0020079C">
              <w:rPr>
                <w:rFonts w:ascii="Palatino Linotype" w:eastAsia="Times New Roman" w:hAnsi="Palatino Linotype" w:cs="Times New Roman"/>
                <w:bCs/>
                <w:color w:val="000000" w:themeColor="text1"/>
                <w:sz w:val="18"/>
                <w:szCs w:val="18"/>
              </w:rPr>
              <w:t xml:space="preserve"> Lodge </w:t>
            </w:r>
          </w:p>
        </w:tc>
        <w:tc>
          <w:tcPr>
            <w:tcW w:w="0" w:type="auto"/>
            <w:tcBorders>
              <w:top w:val="single" w:sz="4" w:space="0" w:color="auto"/>
            </w:tcBorders>
            <w:shd w:val="clear" w:color="auto" w:fill="auto"/>
            <w:noWrap/>
            <w:hideMark/>
          </w:tcPr>
          <w:p w14:paraId="200B776A" w14:textId="77777777" w:rsidR="004F539B" w:rsidRPr="0020079C" w:rsidRDefault="004F539B" w:rsidP="00EE11F6">
            <w:pPr>
              <w:jc w:val="cente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22</w:t>
            </w:r>
          </w:p>
        </w:tc>
        <w:tc>
          <w:tcPr>
            <w:tcW w:w="422" w:type="dxa"/>
            <w:tcBorders>
              <w:top w:val="single" w:sz="4" w:space="0" w:color="auto"/>
            </w:tcBorders>
            <w:shd w:val="clear" w:color="auto" w:fill="auto"/>
            <w:noWrap/>
            <w:hideMark/>
          </w:tcPr>
          <w:p w14:paraId="72F0DF5E" w14:textId="77777777" w:rsidR="004F539B" w:rsidRPr="0020079C" w:rsidRDefault="004F539B" w:rsidP="00EE11F6">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t=</w:t>
            </w:r>
          </w:p>
        </w:tc>
        <w:tc>
          <w:tcPr>
            <w:tcW w:w="951" w:type="dxa"/>
            <w:tcBorders>
              <w:top w:val="single" w:sz="4" w:space="0" w:color="auto"/>
            </w:tcBorders>
            <w:shd w:val="clear" w:color="auto" w:fill="auto"/>
            <w:noWrap/>
            <w:hideMark/>
          </w:tcPr>
          <w:p w14:paraId="1DB60C64"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0.78</w:t>
            </w:r>
          </w:p>
        </w:tc>
        <w:tc>
          <w:tcPr>
            <w:tcW w:w="0" w:type="auto"/>
            <w:tcBorders>
              <w:top w:val="single" w:sz="4" w:space="0" w:color="auto"/>
            </w:tcBorders>
            <w:shd w:val="clear" w:color="auto" w:fill="auto"/>
            <w:noWrap/>
            <w:hideMark/>
          </w:tcPr>
          <w:p w14:paraId="6C0619E3"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1.76</w:t>
            </w:r>
          </w:p>
        </w:tc>
        <w:tc>
          <w:tcPr>
            <w:tcW w:w="0" w:type="auto"/>
            <w:tcBorders>
              <w:top w:val="single" w:sz="4" w:space="0" w:color="auto"/>
            </w:tcBorders>
            <w:shd w:val="clear" w:color="auto" w:fill="auto"/>
            <w:noWrap/>
            <w:hideMark/>
          </w:tcPr>
          <w:p w14:paraId="411C1732"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1.83</w:t>
            </w:r>
          </w:p>
        </w:tc>
        <w:tc>
          <w:tcPr>
            <w:tcW w:w="0" w:type="auto"/>
            <w:tcBorders>
              <w:top w:val="single" w:sz="4" w:space="0" w:color="auto"/>
            </w:tcBorders>
            <w:shd w:val="clear" w:color="auto" w:fill="auto"/>
            <w:noWrap/>
            <w:hideMark/>
          </w:tcPr>
          <w:p w14:paraId="6DB2AB35"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0.49</w:t>
            </w:r>
          </w:p>
        </w:tc>
        <w:tc>
          <w:tcPr>
            <w:tcW w:w="0" w:type="auto"/>
            <w:tcBorders>
              <w:top w:val="single" w:sz="4" w:space="0" w:color="auto"/>
            </w:tcBorders>
            <w:shd w:val="clear" w:color="auto" w:fill="auto"/>
            <w:noWrap/>
            <w:hideMark/>
          </w:tcPr>
          <w:p w14:paraId="7A5F0C7B"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0.99</w:t>
            </w:r>
          </w:p>
        </w:tc>
        <w:tc>
          <w:tcPr>
            <w:tcW w:w="0" w:type="auto"/>
            <w:tcBorders>
              <w:top w:val="single" w:sz="4" w:space="0" w:color="auto"/>
            </w:tcBorders>
            <w:shd w:val="clear" w:color="auto" w:fill="auto"/>
            <w:noWrap/>
            <w:hideMark/>
          </w:tcPr>
          <w:p w14:paraId="2B6ED12E"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1.55</w:t>
            </w:r>
          </w:p>
        </w:tc>
      </w:tr>
      <w:tr w:rsidR="0020079C" w:rsidRPr="0020079C" w14:paraId="7F0219CB" w14:textId="77777777" w:rsidTr="00EE11F6">
        <w:tc>
          <w:tcPr>
            <w:tcW w:w="0" w:type="auto"/>
            <w:shd w:val="clear" w:color="auto" w:fill="auto"/>
            <w:noWrap/>
            <w:hideMark/>
          </w:tcPr>
          <w:p w14:paraId="39160ECB" w14:textId="77777777" w:rsidR="004F539B" w:rsidRPr="0020079C" w:rsidRDefault="004F539B" w:rsidP="0020079C">
            <w:pP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1E4244F6"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422" w:type="dxa"/>
            <w:shd w:val="clear" w:color="auto" w:fill="auto"/>
            <w:noWrap/>
            <w:hideMark/>
          </w:tcPr>
          <w:p w14:paraId="6F5C4238" w14:textId="77777777" w:rsidR="004F539B" w:rsidRPr="0020079C" w:rsidRDefault="004F539B" w:rsidP="00EE11F6">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p=</w:t>
            </w:r>
          </w:p>
        </w:tc>
        <w:tc>
          <w:tcPr>
            <w:tcW w:w="951" w:type="dxa"/>
            <w:shd w:val="clear" w:color="auto" w:fill="auto"/>
            <w:noWrap/>
            <w:hideMark/>
          </w:tcPr>
          <w:p w14:paraId="416548AB"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0.22</w:t>
            </w:r>
          </w:p>
        </w:tc>
        <w:tc>
          <w:tcPr>
            <w:tcW w:w="0" w:type="auto"/>
            <w:shd w:val="clear" w:color="auto" w:fill="auto"/>
            <w:noWrap/>
            <w:hideMark/>
          </w:tcPr>
          <w:p w14:paraId="65A1985E"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0.05</w:t>
            </w:r>
          </w:p>
        </w:tc>
        <w:tc>
          <w:tcPr>
            <w:tcW w:w="0" w:type="auto"/>
            <w:shd w:val="clear" w:color="auto" w:fill="auto"/>
            <w:noWrap/>
            <w:hideMark/>
          </w:tcPr>
          <w:p w14:paraId="035F3C99"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0.04</w:t>
            </w:r>
          </w:p>
        </w:tc>
        <w:tc>
          <w:tcPr>
            <w:tcW w:w="0" w:type="auto"/>
            <w:shd w:val="clear" w:color="auto" w:fill="auto"/>
            <w:noWrap/>
            <w:hideMark/>
          </w:tcPr>
          <w:p w14:paraId="77A46304"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0.31</w:t>
            </w:r>
          </w:p>
        </w:tc>
        <w:tc>
          <w:tcPr>
            <w:tcW w:w="0" w:type="auto"/>
            <w:shd w:val="clear" w:color="auto" w:fill="auto"/>
            <w:noWrap/>
            <w:hideMark/>
          </w:tcPr>
          <w:p w14:paraId="78777B73"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0.17</w:t>
            </w:r>
          </w:p>
        </w:tc>
        <w:tc>
          <w:tcPr>
            <w:tcW w:w="0" w:type="auto"/>
            <w:shd w:val="clear" w:color="auto" w:fill="auto"/>
            <w:noWrap/>
            <w:hideMark/>
          </w:tcPr>
          <w:p w14:paraId="1AC7D34E"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0.07</w:t>
            </w:r>
          </w:p>
        </w:tc>
      </w:tr>
      <w:tr w:rsidR="0020079C" w:rsidRPr="0020079C" w14:paraId="51147EF9" w14:textId="77777777" w:rsidTr="00EE11F6">
        <w:tc>
          <w:tcPr>
            <w:tcW w:w="0" w:type="auto"/>
            <w:shd w:val="clear" w:color="auto" w:fill="auto"/>
            <w:noWrap/>
            <w:hideMark/>
          </w:tcPr>
          <w:p w14:paraId="0EA4855F" w14:textId="77777777" w:rsidR="004F539B" w:rsidRPr="0020079C" w:rsidRDefault="004F539B" w:rsidP="0020079C">
            <w:pP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589D5478"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422" w:type="dxa"/>
            <w:shd w:val="clear" w:color="auto" w:fill="auto"/>
            <w:noWrap/>
            <w:hideMark/>
          </w:tcPr>
          <w:p w14:paraId="26BE59F6" w14:textId="77777777" w:rsidR="004F539B" w:rsidRPr="0020079C" w:rsidRDefault="004F539B" w:rsidP="00EE11F6">
            <w:pPr>
              <w:rPr>
                <w:rFonts w:ascii="Palatino Linotype" w:eastAsia="Times New Roman" w:hAnsi="Palatino Linotype" w:cs="Times New Roman"/>
                <w:color w:val="000000" w:themeColor="text1"/>
                <w:sz w:val="18"/>
                <w:szCs w:val="18"/>
              </w:rPr>
            </w:pPr>
          </w:p>
        </w:tc>
        <w:tc>
          <w:tcPr>
            <w:tcW w:w="951" w:type="dxa"/>
            <w:shd w:val="clear" w:color="auto" w:fill="auto"/>
            <w:noWrap/>
            <w:hideMark/>
          </w:tcPr>
          <w:p w14:paraId="6F8DE817"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320D9D43"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4F56E430"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537CDEE7"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7880191C"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6550352A"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r>
      <w:tr w:rsidR="0020079C" w:rsidRPr="0020079C" w14:paraId="17C0970A" w14:textId="77777777" w:rsidTr="00EE11F6">
        <w:tc>
          <w:tcPr>
            <w:tcW w:w="0" w:type="auto"/>
            <w:shd w:val="clear" w:color="auto" w:fill="auto"/>
            <w:noWrap/>
            <w:hideMark/>
          </w:tcPr>
          <w:p w14:paraId="1A57F3D2" w14:textId="77777777" w:rsidR="004F539B" w:rsidRPr="0020079C" w:rsidRDefault="004F539B" w:rsidP="0020079C">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Wansunt</w:t>
            </w:r>
          </w:p>
        </w:tc>
        <w:tc>
          <w:tcPr>
            <w:tcW w:w="0" w:type="auto"/>
            <w:shd w:val="clear" w:color="auto" w:fill="auto"/>
            <w:noWrap/>
            <w:hideMark/>
          </w:tcPr>
          <w:p w14:paraId="3B317F34" w14:textId="77777777" w:rsidR="004F539B" w:rsidRPr="0020079C" w:rsidRDefault="004F539B" w:rsidP="00EE11F6">
            <w:pPr>
              <w:jc w:val="cente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27</w:t>
            </w:r>
          </w:p>
        </w:tc>
        <w:tc>
          <w:tcPr>
            <w:tcW w:w="422" w:type="dxa"/>
            <w:shd w:val="clear" w:color="auto" w:fill="auto"/>
            <w:noWrap/>
            <w:hideMark/>
          </w:tcPr>
          <w:p w14:paraId="74E9C567" w14:textId="77777777" w:rsidR="004F539B" w:rsidRPr="0020079C" w:rsidRDefault="004F539B" w:rsidP="00EE11F6">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t=</w:t>
            </w:r>
          </w:p>
        </w:tc>
        <w:tc>
          <w:tcPr>
            <w:tcW w:w="951" w:type="dxa"/>
            <w:shd w:val="clear" w:color="auto" w:fill="auto"/>
            <w:noWrap/>
            <w:hideMark/>
          </w:tcPr>
          <w:p w14:paraId="4747069D"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0.40</w:t>
            </w:r>
          </w:p>
        </w:tc>
        <w:tc>
          <w:tcPr>
            <w:tcW w:w="0" w:type="auto"/>
            <w:shd w:val="clear" w:color="auto" w:fill="auto"/>
            <w:noWrap/>
            <w:hideMark/>
          </w:tcPr>
          <w:p w14:paraId="0AD59B2A"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1.00</w:t>
            </w:r>
          </w:p>
        </w:tc>
        <w:tc>
          <w:tcPr>
            <w:tcW w:w="0" w:type="auto"/>
            <w:shd w:val="clear" w:color="auto" w:fill="auto"/>
            <w:noWrap/>
            <w:hideMark/>
          </w:tcPr>
          <w:p w14:paraId="3FAE63D6"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0.24</w:t>
            </w:r>
          </w:p>
        </w:tc>
        <w:tc>
          <w:tcPr>
            <w:tcW w:w="0" w:type="auto"/>
            <w:shd w:val="clear" w:color="auto" w:fill="auto"/>
            <w:noWrap/>
            <w:hideMark/>
          </w:tcPr>
          <w:p w14:paraId="2038F0D2"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0.85</w:t>
            </w:r>
          </w:p>
        </w:tc>
        <w:tc>
          <w:tcPr>
            <w:tcW w:w="0" w:type="auto"/>
            <w:shd w:val="clear" w:color="auto" w:fill="auto"/>
            <w:noWrap/>
            <w:hideMark/>
          </w:tcPr>
          <w:p w14:paraId="437B673B"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0.11</w:t>
            </w:r>
          </w:p>
        </w:tc>
        <w:tc>
          <w:tcPr>
            <w:tcW w:w="0" w:type="auto"/>
            <w:shd w:val="clear" w:color="auto" w:fill="auto"/>
            <w:noWrap/>
            <w:hideMark/>
          </w:tcPr>
          <w:p w14:paraId="70340C16"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1.44</w:t>
            </w:r>
          </w:p>
        </w:tc>
      </w:tr>
      <w:tr w:rsidR="0020079C" w:rsidRPr="0020079C" w14:paraId="53698F42" w14:textId="77777777" w:rsidTr="00EE11F6">
        <w:tc>
          <w:tcPr>
            <w:tcW w:w="0" w:type="auto"/>
            <w:shd w:val="clear" w:color="auto" w:fill="auto"/>
            <w:noWrap/>
            <w:hideMark/>
          </w:tcPr>
          <w:p w14:paraId="526F159A" w14:textId="77777777" w:rsidR="004F539B" w:rsidRPr="0020079C" w:rsidRDefault="004F539B" w:rsidP="0020079C">
            <w:pP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0A9C8CEA"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422" w:type="dxa"/>
            <w:shd w:val="clear" w:color="auto" w:fill="auto"/>
            <w:noWrap/>
            <w:hideMark/>
          </w:tcPr>
          <w:p w14:paraId="32D6A9ED" w14:textId="77777777" w:rsidR="004F539B" w:rsidRPr="0020079C" w:rsidRDefault="004F539B" w:rsidP="00EE11F6">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p=</w:t>
            </w:r>
          </w:p>
        </w:tc>
        <w:tc>
          <w:tcPr>
            <w:tcW w:w="951" w:type="dxa"/>
            <w:shd w:val="clear" w:color="auto" w:fill="auto"/>
            <w:noWrap/>
            <w:hideMark/>
          </w:tcPr>
          <w:p w14:paraId="7041B66C"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0.34</w:t>
            </w:r>
          </w:p>
        </w:tc>
        <w:tc>
          <w:tcPr>
            <w:tcW w:w="0" w:type="auto"/>
            <w:shd w:val="clear" w:color="auto" w:fill="auto"/>
            <w:noWrap/>
            <w:hideMark/>
          </w:tcPr>
          <w:p w14:paraId="24003875"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0.16</w:t>
            </w:r>
          </w:p>
        </w:tc>
        <w:tc>
          <w:tcPr>
            <w:tcW w:w="0" w:type="auto"/>
            <w:shd w:val="clear" w:color="auto" w:fill="auto"/>
            <w:noWrap/>
            <w:hideMark/>
          </w:tcPr>
          <w:p w14:paraId="3782B7A5"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0.41</w:t>
            </w:r>
          </w:p>
        </w:tc>
        <w:tc>
          <w:tcPr>
            <w:tcW w:w="0" w:type="auto"/>
            <w:shd w:val="clear" w:color="auto" w:fill="auto"/>
            <w:noWrap/>
            <w:hideMark/>
          </w:tcPr>
          <w:p w14:paraId="2CCC184C"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0.20</w:t>
            </w:r>
          </w:p>
        </w:tc>
        <w:tc>
          <w:tcPr>
            <w:tcW w:w="0" w:type="auto"/>
            <w:shd w:val="clear" w:color="auto" w:fill="auto"/>
            <w:noWrap/>
            <w:hideMark/>
          </w:tcPr>
          <w:p w14:paraId="2CCCEFE8"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0.46</w:t>
            </w:r>
          </w:p>
        </w:tc>
        <w:tc>
          <w:tcPr>
            <w:tcW w:w="0" w:type="auto"/>
            <w:shd w:val="clear" w:color="auto" w:fill="auto"/>
            <w:noWrap/>
            <w:hideMark/>
          </w:tcPr>
          <w:p w14:paraId="4D1C5805"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0.08</w:t>
            </w:r>
          </w:p>
        </w:tc>
      </w:tr>
      <w:tr w:rsidR="0020079C" w:rsidRPr="0020079C" w14:paraId="3DEDA374" w14:textId="77777777" w:rsidTr="00EE11F6">
        <w:tc>
          <w:tcPr>
            <w:tcW w:w="0" w:type="auto"/>
            <w:shd w:val="clear" w:color="auto" w:fill="auto"/>
            <w:noWrap/>
            <w:hideMark/>
          </w:tcPr>
          <w:p w14:paraId="13A9AFD8" w14:textId="77777777" w:rsidR="004F539B" w:rsidRPr="0020079C" w:rsidRDefault="004F539B" w:rsidP="0020079C">
            <w:pP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6FCBB547"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422" w:type="dxa"/>
            <w:shd w:val="clear" w:color="auto" w:fill="auto"/>
            <w:noWrap/>
            <w:hideMark/>
          </w:tcPr>
          <w:p w14:paraId="74F64D64" w14:textId="77777777" w:rsidR="004F539B" w:rsidRPr="0020079C" w:rsidRDefault="004F539B" w:rsidP="00EE11F6">
            <w:pPr>
              <w:rPr>
                <w:rFonts w:ascii="Palatino Linotype" w:eastAsia="Times New Roman" w:hAnsi="Palatino Linotype" w:cs="Times New Roman"/>
                <w:color w:val="000000" w:themeColor="text1"/>
                <w:sz w:val="18"/>
                <w:szCs w:val="18"/>
              </w:rPr>
            </w:pPr>
          </w:p>
        </w:tc>
        <w:tc>
          <w:tcPr>
            <w:tcW w:w="951" w:type="dxa"/>
            <w:shd w:val="clear" w:color="auto" w:fill="auto"/>
            <w:noWrap/>
            <w:hideMark/>
          </w:tcPr>
          <w:p w14:paraId="2803E50C"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3876D09B"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412D9C95"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0DDCC48B"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696CB5C0"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0A857BDE"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r>
      <w:tr w:rsidR="0020079C" w:rsidRPr="0020079C" w14:paraId="798D0507" w14:textId="77777777" w:rsidTr="00EE11F6">
        <w:tc>
          <w:tcPr>
            <w:tcW w:w="0" w:type="auto"/>
            <w:shd w:val="clear" w:color="auto" w:fill="auto"/>
            <w:noWrap/>
            <w:hideMark/>
          </w:tcPr>
          <w:p w14:paraId="60A46EA2" w14:textId="77777777" w:rsidR="004F539B" w:rsidRPr="0020079C" w:rsidRDefault="004F539B" w:rsidP="0020079C">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 xml:space="preserve">Elveden </w:t>
            </w:r>
          </w:p>
        </w:tc>
        <w:tc>
          <w:tcPr>
            <w:tcW w:w="0" w:type="auto"/>
            <w:shd w:val="clear" w:color="auto" w:fill="auto"/>
            <w:noWrap/>
            <w:hideMark/>
          </w:tcPr>
          <w:p w14:paraId="1F35205C" w14:textId="77777777" w:rsidR="004F539B" w:rsidRPr="0020079C" w:rsidRDefault="004F539B" w:rsidP="00EE11F6">
            <w:pPr>
              <w:jc w:val="cente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45</w:t>
            </w:r>
          </w:p>
        </w:tc>
        <w:tc>
          <w:tcPr>
            <w:tcW w:w="422" w:type="dxa"/>
            <w:shd w:val="clear" w:color="auto" w:fill="auto"/>
            <w:noWrap/>
            <w:hideMark/>
          </w:tcPr>
          <w:p w14:paraId="5427254A" w14:textId="77777777" w:rsidR="004F539B" w:rsidRPr="0020079C" w:rsidRDefault="004F539B" w:rsidP="00EE11F6">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t=</w:t>
            </w:r>
          </w:p>
        </w:tc>
        <w:tc>
          <w:tcPr>
            <w:tcW w:w="951" w:type="dxa"/>
            <w:shd w:val="clear" w:color="auto" w:fill="auto"/>
            <w:noWrap/>
            <w:hideMark/>
          </w:tcPr>
          <w:p w14:paraId="7CCE66BD"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0.63</w:t>
            </w:r>
          </w:p>
        </w:tc>
        <w:tc>
          <w:tcPr>
            <w:tcW w:w="0" w:type="auto"/>
            <w:shd w:val="clear" w:color="auto" w:fill="auto"/>
            <w:noWrap/>
            <w:hideMark/>
          </w:tcPr>
          <w:p w14:paraId="15485F38"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0.10</w:t>
            </w:r>
          </w:p>
        </w:tc>
        <w:tc>
          <w:tcPr>
            <w:tcW w:w="0" w:type="auto"/>
            <w:shd w:val="clear" w:color="auto" w:fill="auto"/>
            <w:noWrap/>
            <w:hideMark/>
          </w:tcPr>
          <w:p w14:paraId="147992E1"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0.77</w:t>
            </w:r>
          </w:p>
        </w:tc>
        <w:tc>
          <w:tcPr>
            <w:tcW w:w="0" w:type="auto"/>
            <w:shd w:val="clear" w:color="auto" w:fill="auto"/>
            <w:noWrap/>
            <w:hideMark/>
          </w:tcPr>
          <w:p w14:paraId="170489AC"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0.77</w:t>
            </w:r>
          </w:p>
        </w:tc>
        <w:tc>
          <w:tcPr>
            <w:tcW w:w="0" w:type="auto"/>
            <w:shd w:val="clear" w:color="auto" w:fill="auto"/>
            <w:noWrap/>
            <w:hideMark/>
          </w:tcPr>
          <w:p w14:paraId="24224D59"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0.97</w:t>
            </w:r>
          </w:p>
        </w:tc>
        <w:tc>
          <w:tcPr>
            <w:tcW w:w="0" w:type="auto"/>
            <w:shd w:val="clear" w:color="auto" w:fill="auto"/>
            <w:noWrap/>
            <w:hideMark/>
          </w:tcPr>
          <w:p w14:paraId="52FE1C35" w14:textId="5CEC9F39" w:rsidR="004F539B" w:rsidRPr="0020079C" w:rsidRDefault="00EE11F6" w:rsidP="00EE11F6">
            <w:pPr>
              <w:jc w:val="center"/>
              <w:rPr>
                <w:rFonts w:ascii="Palatino Linotype" w:eastAsia="Times New Roman" w:hAnsi="Palatino Linotype" w:cs="Times New Roman"/>
                <w:color w:val="000000" w:themeColor="text1"/>
                <w:sz w:val="18"/>
                <w:szCs w:val="18"/>
              </w:rPr>
            </w:pPr>
            <w:r>
              <w:rPr>
                <w:rFonts w:ascii="Palatino Linotype" w:eastAsia="Times New Roman" w:hAnsi="Palatino Linotype" w:cs="Times New Roman"/>
                <w:color w:val="000000" w:themeColor="text1"/>
                <w:sz w:val="18"/>
                <w:szCs w:val="18"/>
              </w:rPr>
              <w:t>–</w:t>
            </w:r>
            <w:r w:rsidR="004F539B" w:rsidRPr="0020079C">
              <w:rPr>
                <w:rFonts w:ascii="Palatino Linotype" w:eastAsia="Times New Roman" w:hAnsi="Palatino Linotype" w:cs="Times New Roman"/>
                <w:color w:val="000000" w:themeColor="text1"/>
                <w:sz w:val="18"/>
                <w:szCs w:val="18"/>
              </w:rPr>
              <w:t>0.93</w:t>
            </w:r>
          </w:p>
        </w:tc>
      </w:tr>
      <w:tr w:rsidR="0020079C" w:rsidRPr="0020079C" w14:paraId="3C1BEA9B" w14:textId="77777777" w:rsidTr="00EE11F6">
        <w:tc>
          <w:tcPr>
            <w:tcW w:w="0" w:type="auto"/>
            <w:shd w:val="clear" w:color="auto" w:fill="auto"/>
            <w:noWrap/>
            <w:hideMark/>
          </w:tcPr>
          <w:p w14:paraId="3206CD56" w14:textId="77777777" w:rsidR="004F539B" w:rsidRPr="0020079C" w:rsidRDefault="004F539B" w:rsidP="0020079C">
            <w:pP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4A003661"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422" w:type="dxa"/>
            <w:shd w:val="clear" w:color="auto" w:fill="auto"/>
            <w:noWrap/>
            <w:hideMark/>
          </w:tcPr>
          <w:p w14:paraId="053314CA" w14:textId="77777777" w:rsidR="004F539B" w:rsidRPr="0020079C" w:rsidRDefault="004F539B" w:rsidP="00EE11F6">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p=</w:t>
            </w:r>
          </w:p>
        </w:tc>
        <w:tc>
          <w:tcPr>
            <w:tcW w:w="951" w:type="dxa"/>
            <w:shd w:val="clear" w:color="auto" w:fill="auto"/>
            <w:noWrap/>
            <w:hideMark/>
          </w:tcPr>
          <w:p w14:paraId="13B12BEE"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0.27</w:t>
            </w:r>
          </w:p>
        </w:tc>
        <w:tc>
          <w:tcPr>
            <w:tcW w:w="0" w:type="auto"/>
            <w:shd w:val="clear" w:color="auto" w:fill="auto"/>
            <w:noWrap/>
            <w:hideMark/>
          </w:tcPr>
          <w:p w14:paraId="0EEEF2D3"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0.46</w:t>
            </w:r>
          </w:p>
        </w:tc>
        <w:tc>
          <w:tcPr>
            <w:tcW w:w="0" w:type="auto"/>
            <w:shd w:val="clear" w:color="auto" w:fill="auto"/>
            <w:noWrap/>
            <w:hideMark/>
          </w:tcPr>
          <w:p w14:paraId="7FE64651"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0.22</w:t>
            </w:r>
          </w:p>
        </w:tc>
        <w:tc>
          <w:tcPr>
            <w:tcW w:w="0" w:type="auto"/>
            <w:shd w:val="clear" w:color="auto" w:fill="auto"/>
            <w:noWrap/>
            <w:hideMark/>
          </w:tcPr>
          <w:p w14:paraId="40247E12"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0.22</w:t>
            </w:r>
          </w:p>
        </w:tc>
        <w:tc>
          <w:tcPr>
            <w:tcW w:w="0" w:type="auto"/>
            <w:shd w:val="clear" w:color="auto" w:fill="auto"/>
            <w:noWrap/>
            <w:hideMark/>
          </w:tcPr>
          <w:p w14:paraId="53056110"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0.17</w:t>
            </w:r>
          </w:p>
        </w:tc>
        <w:tc>
          <w:tcPr>
            <w:tcW w:w="0" w:type="auto"/>
            <w:shd w:val="clear" w:color="auto" w:fill="auto"/>
            <w:noWrap/>
            <w:hideMark/>
          </w:tcPr>
          <w:p w14:paraId="10698B91"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0.18</w:t>
            </w:r>
          </w:p>
        </w:tc>
      </w:tr>
      <w:tr w:rsidR="0020079C" w:rsidRPr="0020079C" w14:paraId="04D612D5" w14:textId="77777777" w:rsidTr="00EE11F6">
        <w:tc>
          <w:tcPr>
            <w:tcW w:w="0" w:type="auto"/>
            <w:shd w:val="clear" w:color="auto" w:fill="auto"/>
            <w:noWrap/>
            <w:hideMark/>
          </w:tcPr>
          <w:p w14:paraId="1604073D" w14:textId="77777777" w:rsidR="004F539B" w:rsidRPr="0020079C" w:rsidRDefault="004F539B" w:rsidP="0020079C">
            <w:pP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33967B37"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422" w:type="dxa"/>
            <w:shd w:val="clear" w:color="auto" w:fill="auto"/>
            <w:noWrap/>
            <w:hideMark/>
          </w:tcPr>
          <w:p w14:paraId="2F01AE78" w14:textId="77777777" w:rsidR="004F539B" w:rsidRPr="0020079C" w:rsidRDefault="004F539B" w:rsidP="00EE11F6">
            <w:pPr>
              <w:rPr>
                <w:rFonts w:ascii="Palatino Linotype" w:eastAsia="Times New Roman" w:hAnsi="Palatino Linotype" w:cs="Times New Roman"/>
                <w:color w:val="000000" w:themeColor="text1"/>
                <w:sz w:val="18"/>
                <w:szCs w:val="18"/>
              </w:rPr>
            </w:pPr>
          </w:p>
        </w:tc>
        <w:tc>
          <w:tcPr>
            <w:tcW w:w="951" w:type="dxa"/>
            <w:shd w:val="clear" w:color="auto" w:fill="auto"/>
            <w:noWrap/>
            <w:hideMark/>
          </w:tcPr>
          <w:p w14:paraId="6E8F01FD"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7F4C434A"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2BBE5BCE"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40D4B34B"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3AEF2CB2"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04928A73"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r>
      <w:tr w:rsidR="0020079C" w:rsidRPr="0020079C" w14:paraId="65E5D40E" w14:textId="77777777" w:rsidTr="00EE11F6">
        <w:tc>
          <w:tcPr>
            <w:tcW w:w="0" w:type="auto"/>
            <w:shd w:val="clear" w:color="auto" w:fill="auto"/>
            <w:noWrap/>
            <w:hideMark/>
          </w:tcPr>
          <w:p w14:paraId="239D1992" w14:textId="77777777" w:rsidR="004F539B" w:rsidRPr="0020079C" w:rsidRDefault="004F539B" w:rsidP="0020079C">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 xml:space="preserve">Hitchin </w:t>
            </w:r>
          </w:p>
        </w:tc>
        <w:tc>
          <w:tcPr>
            <w:tcW w:w="0" w:type="auto"/>
            <w:shd w:val="clear" w:color="auto" w:fill="auto"/>
            <w:noWrap/>
            <w:hideMark/>
          </w:tcPr>
          <w:p w14:paraId="5CEAC59D" w14:textId="77777777" w:rsidR="004F539B" w:rsidRPr="0020079C" w:rsidRDefault="004F539B" w:rsidP="00EE11F6">
            <w:pPr>
              <w:jc w:val="cente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22</w:t>
            </w:r>
          </w:p>
        </w:tc>
        <w:tc>
          <w:tcPr>
            <w:tcW w:w="422" w:type="dxa"/>
            <w:shd w:val="clear" w:color="auto" w:fill="auto"/>
            <w:noWrap/>
            <w:hideMark/>
          </w:tcPr>
          <w:p w14:paraId="35ABEE21" w14:textId="77777777" w:rsidR="004F539B" w:rsidRPr="0020079C" w:rsidRDefault="004F539B" w:rsidP="00EE11F6">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t=</w:t>
            </w:r>
          </w:p>
        </w:tc>
        <w:tc>
          <w:tcPr>
            <w:tcW w:w="951" w:type="dxa"/>
            <w:shd w:val="clear" w:color="auto" w:fill="auto"/>
            <w:noWrap/>
            <w:hideMark/>
          </w:tcPr>
          <w:p w14:paraId="1FDB3684"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0.29</w:t>
            </w:r>
          </w:p>
        </w:tc>
        <w:tc>
          <w:tcPr>
            <w:tcW w:w="0" w:type="auto"/>
            <w:shd w:val="clear" w:color="auto" w:fill="auto"/>
            <w:noWrap/>
            <w:hideMark/>
          </w:tcPr>
          <w:p w14:paraId="37C72737"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0.88</w:t>
            </w:r>
          </w:p>
        </w:tc>
        <w:tc>
          <w:tcPr>
            <w:tcW w:w="0" w:type="auto"/>
            <w:shd w:val="clear" w:color="auto" w:fill="auto"/>
            <w:noWrap/>
            <w:hideMark/>
          </w:tcPr>
          <w:p w14:paraId="6E384AD6"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0.34</w:t>
            </w:r>
          </w:p>
        </w:tc>
        <w:tc>
          <w:tcPr>
            <w:tcW w:w="0" w:type="auto"/>
            <w:shd w:val="clear" w:color="auto" w:fill="auto"/>
            <w:noWrap/>
            <w:hideMark/>
          </w:tcPr>
          <w:p w14:paraId="009BD621"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1.93</w:t>
            </w:r>
          </w:p>
        </w:tc>
        <w:tc>
          <w:tcPr>
            <w:tcW w:w="0" w:type="auto"/>
            <w:shd w:val="clear" w:color="auto" w:fill="auto"/>
            <w:noWrap/>
            <w:hideMark/>
          </w:tcPr>
          <w:p w14:paraId="75725021"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0.52</w:t>
            </w:r>
          </w:p>
        </w:tc>
        <w:tc>
          <w:tcPr>
            <w:tcW w:w="0" w:type="auto"/>
            <w:shd w:val="clear" w:color="auto" w:fill="auto"/>
            <w:noWrap/>
            <w:hideMark/>
          </w:tcPr>
          <w:p w14:paraId="3D78FF45"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1.28</w:t>
            </w:r>
          </w:p>
        </w:tc>
      </w:tr>
      <w:tr w:rsidR="0020079C" w:rsidRPr="0020079C" w14:paraId="109961EA" w14:textId="77777777" w:rsidTr="00EE11F6">
        <w:tc>
          <w:tcPr>
            <w:tcW w:w="0" w:type="auto"/>
            <w:shd w:val="clear" w:color="auto" w:fill="auto"/>
            <w:noWrap/>
            <w:hideMark/>
          </w:tcPr>
          <w:p w14:paraId="3D04FCB2" w14:textId="77777777" w:rsidR="004F539B" w:rsidRPr="0020079C" w:rsidRDefault="004F539B" w:rsidP="0020079C">
            <w:pP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035F09D1"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422" w:type="dxa"/>
            <w:shd w:val="clear" w:color="auto" w:fill="auto"/>
            <w:noWrap/>
            <w:hideMark/>
          </w:tcPr>
          <w:p w14:paraId="70083F89" w14:textId="77777777" w:rsidR="004F539B" w:rsidRPr="0020079C" w:rsidRDefault="004F539B" w:rsidP="00EE11F6">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p=</w:t>
            </w:r>
          </w:p>
        </w:tc>
        <w:tc>
          <w:tcPr>
            <w:tcW w:w="951" w:type="dxa"/>
            <w:shd w:val="clear" w:color="auto" w:fill="auto"/>
            <w:noWrap/>
            <w:hideMark/>
          </w:tcPr>
          <w:p w14:paraId="077A55D9"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0.39</w:t>
            </w:r>
          </w:p>
        </w:tc>
        <w:tc>
          <w:tcPr>
            <w:tcW w:w="0" w:type="auto"/>
            <w:shd w:val="clear" w:color="auto" w:fill="auto"/>
            <w:noWrap/>
            <w:hideMark/>
          </w:tcPr>
          <w:p w14:paraId="7B3C08AC"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0.19</w:t>
            </w:r>
          </w:p>
        </w:tc>
        <w:tc>
          <w:tcPr>
            <w:tcW w:w="0" w:type="auto"/>
            <w:shd w:val="clear" w:color="auto" w:fill="auto"/>
            <w:noWrap/>
            <w:hideMark/>
          </w:tcPr>
          <w:p w14:paraId="49259A15"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0.37</w:t>
            </w:r>
          </w:p>
        </w:tc>
        <w:tc>
          <w:tcPr>
            <w:tcW w:w="0" w:type="auto"/>
            <w:shd w:val="clear" w:color="auto" w:fill="auto"/>
            <w:noWrap/>
            <w:hideMark/>
          </w:tcPr>
          <w:p w14:paraId="4294EB2D"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0.03</w:t>
            </w:r>
          </w:p>
        </w:tc>
        <w:tc>
          <w:tcPr>
            <w:tcW w:w="0" w:type="auto"/>
            <w:shd w:val="clear" w:color="auto" w:fill="auto"/>
            <w:noWrap/>
            <w:hideMark/>
          </w:tcPr>
          <w:p w14:paraId="660EE521"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0.31</w:t>
            </w:r>
          </w:p>
        </w:tc>
        <w:tc>
          <w:tcPr>
            <w:tcW w:w="0" w:type="auto"/>
            <w:shd w:val="clear" w:color="auto" w:fill="auto"/>
            <w:noWrap/>
            <w:hideMark/>
          </w:tcPr>
          <w:p w14:paraId="6478FD46"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0.11</w:t>
            </w:r>
          </w:p>
        </w:tc>
      </w:tr>
      <w:tr w:rsidR="0020079C" w:rsidRPr="0020079C" w14:paraId="671FE24C" w14:textId="77777777" w:rsidTr="00EE11F6">
        <w:tc>
          <w:tcPr>
            <w:tcW w:w="0" w:type="auto"/>
            <w:shd w:val="clear" w:color="auto" w:fill="auto"/>
            <w:noWrap/>
            <w:hideMark/>
          </w:tcPr>
          <w:p w14:paraId="674E0EAB" w14:textId="77777777" w:rsidR="004F539B" w:rsidRPr="0020079C" w:rsidRDefault="004F539B" w:rsidP="0020079C">
            <w:pP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3895ACF5"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422" w:type="dxa"/>
            <w:shd w:val="clear" w:color="auto" w:fill="auto"/>
            <w:noWrap/>
            <w:hideMark/>
          </w:tcPr>
          <w:p w14:paraId="61190FFD" w14:textId="77777777" w:rsidR="004F539B" w:rsidRPr="0020079C" w:rsidRDefault="004F539B" w:rsidP="00EE11F6">
            <w:pPr>
              <w:rPr>
                <w:rFonts w:ascii="Palatino Linotype" w:eastAsia="Times New Roman" w:hAnsi="Palatino Linotype" w:cs="Times New Roman"/>
                <w:color w:val="000000" w:themeColor="text1"/>
                <w:sz w:val="18"/>
                <w:szCs w:val="18"/>
              </w:rPr>
            </w:pPr>
          </w:p>
        </w:tc>
        <w:tc>
          <w:tcPr>
            <w:tcW w:w="951" w:type="dxa"/>
            <w:shd w:val="clear" w:color="auto" w:fill="auto"/>
            <w:noWrap/>
            <w:hideMark/>
          </w:tcPr>
          <w:p w14:paraId="198746B6"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75B079DF"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0E406457"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575608B0"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1A9832CA"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0" w:type="auto"/>
            <w:shd w:val="clear" w:color="auto" w:fill="auto"/>
            <w:noWrap/>
            <w:hideMark/>
          </w:tcPr>
          <w:p w14:paraId="5BE1239B"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r>
      <w:tr w:rsidR="0020079C" w:rsidRPr="0020079C" w14:paraId="5E538836" w14:textId="77777777" w:rsidTr="00EE11F6">
        <w:tc>
          <w:tcPr>
            <w:tcW w:w="0" w:type="auto"/>
            <w:shd w:val="clear" w:color="auto" w:fill="auto"/>
            <w:noWrap/>
            <w:hideMark/>
          </w:tcPr>
          <w:p w14:paraId="4D397A84" w14:textId="77777777" w:rsidR="004F539B" w:rsidRPr="0020079C" w:rsidRDefault="004F539B" w:rsidP="0020079C">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 xml:space="preserve">Foxhall Road Grey Clays </w:t>
            </w:r>
          </w:p>
        </w:tc>
        <w:tc>
          <w:tcPr>
            <w:tcW w:w="0" w:type="auto"/>
            <w:shd w:val="clear" w:color="auto" w:fill="auto"/>
            <w:noWrap/>
            <w:hideMark/>
          </w:tcPr>
          <w:p w14:paraId="311DEBED"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16</w:t>
            </w:r>
          </w:p>
        </w:tc>
        <w:tc>
          <w:tcPr>
            <w:tcW w:w="422" w:type="dxa"/>
            <w:shd w:val="clear" w:color="auto" w:fill="auto"/>
            <w:noWrap/>
            <w:hideMark/>
          </w:tcPr>
          <w:p w14:paraId="63F0B1FF" w14:textId="77777777" w:rsidR="004F539B" w:rsidRPr="0020079C" w:rsidRDefault="004F539B" w:rsidP="00EE11F6">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t=</w:t>
            </w:r>
          </w:p>
        </w:tc>
        <w:tc>
          <w:tcPr>
            <w:tcW w:w="951" w:type="dxa"/>
            <w:shd w:val="clear" w:color="auto" w:fill="auto"/>
            <w:noWrap/>
            <w:hideMark/>
          </w:tcPr>
          <w:p w14:paraId="23E967BE" w14:textId="6A7FEE46" w:rsidR="004F539B" w:rsidRPr="0020079C" w:rsidRDefault="00EE11F6" w:rsidP="00EE11F6">
            <w:pPr>
              <w:jc w:val="center"/>
              <w:rPr>
                <w:rFonts w:ascii="Palatino Linotype" w:eastAsia="Times New Roman" w:hAnsi="Palatino Linotype" w:cs="Times New Roman"/>
                <w:color w:val="000000" w:themeColor="text1"/>
                <w:sz w:val="18"/>
                <w:szCs w:val="18"/>
              </w:rPr>
            </w:pPr>
            <w:r>
              <w:rPr>
                <w:rFonts w:ascii="Palatino Linotype" w:eastAsia="Times New Roman" w:hAnsi="Palatino Linotype" w:cs="Times New Roman"/>
                <w:color w:val="000000" w:themeColor="text1"/>
                <w:sz w:val="18"/>
                <w:szCs w:val="18"/>
              </w:rPr>
              <w:t>–</w:t>
            </w:r>
            <w:r w:rsidR="004F539B" w:rsidRPr="0020079C">
              <w:rPr>
                <w:rFonts w:ascii="Palatino Linotype" w:eastAsia="Times New Roman" w:hAnsi="Palatino Linotype" w:cs="Times New Roman"/>
                <w:color w:val="000000" w:themeColor="text1"/>
                <w:sz w:val="18"/>
                <w:szCs w:val="18"/>
              </w:rPr>
              <w:t>2.26</w:t>
            </w:r>
          </w:p>
        </w:tc>
        <w:tc>
          <w:tcPr>
            <w:tcW w:w="0" w:type="auto"/>
            <w:shd w:val="clear" w:color="auto" w:fill="auto"/>
            <w:noWrap/>
            <w:hideMark/>
          </w:tcPr>
          <w:p w14:paraId="4C3DB146" w14:textId="10CB31E4" w:rsidR="004F539B" w:rsidRPr="0020079C" w:rsidRDefault="00EE11F6" w:rsidP="00EE11F6">
            <w:pPr>
              <w:jc w:val="center"/>
              <w:rPr>
                <w:rFonts w:ascii="Palatino Linotype" w:eastAsia="Times New Roman" w:hAnsi="Palatino Linotype" w:cs="Times New Roman"/>
                <w:color w:val="000000" w:themeColor="text1"/>
                <w:sz w:val="18"/>
                <w:szCs w:val="18"/>
              </w:rPr>
            </w:pPr>
            <w:r>
              <w:rPr>
                <w:rFonts w:ascii="Palatino Linotype" w:eastAsia="Times New Roman" w:hAnsi="Palatino Linotype" w:cs="Times New Roman"/>
                <w:color w:val="000000" w:themeColor="text1"/>
                <w:sz w:val="18"/>
                <w:szCs w:val="18"/>
              </w:rPr>
              <w:t>–</w:t>
            </w:r>
            <w:r w:rsidR="004F539B" w:rsidRPr="0020079C">
              <w:rPr>
                <w:rFonts w:ascii="Palatino Linotype" w:eastAsia="Times New Roman" w:hAnsi="Palatino Linotype" w:cs="Times New Roman"/>
                <w:color w:val="000000" w:themeColor="text1"/>
                <w:sz w:val="18"/>
                <w:szCs w:val="18"/>
              </w:rPr>
              <w:t>3.49</w:t>
            </w:r>
          </w:p>
        </w:tc>
        <w:tc>
          <w:tcPr>
            <w:tcW w:w="0" w:type="auto"/>
            <w:shd w:val="clear" w:color="auto" w:fill="auto"/>
            <w:noWrap/>
            <w:hideMark/>
          </w:tcPr>
          <w:p w14:paraId="75C6AEAE"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0.10</w:t>
            </w:r>
          </w:p>
        </w:tc>
        <w:tc>
          <w:tcPr>
            <w:tcW w:w="0" w:type="auto"/>
            <w:shd w:val="clear" w:color="auto" w:fill="auto"/>
            <w:noWrap/>
            <w:hideMark/>
          </w:tcPr>
          <w:p w14:paraId="62284AC3" w14:textId="332E10F9" w:rsidR="004F539B" w:rsidRPr="0020079C" w:rsidRDefault="00EE11F6" w:rsidP="00EE11F6">
            <w:pPr>
              <w:jc w:val="center"/>
              <w:rPr>
                <w:rFonts w:ascii="Palatino Linotype" w:eastAsia="Times New Roman" w:hAnsi="Palatino Linotype" w:cs="Times New Roman"/>
                <w:color w:val="000000" w:themeColor="text1"/>
                <w:sz w:val="18"/>
                <w:szCs w:val="18"/>
              </w:rPr>
            </w:pPr>
            <w:r>
              <w:rPr>
                <w:rFonts w:ascii="Palatino Linotype" w:eastAsia="Times New Roman" w:hAnsi="Palatino Linotype" w:cs="Times New Roman"/>
                <w:color w:val="000000" w:themeColor="text1"/>
                <w:sz w:val="18"/>
                <w:szCs w:val="18"/>
              </w:rPr>
              <w:t>–</w:t>
            </w:r>
            <w:r w:rsidR="004F539B" w:rsidRPr="0020079C">
              <w:rPr>
                <w:rFonts w:ascii="Palatino Linotype" w:eastAsia="Times New Roman" w:hAnsi="Palatino Linotype" w:cs="Times New Roman"/>
                <w:color w:val="000000" w:themeColor="text1"/>
                <w:sz w:val="18"/>
                <w:szCs w:val="18"/>
              </w:rPr>
              <w:t>4.47</w:t>
            </w:r>
          </w:p>
        </w:tc>
        <w:tc>
          <w:tcPr>
            <w:tcW w:w="0" w:type="auto"/>
            <w:shd w:val="clear" w:color="auto" w:fill="auto"/>
            <w:noWrap/>
            <w:hideMark/>
          </w:tcPr>
          <w:p w14:paraId="3EC8F6ED" w14:textId="0D9F5D45" w:rsidR="004F539B" w:rsidRPr="0020079C" w:rsidRDefault="00EE11F6" w:rsidP="00EE11F6">
            <w:pPr>
              <w:jc w:val="center"/>
              <w:rPr>
                <w:rFonts w:ascii="Palatino Linotype" w:eastAsia="Times New Roman" w:hAnsi="Palatino Linotype" w:cs="Times New Roman"/>
                <w:color w:val="000000" w:themeColor="text1"/>
                <w:sz w:val="18"/>
                <w:szCs w:val="18"/>
              </w:rPr>
            </w:pPr>
            <w:r>
              <w:rPr>
                <w:rFonts w:ascii="Palatino Linotype" w:eastAsia="Times New Roman" w:hAnsi="Palatino Linotype" w:cs="Times New Roman"/>
                <w:color w:val="000000" w:themeColor="text1"/>
                <w:sz w:val="18"/>
                <w:szCs w:val="18"/>
              </w:rPr>
              <w:t>–</w:t>
            </w:r>
            <w:r w:rsidR="004F539B" w:rsidRPr="0020079C">
              <w:rPr>
                <w:rFonts w:ascii="Palatino Linotype" w:eastAsia="Times New Roman" w:hAnsi="Palatino Linotype" w:cs="Times New Roman"/>
                <w:color w:val="000000" w:themeColor="text1"/>
                <w:sz w:val="18"/>
                <w:szCs w:val="18"/>
              </w:rPr>
              <w:t>3.19</w:t>
            </w:r>
          </w:p>
        </w:tc>
        <w:tc>
          <w:tcPr>
            <w:tcW w:w="0" w:type="auto"/>
            <w:shd w:val="clear" w:color="auto" w:fill="auto"/>
            <w:noWrap/>
            <w:hideMark/>
          </w:tcPr>
          <w:p w14:paraId="3EB5C501"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3.29</w:t>
            </w:r>
          </w:p>
        </w:tc>
      </w:tr>
      <w:tr w:rsidR="0020079C" w:rsidRPr="0020079C" w14:paraId="628C7C6D" w14:textId="77777777" w:rsidTr="00EE11F6">
        <w:tc>
          <w:tcPr>
            <w:tcW w:w="0" w:type="auto"/>
            <w:tcBorders>
              <w:bottom w:val="single" w:sz="4" w:space="0" w:color="auto"/>
            </w:tcBorders>
            <w:shd w:val="clear" w:color="auto" w:fill="auto"/>
            <w:noWrap/>
            <w:hideMark/>
          </w:tcPr>
          <w:p w14:paraId="459D5915" w14:textId="77777777" w:rsidR="004F539B" w:rsidRPr="0020079C" w:rsidRDefault="004F539B" w:rsidP="0020079C">
            <w:pPr>
              <w:rPr>
                <w:rFonts w:ascii="Palatino Linotype" w:eastAsia="Times New Roman" w:hAnsi="Palatino Linotype" w:cs="Times New Roman"/>
                <w:color w:val="000000" w:themeColor="text1"/>
                <w:sz w:val="18"/>
                <w:szCs w:val="18"/>
              </w:rPr>
            </w:pPr>
          </w:p>
        </w:tc>
        <w:tc>
          <w:tcPr>
            <w:tcW w:w="0" w:type="auto"/>
            <w:tcBorders>
              <w:bottom w:val="single" w:sz="4" w:space="0" w:color="auto"/>
            </w:tcBorders>
            <w:shd w:val="clear" w:color="auto" w:fill="auto"/>
            <w:noWrap/>
            <w:hideMark/>
          </w:tcPr>
          <w:p w14:paraId="406F4FD3"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p>
        </w:tc>
        <w:tc>
          <w:tcPr>
            <w:tcW w:w="422" w:type="dxa"/>
            <w:tcBorders>
              <w:bottom w:val="single" w:sz="4" w:space="0" w:color="auto"/>
            </w:tcBorders>
            <w:shd w:val="clear" w:color="auto" w:fill="auto"/>
            <w:noWrap/>
            <w:hideMark/>
          </w:tcPr>
          <w:p w14:paraId="0956194A" w14:textId="77777777" w:rsidR="004F539B" w:rsidRPr="0020079C" w:rsidRDefault="004F539B" w:rsidP="00EE11F6">
            <w:pPr>
              <w:rPr>
                <w:rFonts w:ascii="Palatino Linotype" w:eastAsia="Times New Roman" w:hAnsi="Palatino Linotype" w:cs="Times New Roman"/>
                <w:bCs/>
                <w:color w:val="000000" w:themeColor="text1"/>
                <w:sz w:val="18"/>
                <w:szCs w:val="18"/>
              </w:rPr>
            </w:pPr>
            <w:r w:rsidRPr="0020079C">
              <w:rPr>
                <w:rFonts w:ascii="Palatino Linotype" w:eastAsia="Times New Roman" w:hAnsi="Palatino Linotype" w:cs="Times New Roman"/>
                <w:bCs/>
                <w:color w:val="000000" w:themeColor="text1"/>
                <w:sz w:val="18"/>
                <w:szCs w:val="18"/>
              </w:rPr>
              <w:t>p=</w:t>
            </w:r>
          </w:p>
        </w:tc>
        <w:tc>
          <w:tcPr>
            <w:tcW w:w="951" w:type="dxa"/>
            <w:tcBorders>
              <w:bottom w:val="single" w:sz="4" w:space="0" w:color="auto"/>
            </w:tcBorders>
            <w:shd w:val="clear" w:color="auto" w:fill="auto"/>
            <w:noWrap/>
            <w:hideMark/>
          </w:tcPr>
          <w:p w14:paraId="4714D1DF"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0.02</w:t>
            </w:r>
          </w:p>
        </w:tc>
        <w:tc>
          <w:tcPr>
            <w:tcW w:w="0" w:type="auto"/>
            <w:tcBorders>
              <w:bottom w:val="single" w:sz="4" w:space="0" w:color="auto"/>
            </w:tcBorders>
            <w:shd w:val="clear" w:color="auto" w:fill="auto"/>
            <w:noWrap/>
            <w:hideMark/>
          </w:tcPr>
          <w:p w14:paraId="04C43560"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0.00</w:t>
            </w:r>
          </w:p>
        </w:tc>
        <w:tc>
          <w:tcPr>
            <w:tcW w:w="0" w:type="auto"/>
            <w:tcBorders>
              <w:bottom w:val="single" w:sz="4" w:space="0" w:color="auto"/>
            </w:tcBorders>
            <w:shd w:val="clear" w:color="auto" w:fill="auto"/>
            <w:noWrap/>
            <w:hideMark/>
          </w:tcPr>
          <w:p w14:paraId="764063C9"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0.46</w:t>
            </w:r>
          </w:p>
        </w:tc>
        <w:tc>
          <w:tcPr>
            <w:tcW w:w="0" w:type="auto"/>
            <w:tcBorders>
              <w:bottom w:val="single" w:sz="4" w:space="0" w:color="auto"/>
            </w:tcBorders>
            <w:shd w:val="clear" w:color="auto" w:fill="auto"/>
            <w:noWrap/>
            <w:hideMark/>
          </w:tcPr>
          <w:p w14:paraId="1F4113E7"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0.00</w:t>
            </w:r>
          </w:p>
        </w:tc>
        <w:tc>
          <w:tcPr>
            <w:tcW w:w="0" w:type="auto"/>
            <w:tcBorders>
              <w:bottom w:val="single" w:sz="4" w:space="0" w:color="auto"/>
            </w:tcBorders>
            <w:shd w:val="clear" w:color="auto" w:fill="auto"/>
            <w:noWrap/>
            <w:hideMark/>
          </w:tcPr>
          <w:p w14:paraId="1EA53E64" w14:textId="77777777" w:rsidR="004F539B" w:rsidRPr="0020079C"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0.00</w:t>
            </w:r>
          </w:p>
        </w:tc>
        <w:tc>
          <w:tcPr>
            <w:tcW w:w="0" w:type="auto"/>
            <w:tcBorders>
              <w:bottom w:val="single" w:sz="4" w:space="0" w:color="auto"/>
            </w:tcBorders>
            <w:shd w:val="clear" w:color="auto" w:fill="auto"/>
            <w:noWrap/>
            <w:hideMark/>
          </w:tcPr>
          <w:p w14:paraId="44EE82C4" w14:textId="126F9EFD" w:rsidR="004F539B" w:rsidRDefault="004F539B" w:rsidP="00EE11F6">
            <w:pPr>
              <w:jc w:val="center"/>
              <w:rPr>
                <w:rFonts w:ascii="Palatino Linotype" w:eastAsia="Times New Roman" w:hAnsi="Palatino Linotype" w:cs="Times New Roman"/>
                <w:color w:val="000000" w:themeColor="text1"/>
                <w:sz w:val="18"/>
                <w:szCs w:val="18"/>
              </w:rPr>
            </w:pPr>
            <w:r w:rsidRPr="0020079C">
              <w:rPr>
                <w:rFonts w:ascii="Palatino Linotype" w:eastAsia="Times New Roman" w:hAnsi="Palatino Linotype" w:cs="Times New Roman"/>
                <w:color w:val="000000" w:themeColor="text1"/>
                <w:sz w:val="18"/>
                <w:szCs w:val="18"/>
              </w:rPr>
              <w:t>0.00</w:t>
            </w:r>
          </w:p>
          <w:p w14:paraId="5F331392" w14:textId="77777777" w:rsidR="00EE11F6" w:rsidRDefault="00EE11F6" w:rsidP="00EE11F6">
            <w:pPr>
              <w:jc w:val="center"/>
              <w:rPr>
                <w:rFonts w:ascii="Palatino Linotype" w:eastAsia="Times New Roman" w:hAnsi="Palatino Linotype" w:cs="Times New Roman"/>
                <w:color w:val="000000" w:themeColor="text1"/>
                <w:sz w:val="18"/>
                <w:szCs w:val="18"/>
              </w:rPr>
            </w:pPr>
          </w:p>
          <w:p w14:paraId="44574204" w14:textId="2AC79010" w:rsidR="00EE11F6" w:rsidRPr="0020079C" w:rsidRDefault="00EE11F6" w:rsidP="00EE11F6">
            <w:pPr>
              <w:jc w:val="center"/>
              <w:rPr>
                <w:rFonts w:ascii="Palatino Linotype" w:eastAsia="Times New Roman" w:hAnsi="Palatino Linotype" w:cs="Times New Roman"/>
                <w:color w:val="000000" w:themeColor="text1"/>
                <w:sz w:val="18"/>
                <w:szCs w:val="18"/>
              </w:rPr>
            </w:pPr>
          </w:p>
        </w:tc>
      </w:tr>
    </w:tbl>
    <w:p w14:paraId="6E0B013C" w14:textId="575C7429" w:rsidR="00B46F4B" w:rsidRDefault="00926830" w:rsidP="00A675C5">
      <w:pPr>
        <w:ind w:firstLine="720"/>
        <w:jc w:val="both"/>
        <w:rPr>
          <w:rFonts w:ascii="Palatino Linotype" w:hAnsi="Palatino Linotype" w:cs="Times New Roman"/>
          <w:color w:val="000000" w:themeColor="text1"/>
        </w:rPr>
      </w:pPr>
    </w:p>
    <w:p w14:paraId="10E13060" w14:textId="40414914" w:rsidR="00EE11F6" w:rsidRDefault="00EE11F6" w:rsidP="00EE11F6">
      <w:pPr>
        <w:jc w:val="center"/>
        <w:rPr>
          <w:rFonts w:ascii="Palatino Linotype" w:hAnsi="Palatino Linotype" w:cs="Times New Roman"/>
          <w:color w:val="000000" w:themeColor="text1"/>
        </w:rPr>
      </w:pPr>
      <w:r>
        <w:rPr>
          <w:rFonts w:ascii="Palatino Linotype" w:hAnsi="Palatino Linotype" w:cs="Times New Roman"/>
          <w:color w:val="000000" w:themeColor="text1"/>
        </w:rPr>
        <w:t>BIBLIOGRAPHY</w:t>
      </w:r>
    </w:p>
    <w:p w14:paraId="7BA9267D" w14:textId="2336959A" w:rsidR="00EE11F6" w:rsidRPr="001161B7" w:rsidRDefault="00EE11F6" w:rsidP="00EE11F6">
      <w:pPr>
        <w:jc w:val="center"/>
        <w:rPr>
          <w:rFonts w:ascii="Palatino Linotype" w:hAnsi="Palatino Linotype" w:cs="Times New Roman"/>
          <w:color w:val="000000" w:themeColor="text1"/>
          <w:sz w:val="18"/>
        </w:rPr>
      </w:pPr>
    </w:p>
    <w:p w14:paraId="536D7005" w14:textId="77777777" w:rsidR="007424B0" w:rsidRPr="007424B0" w:rsidRDefault="007424B0" w:rsidP="00742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ascii="Palatino Linotype" w:eastAsiaTheme="minorHAnsi" w:hAnsi="Palatino Linotype" w:cs="Times New Roman"/>
          <w:kern w:val="1"/>
          <w:sz w:val="18"/>
          <w:szCs w:val="18"/>
        </w:rPr>
      </w:pPr>
      <w:r w:rsidRPr="007424B0">
        <w:rPr>
          <w:rFonts w:ascii="Palatino Linotype" w:eastAsiaTheme="minorHAnsi" w:hAnsi="Palatino Linotype" w:cs="Times New Roman"/>
          <w:kern w:val="1"/>
          <w:sz w:val="18"/>
          <w:szCs w:val="18"/>
        </w:rPr>
        <w:t xml:space="preserve">Ashton, N. 2001. One step beyond. Flint shortage above the Goring Gap: the example of Wolvercote. In S. Milliken &amp; J. Cook (eds), </w:t>
      </w:r>
      <w:r w:rsidRPr="007424B0">
        <w:rPr>
          <w:rFonts w:ascii="Palatino Linotype" w:eastAsiaTheme="minorHAnsi" w:hAnsi="Palatino Linotype" w:cs="Times New Roman"/>
          <w:i/>
          <w:kern w:val="1"/>
          <w:sz w:val="18"/>
          <w:szCs w:val="18"/>
        </w:rPr>
        <w:t>A Very Remote Period Indeed: Papers on the Palaeolithic presented to Derek Roe</w:t>
      </w:r>
      <w:r w:rsidRPr="007424B0">
        <w:rPr>
          <w:rFonts w:ascii="Palatino Linotype" w:eastAsiaTheme="minorHAnsi" w:hAnsi="Palatino Linotype" w:cs="Times New Roman"/>
          <w:kern w:val="1"/>
          <w:sz w:val="18"/>
          <w:szCs w:val="18"/>
        </w:rPr>
        <w:t>, 199–206. Oxford: Oxbow Books</w:t>
      </w:r>
    </w:p>
    <w:p w14:paraId="4F1C12B4" w14:textId="77777777" w:rsidR="007424B0" w:rsidRPr="007424B0" w:rsidRDefault="007424B0" w:rsidP="00742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ascii="Palatino Linotype" w:eastAsiaTheme="minorHAnsi" w:hAnsi="Palatino Linotype" w:cs="Times New Roman"/>
          <w:kern w:val="1"/>
          <w:sz w:val="18"/>
          <w:szCs w:val="18"/>
        </w:rPr>
      </w:pPr>
      <w:proofErr w:type="spellStart"/>
      <w:r w:rsidRPr="007424B0">
        <w:rPr>
          <w:rFonts w:ascii="Palatino Linotype" w:eastAsiaTheme="minorHAnsi" w:hAnsi="Palatino Linotype" w:cs="Times New Roman"/>
          <w:kern w:val="1"/>
          <w:sz w:val="18"/>
          <w:szCs w:val="18"/>
        </w:rPr>
        <w:t>McPherron</w:t>
      </w:r>
      <w:proofErr w:type="spellEnd"/>
      <w:r w:rsidRPr="007424B0">
        <w:rPr>
          <w:rFonts w:ascii="Palatino Linotype" w:eastAsiaTheme="minorHAnsi" w:hAnsi="Palatino Linotype" w:cs="Times New Roman"/>
          <w:kern w:val="1"/>
          <w:sz w:val="18"/>
          <w:szCs w:val="18"/>
        </w:rPr>
        <w:t xml:space="preserve">, S.P. 1994. </w:t>
      </w:r>
      <w:r w:rsidRPr="007424B0">
        <w:rPr>
          <w:rFonts w:ascii="Palatino Linotype" w:eastAsiaTheme="minorHAnsi" w:hAnsi="Palatino Linotype" w:cs="Times New Roman"/>
          <w:i/>
          <w:kern w:val="1"/>
          <w:sz w:val="18"/>
          <w:szCs w:val="18"/>
        </w:rPr>
        <w:t xml:space="preserve">A Reduction Model for Variability in Acheulean Biface Morphology. </w:t>
      </w:r>
      <w:r w:rsidRPr="007424B0">
        <w:rPr>
          <w:rFonts w:ascii="Palatino Linotype" w:eastAsiaTheme="minorHAnsi" w:hAnsi="Palatino Linotype" w:cs="Times New Roman"/>
          <w:kern w:val="1"/>
          <w:sz w:val="18"/>
          <w:szCs w:val="18"/>
        </w:rPr>
        <w:t>Unpublished PhD thesis, University of Pennsylvania</w:t>
      </w:r>
    </w:p>
    <w:p w14:paraId="1060EFB3" w14:textId="0BBEDA65" w:rsidR="00395BCB" w:rsidRPr="007424B0" w:rsidRDefault="00395BCB" w:rsidP="00395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ascii="Palatino Linotype" w:eastAsiaTheme="minorHAnsi" w:hAnsi="Palatino Linotype" w:cs="Times New Roman"/>
          <w:kern w:val="1"/>
          <w:sz w:val="18"/>
          <w:szCs w:val="18"/>
        </w:rPr>
      </w:pPr>
      <w:r w:rsidRPr="007424B0">
        <w:rPr>
          <w:rFonts w:ascii="Palatino Linotype" w:eastAsiaTheme="minorHAnsi" w:hAnsi="Palatino Linotype" w:cs="Times New Roman"/>
          <w:kern w:val="1"/>
          <w:sz w:val="18"/>
          <w:szCs w:val="18"/>
        </w:rPr>
        <w:t>White, M.J. 1998. Twisted</w:t>
      </w:r>
      <w:r w:rsidR="001161B7" w:rsidRPr="007424B0">
        <w:rPr>
          <w:rFonts w:ascii="Palatino Linotype" w:eastAsiaTheme="minorHAnsi" w:hAnsi="Palatino Linotype" w:cs="Times New Roman"/>
          <w:kern w:val="1"/>
          <w:sz w:val="18"/>
          <w:szCs w:val="18"/>
        </w:rPr>
        <w:t xml:space="preserve"> ovate bifaces in t</w:t>
      </w:r>
      <w:r w:rsidRPr="007424B0">
        <w:rPr>
          <w:rFonts w:ascii="Palatino Linotype" w:eastAsiaTheme="minorHAnsi" w:hAnsi="Palatino Linotype" w:cs="Times New Roman"/>
          <w:kern w:val="1"/>
          <w:sz w:val="18"/>
          <w:szCs w:val="18"/>
        </w:rPr>
        <w:t>he British Lower Palaeolithic: Some O</w:t>
      </w:r>
      <w:r w:rsidR="001161B7" w:rsidRPr="007424B0">
        <w:rPr>
          <w:rFonts w:ascii="Palatino Linotype" w:eastAsiaTheme="minorHAnsi" w:hAnsi="Palatino Linotype" w:cs="Times New Roman"/>
          <w:kern w:val="1"/>
          <w:sz w:val="18"/>
          <w:szCs w:val="18"/>
        </w:rPr>
        <w:t>bservations and implic</w:t>
      </w:r>
      <w:r w:rsidRPr="007424B0">
        <w:rPr>
          <w:rFonts w:ascii="Palatino Linotype" w:eastAsiaTheme="minorHAnsi" w:hAnsi="Palatino Linotype" w:cs="Times New Roman"/>
          <w:kern w:val="1"/>
          <w:sz w:val="18"/>
          <w:szCs w:val="18"/>
        </w:rPr>
        <w:t xml:space="preserve">ations. In N.M. Ashton, F. Healy </w:t>
      </w:r>
      <w:r w:rsidR="001161B7" w:rsidRPr="007424B0">
        <w:rPr>
          <w:rFonts w:ascii="Palatino Linotype" w:eastAsiaTheme="minorHAnsi" w:hAnsi="Palatino Linotype" w:cs="Times New Roman"/>
          <w:kern w:val="1"/>
          <w:sz w:val="18"/>
          <w:szCs w:val="18"/>
        </w:rPr>
        <w:t>&amp;</w:t>
      </w:r>
      <w:r w:rsidRPr="007424B0">
        <w:rPr>
          <w:rFonts w:ascii="Palatino Linotype" w:eastAsiaTheme="minorHAnsi" w:hAnsi="Palatino Linotype" w:cs="Times New Roman"/>
          <w:kern w:val="1"/>
          <w:sz w:val="18"/>
          <w:szCs w:val="18"/>
        </w:rPr>
        <w:t xml:space="preserve"> P. Pettitt (eds), </w:t>
      </w:r>
      <w:r w:rsidRPr="007424B0">
        <w:rPr>
          <w:rFonts w:ascii="Palatino Linotype" w:eastAsiaTheme="minorHAnsi" w:hAnsi="Palatino Linotype" w:cs="Times New Roman"/>
          <w:i/>
          <w:iCs/>
          <w:kern w:val="1"/>
          <w:sz w:val="18"/>
          <w:szCs w:val="18"/>
        </w:rPr>
        <w:t xml:space="preserve">Stone Age Archaeology: Essays in honour of John </w:t>
      </w:r>
      <w:proofErr w:type="spellStart"/>
      <w:r w:rsidRPr="007424B0">
        <w:rPr>
          <w:rFonts w:ascii="Palatino Linotype" w:eastAsiaTheme="minorHAnsi" w:hAnsi="Palatino Linotype" w:cs="Times New Roman"/>
          <w:i/>
          <w:iCs/>
          <w:kern w:val="1"/>
          <w:sz w:val="18"/>
          <w:szCs w:val="18"/>
        </w:rPr>
        <w:t>Wymer</w:t>
      </w:r>
      <w:proofErr w:type="spellEnd"/>
      <w:r w:rsidR="001161B7" w:rsidRPr="007424B0">
        <w:rPr>
          <w:rFonts w:ascii="Palatino Linotype" w:eastAsiaTheme="minorHAnsi" w:hAnsi="Palatino Linotype" w:cs="Times New Roman"/>
          <w:iCs/>
          <w:kern w:val="1"/>
          <w:sz w:val="18"/>
          <w:szCs w:val="18"/>
        </w:rPr>
        <w:t>,</w:t>
      </w:r>
      <w:r w:rsidR="001161B7" w:rsidRPr="007424B0">
        <w:rPr>
          <w:rFonts w:ascii="Palatino Linotype" w:eastAsiaTheme="minorHAnsi" w:hAnsi="Palatino Linotype" w:cs="Times New Roman"/>
          <w:kern w:val="1"/>
          <w:sz w:val="18"/>
          <w:szCs w:val="18"/>
        </w:rPr>
        <w:t xml:space="preserve"> 98–104</w:t>
      </w:r>
      <w:r w:rsidRPr="007424B0">
        <w:rPr>
          <w:rFonts w:ascii="Palatino Linotype" w:eastAsiaTheme="minorHAnsi" w:hAnsi="Palatino Linotype" w:cs="Times New Roman"/>
          <w:kern w:val="1"/>
          <w:sz w:val="18"/>
          <w:szCs w:val="18"/>
        </w:rPr>
        <w:t>. Oxford: Oxbow Book</w:t>
      </w:r>
      <w:r w:rsidR="001161B7" w:rsidRPr="007424B0">
        <w:rPr>
          <w:rFonts w:ascii="Palatino Linotype" w:eastAsiaTheme="minorHAnsi" w:hAnsi="Palatino Linotype" w:cs="Times New Roman"/>
          <w:kern w:val="1"/>
          <w:sz w:val="18"/>
          <w:szCs w:val="18"/>
        </w:rPr>
        <w:t>s</w:t>
      </w:r>
    </w:p>
    <w:p w14:paraId="277D147C" w14:textId="5861F001" w:rsidR="00EE11F6" w:rsidRPr="007424B0" w:rsidRDefault="00EE11F6" w:rsidP="00EE11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ascii="Palatino Linotype" w:eastAsiaTheme="minorHAnsi" w:hAnsi="Palatino Linotype" w:cs="Times New Roman"/>
          <w:kern w:val="1"/>
          <w:sz w:val="18"/>
          <w:szCs w:val="18"/>
        </w:rPr>
      </w:pPr>
      <w:r w:rsidRPr="007424B0">
        <w:rPr>
          <w:rFonts w:ascii="Palatino Linotype" w:eastAsiaTheme="minorHAnsi" w:hAnsi="Palatino Linotype" w:cs="Times New Roman"/>
          <w:kern w:val="1"/>
          <w:sz w:val="18"/>
          <w:szCs w:val="18"/>
        </w:rPr>
        <w:t>White, M.J. &amp; Plunkett</w:t>
      </w:r>
      <w:r w:rsidR="001161B7" w:rsidRPr="007424B0">
        <w:rPr>
          <w:rFonts w:ascii="Palatino Linotype" w:eastAsiaTheme="minorHAnsi" w:hAnsi="Palatino Linotype" w:cs="Times New Roman"/>
          <w:kern w:val="1"/>
          <w:sz w:val="18"/>
          <w:szCs w:val="18"/>
        </w:rPr>
        <w:t xml:space="preserve">, </w:t>
      </w:r>
      <w:r w:rsidRPr="007424B0">
        <w:rPr>
          <w:rFonts w:ascii="Palatino Linotype" w:eastAsiaTheme="minorHAnsi" w:hAnsi="Palatino Linotype" w:cs="Times New Roman"/>
          <w:kern w:val="1"/>
          <w:sz w:val="18"/>
          <w:szCs w:val="18"/>
        </w:rPr>
        <w:t xml:space="preserve">S.J. 2004. </w:t>
      </w:r>
      <w:r w:rsidRPr="007424B0">
        <w:rPr>
          <w:rFonts w:ascii="Palatino Linotype" w:eastAsiaTheme="minorHAnsi" w:hAnsi="Palatino Linotype" w:cs="Times New Roman"/>
          <w:i/>
          <w:iCs/>
          <w:kern w:val="1"/>
          <w:sz w:val="18"/>
          <w:szCs w:val="18"/>
        </w:rPr>
        <w:t>Miss Layard Excavates: a Palaeolithic site at Foxhall Road, Ipswich, 1903</w:t>
      </w:r>
      <w:r w:rsidR="001161B7" w:rsidRPr="007424B0">
        <w:rPr>
          <w:rFonts w:ascii="Palatino Linotype" w:eastAsiaTheme="minorHAnsi" w:hAnsi="Palatino Linotype" w:cs="Times New Roman"/>
          <w:i/>
          <w:iCs/>
          <w:kern w:val="1"/>
          <w:sz w:val="18"/>
          <w:szCs w:val="18"/>
        </w:rPr>
        <w:t>–</w:t>
      </w:r>
      <w:r w:rsidRPr="007424B0">
        <w:rPr>
          <w:rFonts w:ascii="Palatino Linotype" w:eastAsiaTheme="minorHAnsi" w:hAnsi="Palatino Linotype" w:cs="Times New Roman"/>
          <w:i/>
          <w:iCs/>
          <w:kern w:val="1"/>
          <w:sz w:val="18"/>
          <w:szCs w:val="18"/>
        </w:rPr>
        <w:t>1905</w:t>
      </w:r>
      <w:r w:rsidRPr="007424B0">
        <w:rPr>
          <w:rFonts w:ascii="Palatino Linotype" w:eastAsiaTheme="minorHAnsi" w:hAnsi="Palatino Linotype" w:cs="Times New Roman"/>
          <w:kern w:val="1"/>
          <w:sz w:val="18"/>
          <w:szCs w:val="18"/>
        </w:rPr>
        <w:t>. Liverpool: WASP.</w:t>
      </w:r>
    </w:p>
    <w:sectPr w:rsidR="00EE11F6" w:rsidRPr="007424B0" w:rsidSect="00D46424">
      <w:footerReference w:type="default" r:id="rId6"/>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747C" w14:textId="77777777" w:rsidR="00926830" w:rsidRDefault="00926830" w:rsidP="007424B0">
      <w:r>
        <w:separator/>
      </w:r>
    </w:p>
  </w:endnote>
  <w:endnote w:type="continuationSeparator" w:id="0">
    <w:p w14:paraId="45978E4A" w14:textId="77777777" w:rsidR="00926830" w:rsidRDefault="00926830" w:rsidP="0074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altName w:val="Calibri"/>
    <w:charset w:val="00"/>
    <w:family w:val="auto"/>
    <w:pitch w:val="variable"/>
    <w:sig w:usb0="800002FF" w:usb1="4000004A" w:usb2="00000000" w:usb3="00000000" w:csb0="00000007"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84030"/>
      <w:docPartObj>
        <w:docPartGallery w:val="Page Numbers (Bottom of Page)"/>
        <w:docPartUnique/>
      </w:docPartObj>
    </w:sdtPr>
    <w:sdtEndPr>
      <w:rPr>
        <w:noProof/>
      </w:rPr>
    </w:sdtEndPr>
    <w:sdtContent>
      <w:p w14:paraId="0F17D751" w14:textId="02EFB41D" w:rsidR="007424B0" w:rsidRDefault="007424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ECC8D" w14:textId="77777777" w:rsidR="007424B0" w:rsidRDefault="0074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EF02" w14:textId="77777777" w:rsidR="00926830" w:rsidRDefault="00926830" w:rsidP="007424B0">
      <w:r>
        <w:separator/>
      </w:r>
    </w:p>
  </w:footnote>
  <w:footnote w:type="continuationSeparator" w:id="0">
    <w:p w14:paraId="02688C46" w14:textId="77777777" w:rsidR="00926830" w:rsidRDefault="00926830" w:rsidP="00742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3E"/>
    <w:rsid w:val="0000002B"/>
    <w:rsid w:val="00000944"/>
    <w:rsid w:val="000064B5"/>
    <w:rsid w:val="00020B21"/>
    <w:rsid w:val="000245FB"/>
    <w:rsid w:val="00040636"/>
    <w:rsid w:val="00041BA5"/>
    <w:rsid w:val="00042A31"/>
    <w:rsid w:val="000612DD"/>
    <w:rsid w:val="000645E2"/>
    <w:rsid w:val="000A51F9"/>
    <w:rsid w:val="000B06CD"/>
    <w:rsid w:val="000B5238"/>
    <w:rsid w:val="000E3C2E"/>
    <w:rsid w:val="001030A0"/>
    <w:rsid w:val="0010380F"/>
    <w:rsid w:val="00104460"/>
    <w:rsid w:val="0010589E"/>
    <w:rsid w:val="001161B7"/>
    <w:rsid w:val="00122902"/>
    <w:rsid w:val="001315FA"/>
    <w:rsid w:val="001405CF"/>
    <w:rsid w:val="001424F5"/>
    <w:rsid w:val="001746AF"/>
    <w:rsid w:val="00175AD6"/>
    <w:rsid w:val="001A657C"/>
    <w:rsid w:val="001B2E87"/>
    <w:rsid w:val="0020079C"/>
    <w:rsid w:val="00222472"/>
    <w:rsid w:val="00240267"/>
    <w:rsid w:val="002650AC"/>
    <w:rsid w:val="00270695"/>
    <w:rsid w:val="002C4843"/>
    <w:rsid w:val="002E29C1"/>
    <w:rsid w:val="002E31B8"/>
    <w:rsid w:val="002F23C1"/>
    <w:rsid w:val="003007D0"/>
    <w:rsid w:val="003362DB"/>
    <w:rsid w:val="00347856"/>
    <w:rsid w:val="00356004"/>
    <w:rsid w:val="003575E5"/>
    <w:rsid w:val="00395BCB"/>
    <w:rsid w:val="00396C3E"/>
    <w:rsid w:val="003B1980"/>
    <w:rsid w:val="003B78E2"/>
    <w:rsid w:val="003C056F"/>
    <w:rsid w:val="003C2CE3"/>
    <w:rsid w:val="003C7BB5"/>
    <w:rsid w:val="003D686B"/>
    <w:rsid w:val="003F12C3"/>
    <w:rsid w:val="004459DB"/>
    <w:rsid w:val="00464AEE"/>
    <w:rsid w:val="004846A5"/>
    <w:rsid w:val="00485947"/>
    <w:rsid w:val="004A1B92"/>
    <w:rsid w:val="004A4AA2"/>
    <w:rsid w:val="004A7924"/>
    <w:rsid w:val="004B2C06"/>
    <w:rsid w:val="004B6BF7"/>
    <w:rsid w:val="004E1C27"/>
    <w:rsid w:val="004E41E7"/>
    <w:rsid w:val="004F539B"/>
    <w:rsid w:val="004F68D8"/>
    <w:rsid w:val="00500B9C"/>
    <w:rsid w:val="00571F27"/>
    <w:rsid w:val="005C6BCE"/>
    <w:rsid w:val="00614318"/>
    <w:rsid w:val="00622D9B"/>
    <w:rsid w:val="00624C6B"/>
    <w:rsid w:val="00637DB7"/>
    <w:rsid w:val="00644683"/>
    <w:rsid w:val="0064616E"/>
    <w:rsid w:val="006545C5"/>
    <w:rsid w:val="00656EA7"/>
    <w:rsid w:val="0068551B"/>
    <w:rsid w:val="00687098"/>
    <w:rsid w:val="00694B34"/>
    <w:rsid w:val="006C7D64"/>
    <w:rsid w:val="006D02A2"/>
    <w:rsid w:val="006D5386"/>
    <w:rsid w:val="006F6151"/>
    <w:rsid w:val="007116BA"/>
    <w:rsid w:val="00721463"/>
    <w:rsid w:val="0072733A"/>
    <w:rsid w:val="007424B0"/>
    <w:rsid w:val="00743FC7"/>
    <w:rsid w:val="00746C52"/>
    <w:rsid w:val="007542DB"/>
    <w:rsid w:val="00762866"/>
    <w:rsid w:val="00774E7C"/>
    <w:rsid w:val="007A799B"/>
    <w:rsid w:val="007D2C24"/>
    <w:rsid w:val="007D522F"/>
    <w:rsid w:val="007F6242"/>
    <w:rsid w:val="00805FE1"/>
    <w:rsid w:val="0081685C"/>
    <w:rsid w:val="00837BAC"/>
    <w:rsid w:val="008517A1"/>
    <w:rsid w:val="008540EC"/>
    <w:rsid w:val="00891072"/>
    <w:rsid w:val="008926EC"/>
    <w:rsid w:val="008A2FF3"/>
    <w:rsid w:val="008A45ED"/>
    <w:rsid w:val="008D01D0"/>
    <w:rsid w:val="008E0A5B"/>
    <w:rsid w:val="009241DD"/>
    <w:rsid w:val="00926830"/>
    <w:rsid w:val="00955FF2"/>
    <w:rsid w:val="00962C53"/>
    <w:rsid w:val="00975EEE"/>
    <w:rsid w:val="0099517F"/>
    <w:rsid w:val="009D2ACA"/>
    <w:rsid w:val="009E6B14"/>
    <w:rsid w:val="009F0313"/>
    <w:rsid w:val="009F0CE3"/>
    <w:rsid w:val="009F1E69"/>
    <w:rsid w:val="00A17B99"/>
    <w:rsid w:val="00A334F9"/>
    <w:rsid w:val="00A455E7"/>
    <w:rsid w:val="00A55395"/>
    <w:rsid w:val="00A63BF2"/>
    <w:rsid w:val="00A66DA3"/>
    <w:rsid w:val="00A675C5"/>
    <w:rsid w:val="00AB733E"/>
    <w:rsid w:val="00AD6A97"/>
    <w:rsid w:val="00AE2FFA"/>
    <w:rsid w:val="00B0010E"/>
    <w:rsid w:val="00B00782"/>
    <w:rsid w:val="00B104C1"/>
    <w:rsid w:val="00B30DA8"/>
    <w:rsid w:val="00B33DF6"/>
    <w:rsid w:val="00B3462A"/>
    <w:rsid w:val="00B41CAD"/>
    <w:rsid w:val="00B64DD3"/>
    <w:rsid w:val="00BB3D29"/>
    <w:rsid w:val="00BB41D5"/>
    <w:rsid w:val="00BB729F"/>
    <w:rsid w:val="00BD6BD9"/>
    <w:rsid w:val="00BF7AEE"/>
    <w:rsid w:val="00C32501"/>
    <w:rsid w:val="00C4174F"/>
    <w:rsid w:val="00C5505B"/>
    <w:rsid w:val="00C62E7A"/>
    <w:rsid w:val="00C7707C"/>
    <w:rsid w:val="00C851FA"/>
    <w:rsid w:val="00C90BB7"/>
    <w:rsid w:val="00CB3A2A"/>
    <w:rsid w:val="00CC2A1B"/>
    <w:rsid w:val="00CD2150"/>
    <w:rsid w:val="00CE5F4E"/>
    <w:rsid w:val="00D01695"/>
    <w:rsid w:val="00D1145E"/>
    <w:rsid w:val="00D146F7"/>
    <w:rsid w:val="00D203C5"/>
    <w:rsid w:val="00D233FD"/>
    <w:rsid w:val="00D4625D"/>
    <w:rsid w:val="00D46424"/>
    <w:rsid w:val="00D75772"/>
    <w:rsid w:val="00D81B5E"/>
    <w:rsid w:val="00D84427"/>
    <w:rsid w:val="00DE47BA"/>
    <w:rsid w:val="00DF3444"/>
    <w:rsid w:val="00DF5007"/>
    <w:rsid w:val="00E106BE"/>
    <w:rsid w:val="00E14FFC"/>
    <w:rsid w:val="00E26930"/>
    <w:rsid w:val="00E36BDB"/>
    <w:rsid w:val="00E41791"/>
    <w:rsid w:val="00E45D14"/>
    <w:rsid w:val="00E74E0E"/>
    <w:rsid w:val="00EA437A"/>
    <w:rsid w:val="00EB01BE"/>
    <w:rsid w:val="00EE0F1D"/>
    <w:rsid w:val="00EE11F6"/>
    <w:rsid w:val="00F05E18"/>
    <w:rsid w:val="00F17186"/>
    <w:rsid w:val="00F23BB8"/>
    <w:rsid w:val="00F50AFF"/>
    <w:rsid w:val="00F520F6"/>
    <w:rsid w:val="00F566A9"/>
    <w:rsid w:val="00F8743B"/>
    <w:rsid w:val="00FC2AB0"/>
    <w:rsid w:val="00FD2FB7"/>
    <w:rsid w:val="00FD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2B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AB733E"/>
    <w:pPr>
      <w:autoSpaceDE w:val="0"/>
      <w:autoSpaceDN w:val="0"/>
      <w:adjustRightInd w:val="0"/>
    </w:pPr>
    <w:rPr>
      <w:rFonts w:ascii="Cochin" w:eastAsia="Cochin" w:hAnsi="Cochin" w:cs="Cochi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4B0"/>
    <w:pPr>
      <w:tabs>
        <w:tab w:val="center" w:pos="4513"/>
        <w:tab w:val="right" w:pos="9026"/>
      </w:tabs>
    </w:pPr>
  </w:style>
  <w:style w:type="character" w:customStyle="1" w:styleId="HeaderChar">
    <w:name w:val="Header Char"/>
    <w:basedOn w:val="DefaultParagraphFont"/>
    <w:link w:val="Header"/>
    <w:uiPriority w:val="99"/>
    <w:rsid w:val="007424B0"/>
    <w:rPr>
      <w:rFonts w:ascii="Cochin" w:eastAsia="Cochin" w:hAnsi="Cochin" w:cs="Cochin"/>
      <w:sz w:val="20"/>
      <w:szCs w:val="20"/>
      <w:lang w:val="en-GB"/>
    </w:rPr>
  </w:style>
  <w:style w:type="paragraph" w:styleId="Footer">
    <w:name w:val="footer"/>
    <w:basedOn w:val="Normal"/>
    <w:link w:val="FooterChar"/>
    <w:uiPriority w:val="99"/>
    <w:unhideWhenUsed/>
    <w:rsid w:val="007424B0"/>
    <w:pPr>
      <w:tabs>
        <w:tab w:val="center" w:pos="4513"/>
        <w:tab w:val="right" w:pos="9026"/>
      </w:tabs>
    </w:pPr>
  </w:style>
  <w:style w:type="character" w:customStyle="1" w:styleId="FooterChar">
    <w:name w:val="Footer Char"/>
    <w:basedOn w:val="DefaultParagraphFont"/>
    <w:link w:val="Footer"/>
    <w:uiPriority w:val="99"/>
    <w:rsid w:val="007424B0"/>
    <w:rPr>
      <w:rFonts w:ascii="Cochin" w:eastAsia="Cochin" w:hAnsi="Cochin" w:cs="Cochi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White</dc:creator>
  <cp:keywords/>
  <dc:description/>
  <cp:lastModifiedBy>Julie Gardiner</cp:lastModifiedBy>
  <cp:revision>3</cp:revision>
  <dcterms:created xsi:type="dcterms:W3CDTF">2019-01-04T14:54:00Z</dcterms:created>
  <dcterms:modified xsi:type="dcterms:W3CDTF">2019-02-01T11:53:00Z</dcterms:modified>
</cp:coreProperties>
</file>