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8C91" w14:textId="30610477" w:rsidR="00030D9E" w:rsidRPr="00B14179" w:rsidRDefault="00C301A4" w:rsidP="001C3E4D">
      <w:pPr>
        <w:spacing w:after="360"/>
        <w:jc w:val="center"/>
        <w:rPr>
          <w:sz w:val="32"/>
          <w:szCs w:val="32"/>
        </w:rPr>
      </w:pPr>
      <w:r w:rsidRPr="00B14179">
        <w:rPr>
          <w:sz w:val="32"/>
          <w:szCs w:val="32"/>
        </w:rPr>
        <w:t>Annex to Replication Material</w:t>
      </w:r>
    </w:p>
    <w:p w14:paraId="15B24D3B" w14:textId="77777777" w:rsidR="00AF4FFE" w:rsidRPr="00B14179" w:rsidRDefault="00AF4FFE" w:rsidP="00AF4FFE">
      <w:pPr>
        <w:pStyle w:val="Titolosommario"/>
        <w:spacing w:after="240"/>
        <w:rPr>
          <w:rFonts w:ascii="Times" w:hAnsi="Times"/>
          <w:sz w:val="28"/>
          <w:szCs w:val="28"/>
        </w:rPr>
      </w:pPr>
    </w:p>
    <w:p w14:paraId="4489E57B" w14:textId="77777777" w:rsidR="00AF4FFE" w:rsidRPr="00B14179" w:rsidRDefault="00AF4FFE" w:rsidP="00AF4FFE">
      <w:pPr>
        <w:pStyle w:val="Titolosommario"/>
        <w:spacing w:after="240"/>
        <w:rPr>
          <w:rFonts w:ascii="Times" w:hAnsi="Times"/>
          <w:sz w:val="28"/>
          <w:szCs w:val="28"/>
        </w:rPr>
      </w:pPr>
    </w:p>
    <w:sdt>
      <w:sdtPr>
        <w:rPr>
          <w:rFonts w:ascii="Times" w:eastAsiaTheme="minorHAnsi" w:hAnsi="Times" w:cstheme="minorBidi"/>
          <w:color w:val="auto"/>
          <w:kern w:val="2"/>
          <w:sz w:val="24"/>
          <w:szCs w:val="22"/>
          <w:lang w:val="en-GB"/>
          <w14:ligatures w14:val="standardContextual"/>
        </w:rPr>
        <w:id w:val="1664809774"/>
        <w:docPartObj>
          <w:docPartGallery w:val="Table of Contents"/>
          <w:docPartUnique/>
        </w:docPartObj>
      </w:sdtPr>
      <w:sdtEndPr>
        <w:rPr>
          <w:b/>
          <w:bCs/>
          <w:noProof/>
        </w:rPr>
      </w:sdtEndPr>
      <w:sdtContent>
        <w:p w14:paraId="284AC046" w14:textId="79356630" w:rsidR="001C3E4D" w:rsidRPr="00AF4FFE" w:rsidRDefault="001C3E4D" w:rsidP="00AF4FFE">
          <w:pPr>
            <w:pStyle w:val="Titolosommario"/>
            <w:spacing w:after="240"/>
            <w:rPr>
              <w:rFonts w:ascii="Times" w:hAnsi="Times"/>
              <w:color w:val="auto"/>
            </w:rPr>
          </w:pPr>
          <w:r w:rsidRPr="00AF4FFE">
            <w:rPr>
              <w:rFonts w:ascii="Times" w:hAnsi="Times"/>
              <w:color w:val="auto"/>
            </w:rPr>
            <w:t>Contents</w:t>
          </w:r>
        </w:p>
        <w:p w14:paraId="5FD6B5D3" w14:textId="77777777" w:rsidR="00E24321" w:rsidRDefault="001C3E4D">
          <w:pPr>
            <w:pStyle w:val="Sommario1"/>
            <w:tabs>
              <w:tab w:val="right" w:leader="dot" w:pos="9016"/>
            </w:tabs>
            <w:rPr>
              <w:noProof/>
            </w:rPr>
          </w:pPr>
          <w:r>
            <w:t xml:space="preserve"> </w:t>
          </w:r>
          <w:r w:rsidRPr="001C3E4D">
            <w:fldChar w:fldCharType="begin"/>
          </w:r>
          <w:r w:rsidRPr="001C3E4D">
            <w:instrText xml:space="preserve"> TOC \o "1-3" \h \z \u </w:instrText>
          </w:r>
          <w:r w:rsidRPr="001C3E4D">
            <w:fldChar w:fldCharType="separate"/>
          </w:r>
        </w:p>
        <w:p w14:paraId="4B0A4687" w14:textId="0DED6D7E" w:rsidR="00E24321" w:rsidRDefault="00000000">
          <w:pPr>
            <w:pStyle w:val="Sommario1"/>
            <w:tabs>
              <w:tab w:val="right" w:leader="dot" w:pos="9016"/>
            </w:tabs>
            <w:rPr>
              <w:rFonts w:asciiTheme="minorHAnsi" w:eastAsiaTheme="minorEastAsia" w:hAnsiTheme="minorHAnsi"/>
              <w:noProof/>
              <w:kern w:val="0"/>
              <w:sz w:val="22"/>
              <w:lang w:eastAsia="en-GB"/>
              <w14:ligatures w14:val="none"/>
            </w:rPr>
          </w:pPr>
          <w:hyperlink w:anchor="_Toc130201064" w:history="1">
            <w:r w:rsidR="00E24321" w:rsidRPr="00D003B2">
              <w:rPr>
                <w:rStyle w:val="Collegamentoipertestuale"/>
                <w:noProof/>
              </w:rPr>
              <w:t>1. Introduction</w:t>
            </w:r>
            <w:r w:rsidR="00E24321">
              <w:rPr>
                <w:noProof/>
                <w:webHidden/>
              </w:rPr>
              <w:tab/>
            </w:r>
            <w:r w:rsidR="00E24321">
              <w:rPr>
                <w:noProof/>
                <w:webHidden/>
              </w:rPr>
              <w:fldChar w:fldCharType="begin"/>
            </w:r>
            <w:r w:rsidR="00E24321">
              <w:rPr>
                <w:noProof/>
                <w:webHidden/>
              </w:rPr>
              <w:instrText xml:space="preserve"> PAGEREF _Toc130201064 \h </w:instrText>
            </w:r>
            <w:r w:rsidR="00E24321">
              <w:rPr>
                <w:noProof/>
                <w:webHidden/>
              </w:rPr>
            </w:r>
            <w:r w:rsidR="00E24321">
              <w:rPr>
                <w:noProof/>
                <w:webHidden/>
              </w:rPr>
              <w:fldChar w:fldCharType="separate"/>
            </w:r>
            <w:r w:rsidR="00E24321">
              <w:rPr>
                <w:noProof/>
                <w:webHidden/>
              </w:rPr>
              <w:t>2</w:t>
            </w:r>
            <w:r w:rsidR="00E24321">
              <w:rPr>
                <w:noProof/>
                <w:webHidden/>
              </w:rPr>
              <w:fldChar w:fldCharType="end"/>
            </w:r>
          </w:hyperlink>
        </w:p>
        <w:p w14:paraId="644091F1" w14:textId="42D661C4" w:rsidR="00E24321" w:rsidRDefault="00000000">
          <w:pPr>
            <w:pStyle w:val="Sommario1"/>
            <w:tabs>
              <w:tab w:val="right" w:leader="dot" w:pos="9016"/>
            </w:tabs>
            <w:rPr>
              <w:rFonts w:asciiTheme="minorHAnsi" w:eastAsiaTheme="minorEastAsia" w:hAnsiTheme="minorHAnsi"/>
              <w:noProof/>
              <w:kern w:val="0"/>
              <w:sz w:val="22"/>
              <w:lang w:eastAsia="en-GB"/>
              <w14:ligatures w14:val="none"/>
            </w:rPr>
          </w:pPr>
          <w:hyperlink w:anchor="_Toc130201065" w:history="1">
            <w:r w:rsidR="00E24321" w:rsidRPr="00D003B2">
              <w:rPr>
                <w:rStyle w:val="Collegamentoipertestuale"/>
                <w:noProof/>
              </w:rPr>
              <w:t>2. Replication Material A – FWK Dataset</w:t>
            </w:r>
            <w:r w:rsidR="00E24321">
              <w:rPr>
                <w:noProof/>
                <w:webHidden/>
              </w:rPr>
              <w:tab/>
            </w:r>
            <w:r w:rsidR="00E24321">
              <w:rPr>
                <w:noProof/>
                <w:webHidden/>
              </w:rPr>
              <w:fldChar w:fldCharType="begin"/>
            </w:r>
            <w:r w:rsidR="00E24321">
              <w:rPr>
                <w:noProof/>
                <w:webHidden/>
              </w:rPr>
              <w:instrText xml:space="preserve"> PAGEREF _Toc130201065 \h </w:instrText>
            </w:r>
            <w:r w:rsidR="00E24321">
              <w:rPr>
                <w:noProof/>
                <w:webHidden/>
              </w:rPr>
            </w:r>
            <w:r w:rsidR="00E24321">
              <w:rPr>
                <w:noProof/>
                <w:webHidden/>
              </w:rPr>
              <w:fldChar w:fldCharType="separate"/>
            </w:r>
            <w:r w:rsidR="00E24321">
              <w:rPr>
                <w:noProof/>
                <w:webHidden/>
              </w:rPr>
              <w:t>2</w:t>
            </w:r>
            <w:r w:rsidR="00E24321">
              <w:rPr>
                <w:noProof/>
                <w:webHidden/>
              </w:rPr>
              <w:fldChar w:fldCharType="end"/>
            </w:r>
          </w:hyperlink>
        </w:p>
        <w:p w14:paraId="1C2BAFC8" w14:textId="1E0694AC" w:rsidR="00E24321" w:rsidRDefault="00000000">
          <w:pPr>
            <w:pStyle w:val="Sommario2"/>
            <w:tabs>
              <w:tab w:val="right" w:leader="dot" w:pos="9016"/>
            </w:tabs>
            <w:rPr>
              <w:rFonts w:asciiTheme="minorHAnsi" w:eastAsiaTheme="minorEastAsia" w:hAnsiTheme="minorHAnsi"/>
              <w:noProof/>
              <w:kern w:val="0"/>
              <w:sz w:val="22"/>
              <w:lang w:eastAsia="en-GB"/>
              <w14:ligatures w14:val="none"/>
            </w:rPr>
          </w:pPr>
          <w:hyperlink w:anchor="_Toc130201066" w:history="1">
            <w:r w:rsidR="00E24321" w:rsidRPr="00D003B2">
              <w:rPr>
                <w:rStyle w:val="Collegamentoipertestuale"/>
                <w:noProof/>
              </w:rPr>
              <w:t>2.1 General overview of Replication Material A file</w:t>
            </w:r>
            <w:r w:rsidR="00E24321">
              <w:rPr>
                <w:noProof/>
                <w:webHidden/>
              </w:rPr>
              <w:tab/>
            </w:r>
            <w:r w:rsidR="00E24321">
              <w:rPr>
                <w:noProof/>
                <w:webHidden/>
              </w:rPr>
              <w:fldChar w:fldCharType="begin"/>
            </w:r>
            <w:r w:rsidR="00E24321">
              <w:rPr>
                <w:noProof/>
                <w:webHidden/>
              </w:rPr>
              <w:instrText xml:space="preserve"> PAGEREF _Toc130201066 \h </w:instrText>
            </w:r>
            <w:r w:rsidR="00E24321">
              <w:rPr>
                <w:noProof/>
                <w:webHidden/>
              </w:rPr>
            </w:r>
            <w:r w:rsidR="00E24321">
              <w:rPr>
                <w:noProof/>
                <w:webHidden/>
              </w:rPr>
              <w:fldChar w:fldCharType="separate"/>
            </w:r>
            <w:r w:rsidR="00E24321">
              <w:rPr>
                <w:noProof/>
                <w:webHidden/>
              </w:rPr>
              <w:t>2</w:t>
            </w:r>
            <w:r w:rsidR="00E24321">
              <w:rPr>
                <w:noProof/>
                <w:webHidden/>
              </w:rPr>
              <w:fldChar w:fldCharType="end"/>
            </w:r>
          </w:hyperlink>
        </w:p>
        <w:p w14:paraId="53034E57" w14:textId="2483D6D8" w:rsidR="00E24321" w:rsidRDefault="00000000">
          <w:pPr>
            <w:pStyle w:val="Sommario2"/>
            <w:tabs>
              <w:tab w:val="right" w:leader="dot" w:pos="9016"/>
            </w:tabs>
            <w:rPr>
              <w:rFonts w:asciiTheme="minorHAnsi" w:eastAsiaTheme="minorEastAsia" w:hAnsiTheme="minorHAnsi"/>
              <w:noProof/>
              <w:kern w:val="0"/>
              <w:sz w:val="22"/>
              <w:lang w:eastAsia="en-GB"/>
              <w14:ligatures w14:val="none"/>
            </w:rPr>
          </w:pPr>
          <w:hyperlink w:anchor="_Toc130201067" w:history="1">
            <w:r w:rsidR="00E24321" w:rsidRPr="00D003B2">
              <w:rPr>
                <w:rStyle w:val="Collegamentoipertestuale"/>
                <w:noProof/>
              </w:rPr>
              <w:t>2.2. Replication of the Visual Map</w:t>
            </w:r>
            <w:r w:rsidR="00E24321">
              <w:rPr>
                <w:noProof/>
                <w:webHidden/>
              </w:rPr>
              <w:tab/>
            </w:r>
            <w:r w:rsidR="00E24321">
              <w:rPr>
                <w:noProof/>
                <w:webHidden/>
              </w:rPr>
              <w:fldChar w:fldCharType="begin"/>
            </w:r>
            <w:r w:rsidR="00E24321">
              <w:rPr>
                <w:noProof/>
                <w:webHidden/>
              </w:rPr>
              <w:instrText xml:space="preserve"> PAGEREF _Toc130201067 \h </w:instrText>
            </w:r>
            <w:r w:rsidR="00E24321">
              <w:rPr>
                <w:noProof/>
                <w:webHidden/>
              </w:rPr>
            </w:r>
            <w:r w:rsidR="00E24321">
              <w:rPr>
                <w:noProof/>
                <w:webHidden/>
              </w:rPr>
              <w:fldChar w:fldCharType="separate"/>
            </w:r>
            <w:r w:rsidR="00E24321">
              <w:rPr>
                <w:noProof/>
                <w:webHidden/>
              </w:rPr>
              <w:t>3</w:t>
            </w:r>
            <w:r w:rsidR="00E24321">
              <w:rPr>
                <w:noProof/>
                <w:webHidden/>
              </w:rPr>
              <w:fldChar w:fldCharType="end"/>
            </w:r>
          </w:hyperlink>
        </w:p>
        <w:p w14:paraId="40E152C5" w14:textId="38C7636D" w:rsidR="00E24321" w:rsidRDefault="00000000">
          <w:pPr>
            <w:pStyle w:val="Sommario1"/>
            <w:tabs>
              <w:tab w:val="right" w:leader="dot" w:pos="9016"/>
            </w:tabs>
            <w:rPr>
              <w:rFonts w:asciiTheme="minorHAnsi" w:eastAsiaTheme="minorEastAsia" w:hAnsiTheme="minorHAnsi"/>
              <w:noProof/>
              <w:kern w:val="0"/>
              <w:sz w:val="22"/>
              <w:lang w:eastAsia="en-GB"/>
              <w14:ligatures w14:val="none"/>
            </w:rPr>
          </w:pPr>
          <w:hyperlink w:anchor="_Toc130201068" w:history="1">
            <w:r w:rsidR="00E24321" w:rsidRPr="00D003B2">
              <w:rPr>
                <w:rStyle w:val="Collegamentoipertestuale"/>
                <w:noProof/>
              </w:rPr>
              <w:t>3. Replication Material B – DOC Dataset</w:t>
            </w:r>
            <w:r w:rsidR="00E24321">
              <w:rPr>
                <w:noProof/>
                <w:webHidden/>
              </w:rPr>
              <w:tab/>
            </w:r>
            <w:r w:rsidR="00E24321">
              <w:rPr>
                <w:noProof/>
                <w:webHidden/>
              </w:rPr>
              <w:fldChar w:fldCharType="begin"/>
            </w:r>
            <w:r w:rsidR="00E24321">
              <w:rPr>
                <w:noProof/>
                <w:webHidden/>
              </w:rPr>
              <w:instrText xml:space="preserve"> PAGEREF _Toc130201068 \h </w:instrText>
            </w:r>
            <w:r w:rsidR="00E24321">
              <w:rPr>
                <w:noProof/>
                <w:webHidden/>
              </w:rPr>
            </w:r>
            <w:r w:rsidR="00E24321">
              <w:rPr>
                <w:noProof/>
                <w:webHidden/>
              </w:rPr>
              <w:fldChar w:fldCharType="separate"/>
            </w:r>
            <w:r w:rsidR="00E24321">
              <w:rPr>
                <w:noProof/>
                <w:webHidden/>
              </w:rPr>
              <w:t>4</w:t>
            </w:r>
            <w:r w:rsidR="00E24321">
              <w:rPr>
                <w:noProof/>
                <w:webHidden/>
              </w:rPr>
              <w:fldChar w:fldCharType="end"/>
            </w:r>
          </w:hyperlink>
        </w:p>
        <w:p w14:paraId="1F313060" w14:textId="272F2ADB" w:rsidR="00E24321" w:rsidRDefault="00000000">
          <w:pPr>
            <w:pStyle w:val="Sommario2"/>
            <w:tabs>
              <w:tab w:val="right" w:leader="dot" w:pos="9016"/>
            </w:tabs>
            <w:rPr>
              <w:rFonts w:asciiTheme="minorHAnsi" w:eastAsiaTheme="minorEastAsia" w:hAnsiTheme="minorHAnsi"/>
              <w:noProof/>
              <w:kern w:val="0"/>
              <w:sz w:val="22"/>
              <w:lang w:eastAsia="en-GB"/>
              <w14:ligatures w14:val="none"/>
            </w:rPr>
          </w:pPr>
          <w:hyperlink w:anchor="_Toc130201069" w:history="1">
            <w:r w:rsidR="00E24321" w:rsidRPr="00D003B2">
              <w:rPr>
                <w:rStyle w:val="Collegamentoipertestuale"/>
                <w:noProof/>
              </w:rPr>
              <w:t>3.1 DOC Dataset Variables</w:t>
            </w:r>
            <w:r w:rsidR="00E24321">
              <w:rPr>
                <w:noProof/>
                <w:webHidden/>
              </w:rPr>
              <w:tab/>
            </w:r>
            <w:r w:rsidR="00E24321">
              <w:rPr>
                <w:noProof/>
                <w:webHidden/>
              </w:rPr>
              <w:fldChar w:fldCharType="begin"/>
            </w:r>
            <w:r w:rsidR="00E24321">
              <w:rPr>
                <w:noProof/>
                <w:webHidden/>
              </w:rPr>
              <w:instrText xml:space="preserve"> PAGEREF _Toc130201069 \h </w:instrText>
            </w:r>
            <w:r w:rsidR="00E24321">
              <w:rPr>
                <w:noProof/>
                <w:webHidden/>
              </w:rPr>
            </w:r>
            <w:r w:rsidR="00E24321">
              <w:rPr>
                <w:noProof/>
                <w:webHidden/>
              </w:rPr>
              <w:fldChar w:fldCharType="separate"/>
            </w:r>
            <w:r w:rsidR="00E24321">
              <w:rPr>
                <w:noProof/>
                <w:webHidden/>
              </w:rPr>
              <w:t>4</w:t>
            </w:r>
            <w:r w:rsidR="00E24321">
              <w:rPr>
                <w:noProof/>
                <w:webHidden/>
              </w:rPr>
              <w:fldChar w:fldCharType="end"/>
            </w:r>
          </w:hyperlink>
        </w:p>
        <w:p w14:paraId="56BEF5C6" w14:textId="77D11F8D" w:rsidR="001C3E4D" w:rsidRPr="001C3E4D" w:rsidRDefault="001C3E4D">
          <w:r w:rsidRPr="001C3E4D">
            <w:rPr>
              <w:b/>
              <w:bCs/>
              <w:noProof/>
            </w:rPr>
            <w:fldChar w:fldCharType="end"/>
          </w:r>
        </w:p>
      </w:sdtContent>
    </w:sdt>
    <w:p w14:paraId="2E020BB5" w14:textId="77777777" w:rsidR="001C3E4D" w:rsidRDefault="001C3E4D">
      <w:pPr>
        <w:rPr>
          <w:i/>
          <w:iCs/>
        </w:rPr>
      </w:pPr>
      <w:r>
        <w:rPr>
          <w:i/>
          <w:iCs/>
        </w:rPr>
        <w:br w:type="page"/>
      </w:r>
    </w:p>
    <w:p w14:paraId="7FEAA2ED" w14:textId="77777777" w:rsidR="00AF4FFE" w:rsidRPr="00B14179" w:rsidRDefault="001C3E4D" w:rsidP="00BF4839">
      <w:pPr>
        <w:pStyle w:val="Titolo1"/>
        <w:rPr>
          <w:sz w:val="28"/>
          <w:szCs w:val="28"/>
        </w:rPr>
      </w:pPr>
      <w:bookmarkStart w:id="0" w:name="_Toc130201064"/>
      <w:r w:rsidRPr="00B14179">
        <w:rPr>
          <w:sz w:val="28"/>
          <w:szCs w:val="28"/>
        </w:rPr>
        <w:lastRenderedPageBreak/>
        <w:t>1. Introduction</w:t>
      </w:r>
      <w:bookmarkEnd w:id="0"/>
    </w:p>
    <w:p w14:paraId="33D70F72" w14:textId="4AF7C357" w:rsidR="00AF4FFE" w:rsidRDefault="00AF4FFE" w:rsidP="00BF4839">
      <w:r>
        <w:t xml:space="preserve">This document provides some background information </w:t>
      </w:r>
      <w:r w:rsidR="00C71906">
        <w:t>about</w:t>
      </w:r>
      <w:r>
        <w:t xml:space="preserve"> the IPSR/RISP research article</w:t>
      </w:r>
      <w:r w:rsidRPr="0061259F">
        <w:t xml:space="preserve"> </w:t>
      </w:r>
      <w:r w:rsidR="00E4384A">
        <w:t>‘</w:t>
      </w:r>
      <w:r w:rsidRPr="00C71906">
        <w:rPr>
          <w:i/>
          <w:iCs/>
        </w:rPr>
        <w:t>Mind the Gap!</w:t>
      </w:r>
      <w:r w:rsidRPr="00E4384A">
        <w:t xml:space="preserve"> Organized Hypocrisy in EU Cooperation with Southern </w:t>
      </w:r>
      <w:proofErr w:type="spellStart"/>
      <w:r w:rsidRPr="00E4384A">
        <w:t>Neighbor</w:t>
      </w:r>
      <w:proofErr w:type="spellEnd"/>
      <w:r w:rsidRPr="00E4384A">
        <w:t xml:space="preserve"> Countries on International Protection</w:t>
      </w:r>
      <w:r w:rsidR="00E4384A">
        <w:t>’</w:t>
      </w:r>
      <w:r>
        <w:t>. As to ensure the transparency and replicability of the analysis carried out by the authors it provides a general overview of how the research data have been gathered and managed, as well as the steps followed to produce the figures and tables presented in the article.</w:t>
      </w:r>
      <w:r w:rsidR="00BF4839">
        <w:t xml:space="preserve"> </w:t>
      </w:r>
      <w:r>
        <w:t>While the research has been based on qualitative methods</w:t>
      </w:r>
      <w:r w:rsidR="00C95CBA">
        <w:t xml:space="preserve">, which due to the incorporation of researchers’ subjective biases do not allow for </w:t>
      </w:r>
      <w:r w:rsidR="00C95CBA" w:rsidRPr="00C95CBA">
        <w:t>an exact replication</w:t>
      </w:r>
      <w:r w:rsidR="00C95CBA">
        <w:t xml:space="preserve">, these authors estimate that specifying their procedural and methodological choices would allow for </w:t>
      </w:r>
      <w:r w:rsidR="00BF4839">
        <w:t>replicating results</w:t>
      </w:r>
      <w:r w:rsidR="00540063">
        <w:t xml:space="preserve"> </w:t>
      </w:r>
      <w:r w:rsidR="00540063" w:rsidRPr="00540063">
        <w:t>as close as possible to t</w:t>
      </w:r>
      <w:r w:rsidR="00BF4839">
        <w:t>he ones presented in the article</w:t>
      </w:r>
      <w:r w:rsidR="00540063">
        <w:t>. Hence, this Annex provides an accurate description of the content of the datasets, coding, and variables presented in the two replication material files (</w:t>
      </w:r>
      <w:r w:rsidR="00540063" w:rsidRPr="00540063">
        <w:rPr>
          <w:i/>
          <w:iCs/>
        </w:rPr>
        <w:t>A</w:t>
      </w:r>
      <w:r w:rsidR="00540063">
        <w:t xml:space="preserve"> and </w:t>
      </w:r>
      <w:r w:rsidR="00540063" w:rsidRPr="00540063">
        <w:rPr>
          <w:i/>
          <w:iCs/>
        </w:rPr>
        <w:t>B</w:t>
      </w:r>
      <w:r w:rsidR="00540063">
        <w:t>), concerning the two main phases of the authors’ empirical analysis.</w:t>
      </w:r>
    </w:p>
    <w:p w14:paraId="085EB80D" w14:textId="474FCC59" w:rsidR="00AF4FFE" w:rsidRPr="001813D6" w:rsidRDefault="00540063" w:rsidP="00540063">
      <w:pPr>
        <w:rPr>
          <w:b/>
          <w:bCs/>
          <w:i/>
          <w:iCs/>
        </w:rPr>
      </w:pPr>
      <w:r>
        <w:t xml:space="preserve">In </w:t>
      </w:r>
      <w:r w:rsidRPr="00E4384A">
        <w:rPr>
          <w:b/>
          <w:bCs/>
        </w:rPr>
        <w:t>Replication Material A</w:t>
      </w:r>
      <w:r>
        <w:t xml:space="preserve"> file, it is possible to find the data underlying the </w:t>
      </w:r>
      <w:r w:rsidR="001813D6">
        <w:rPr>
          <w:i/>
          <w:iCs/>
        </w:rPr>
        <w:t>visual</w:t>
      </w:r>
      <w:r w:rsidRPr="00540063">
        <w:rPr>
          <w:i/>
          <w:iCs/>
        </w:rPr>
        <w:t xml:space="preserve"> map</w:t>
      </w:r>
      <w:r>
        <w:t xml:space="preserve"> showed in </w:t>
      </w:r>
      <w:r>
        <w:rPr>
          <w:i/>
          <w:iCs/>
        </w:rPr>
        <w:t>Figure 1</w:t>
      </w:r>
      <w:r>
        <w:t xml:space="preserve">, while the </w:t>
      </w:r>
      <w:r w:rsidRPr="00E4384A">
        <w:rPr>
          <w:b/>
          <w:bCs/>
        </w:rPr>
        <w:t>Replication Material B</w:t>
      </w:r>
      <w:r>
        <w:t xml:space="preserve"> file contains the dataset of the documents (DOC) on which the authors performed a frame analysis, which was used for </w:t>
      </w:r>
      <w:r>
        <w:rPr>
          <w:i/>
          <w:iCs/>
        </w:rPr>
        <w:t>Table 1</w:t>
      </w:r>
      <w:r>
        <w:t xml:space="preserve">. </w:t>
      </w:r>
      <w:r w:rsidR="00C71906">
        <w:t xml:space="preserve">In this </w:t>
      </w:r>
      <w:r w:rsidR="00C71906">
        <w:t>Annex</w:t>
      </w:r>
      <w:r w:rsidR="00C71906">
        <w:t xml:space="preserve"> </w:t>
      </w:r>
      <w:r w:rsidR="00C71906">
        <w:t>w</w:t>
      </w:r>
      <w:r>
        <w:t xml:space="preserve">e do not discuss </w:t>
      </w:r>
      <w:r>
        <w:rPr>
          <w:i/>
          <w:iCs/>
        </w:rPr>
        <w:t>Table 2</w:t>
      </w:r>
      <w:r>
        <w:t>, because it is itself an explanatory table not containing any specific data.</w:t>
      </w:r>
      <w:r w:rsidR="001813D6">
        <w:t xml:space="preserve"> All the empirical analysis has been conducted on the computer-assisted qualitative data analysis software </w:t>
      </w:r>
      <w:hyperlink r:id="rId7" w:history="1">
        <w:r w:rsidR="001813D6" w:rsidRPr="001813D6">
          <w:rPr>
            <w:rStyle w:val="Collegamentoipertestuale"/>
            <w:b/>
            <w:bCs/>
          </w:rPr>
          <w:t>MAXQDA 2022</w:t>
        </w:r>
      </w:hyperlink>
      <w:r w:rsidR="001813D6">
        <w:rPr>
          <w:b/>
          <w:bCs/>
        </w:rPr>
        <w:t xml:space="preserve">. </w:t>
      </w:r>
    </w:p>
    <w:p w14:paraId="1F29B1B4" w14:textId="42ECC96D" w:rsidR="00540063" w:rsidRPr="00B14179" w:rsidRDefault="001C3E4D" w:rsidP="00540063">
      <w:pPr>
        <w:pStyle w:val="Titolo1"/>
        <w:rPr>
          <w:sz w:val="28"/>
          <w:szCs w:val="28"/>
        </w:rPr>
      </w:pPr>
      <w:bookmarkStart w:id="1" w:name="_Toc130201065"/>
      <w:r w:rsidRPr="00B14179">
        <w:rPr>
          <w:sz w:val="28"/>
          <w:szCs w:val="28"/>
        </w:rPr>
        <w:t>2. Replication Material A</w:t>
      </w:r>
      <w:r w:rsidR="00C71906" w:rsidRPr="00B14179">
        <w:rPr>
          <w:sz w:val="28"/>
          <w:szCs w:val="28"/>
        </w:rPr>
        <w:t>:</w:t>
      </w:r>
      <w:r w:rsidR="00E97920" w:rsidRPr="00B14179">
        <w:rPr>
          <w:sz w:val="28"/>
          <w:szCs w:val="28"/>
        </w:rPr>
        <w:t xml:space="preserve"> FWK Dataset</w:t>
      </w:r>
      <w:bookmarkEnd w:id="1"/>
    </w:p>
    <w:p w14:paraId="177B4ACE" w14:textId="479EEAC5" w:rsidR="00540063" w:rsidRPr="007A6B4B" w:rsidRDefault="00540063" w:rsidP="00540063">
      <w:r>
        <w:t xml:space="preserve">In the </w:t>
      </w:r>
      <w:r w:rsidR="007A6B4B">
        <w:t xml:space="preserve">file </w:t>
      </w:r>
      <w:r>
        <w:t xml:space="preserve">named </w:t>
      </w:r>
      <w:r w:rsidR="00E4384A">
        <w:t>‘</w:t>
      </w:r>
      <w:proofErr w:type="spellStart"/>
      <w:r w:rsidR="007A6B4B" w:rsidRPr="00E4384A">
        <w:t>MindtheGap</w:t>
      </w:r>
      <w:proofErr w:type="spellEnd"/>
      <w:r w:rsidR="007A6B4B" w:rsidRPr="00E4384A">
        <w:t>(2023)_ReplicationMaterial_A.xlsx</w:t>
      </w:r>
      <w:r w:rsidR="00E4384A">
        <w:t>’</w:t>
      </w:r>
      <w:r w:rsidR="007A6B4B">
        <w:t xml:space="preserve"> the authors included a list of the documents analysed as to understand what, in the article, is defined the ‘talk’</w:t>
      </w:r>
      <w:r w:rsidR="003D06EE">
        <w:t xml:space="preserve"> of the European Union (EU)</w:t>
      </w:r>
      <w:r w:rsidR="007A6B4B">
        <w:t xml:space="preserve">. The selection of the </w:t>
      </w:r>
      <w:r w:rsidR="007A6B4B" w:rsidRPr="007A6B4B">
        <w:t xml:space="preserve">ten </w:t>
      </w:r>
      <w:r w:rsidR="007A6B4B">
        <w:t>‘</w:t>
      </w:r>
      <w:r w:rsidR="007A6B4B" w:rsidRPr="007A6B4B">
        <w:t>framework documents</w:t>
      </w:r>
      <w:r w:rsidR="007A6B4B">
        <w:t xml:space="preserve">’ (FWK), which are in large part Communications from the European Commission, aimed to identify continuities in the EU talk on migration and asylum policy (MAP) and in what is defined, in the article, as the EU ‘humanitarian discourse’ on international protection. </w:t>
      </w:r>
    </w:p>
    <w:p w14:paraId="75A81151" w14:textId="3325AFC7" w:rsidR="001C3E4D" w:rsidRDefault="001C3E4D" w:rsidP="001C3E4D">
      <w:pPr>
        <w:pStyle w:val="Titolo2"/>
      </w:pPr>
      <w:bookmarkStart w:id="2" w:name="_Toc130201066"/>
      <w:r>
        <w:t xml:space="preserve">2.1 </w:t>
      </w:r>
      <w:r w:rsidR="00E150B8">
        <w:t>General overview of</w:t>
      </w:r>
      <w:r w:rsidR="001813D6">
        <w:t xml:space="preserve"> Replication Material A file</w:t>
      </w:r>
      <w:bookmarkEnd w:id="2"/>
    </w:p>
    <w:p w14:paraId="202A34E7" w14:textId="5209FC86" w:rsidR="003D06EE" w:rsidRDefault="003D06EE" w:rsidP="001813D6">
      <w:pPr>
        <w:spacing w:after="240"/>
      </w:pPr>
      <w:r>
        <w:t>The first sheet of the</w:t>
      </w:r>
      <w:r w:rsidR="00E4384A">
        <w:t xml:space="preserve"> </w:t>
      </w:r>
      <w:r>
        <w:t>file,</w:t>
      </w:r>
      <w:r w:rsidR="00E4384A">
        <w:t xml:space="preserve"> labelled</w:t>
      </w:r>
      <w:r>
        <w:t xml:space="preserve"> </w:t>
      </w:r>
      <w:r w:rsidR="00E4384A">
        <w:t>‘</w:t>
      </w:r>
      <w:proofErr w:type="spellStart"/>
      <w:r w:rsidRPr="00E4384A">
        <w:t>D</w:t>
      </w:r>
      <w:r w:rsidR="00E97920">
        <w:t>ataset_FWK</w:t>
      </w:r>
      <w:proofErr w:type="spellEnd"/>
      <w:r w:rsidR="00E4384A">
        <w:t>’</w:t>
      </w:r>
      <w:r>
        <w:t xml:space="preserve">, presents the list of selected documents, </w:t>
      </w:r>
      <w:r w:rsidR="00E4384A">
        <w:t>and includes</w:t>
      </w:r>
      <w:r>
        <w:t xml:space="preserve"> four variables</w:t>
      </w:r>
      <w:r w:rsidR="001813D6">
        <w:t>:</w:t>
      </w:r>
    </w:p>
    <w:p w14:paraId="0AAC60D2" w14:textId="77777777" w:rsidR="00BF4839" w:rsidRDefault="00BF4839" w:rsidP="001813D6">
      <w:pPr>
        <w:spacing w:after="240"/>
      </w:pPr>
    </w:p>
    <w:tbl>
      <w:tblPr>
        <w:tblStyle w:val="Grigliatabella"/>
        <w:tblpPr w:leftFromText="181" w:rightFromText="181" w:topFromText="142" w:bottomFromText="142" w:vertAnchor="text" w:horzAnchor="margin" w:tblpXSpec="center" w:tblpYSpec="top"/>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6"/>
        <w:gridCol w:w="6946"/>
      </w:tblGrid>
      <w:tr w:rsidR="00BF4839" w:rsidRPr="00C71906" w14:paraId="2B6372AE" w14:textId="77777777" w:rsidTr="00BF4839">
        <w:trPr>
          <w:trHeight w:val="397"/>
        </w:trPr>
        <w:tc>
          <w:tcPr>
            <w:tcW w:w="1425" w:type="dxa"/>
            <w:tcBorders>
              <w:top w:val="single" w:sz="4" w:space="0" w:color="auto"/>
              <w:right w:val="single" w:sz="4" w:space="0" w:color="auto"/>
            </w:tcBorders>
            <w:shd w:val="clear" w:color="auto" w:fill="FFFFFF" w:themeFill="background1"/>
            <w:vAlign w:val="center"/>
          </w:tcPr>
          <w:p w14:paraId="3EB3B406" w14:textId="77777777" w:rsidR="00BF4839" w:rsidRPr="00C71906" w:rsidRDefault="00BF4839" w:rsidP="00BF4839">
            <w:pPr>
              <w:jc w:val="center"/>
              <w:rPr>
                <w:rFonts w:ascii="Times New Roman" w:hAnsi="Times New Roman" w:cs="Times New Roman"/>
                <w:b/>
                <w:bCs/>
                <w:sz w:val="22"/>
                <w:szCs w:val="20"/>
              </w:rPr>
            </w:pPr>
            <w:r w:rsidRPr="00C71906">
              <w:rPr>
                <w:rFonts w:ascii="Times New Roman" w:hAnsi="Times New Roman" w:cs="Times New Roman"/>
                <w:b/>
                <w:bCs/>
                <w:sz w:val="22"/>
                <w:szCs w:val="20"/>
              </w:rPr>
              <w:t>Variable</w:t>
            </w:r>
          </w:p>
        </w:tc>
        <w:tc>
          <w:tcPr>
            <w:tcW w:w="6946" w:type="dxa"/>
            <w:tcBorders>
              <w:top w:val="single" w:sz="4" w:space="0" w:color="auto"/>
              <w:left w:val="single" w:sz="4" w:space="0" w:color="auto"/>
            </w:tcBorders>
            <w:shd w:val="clear" w:color="auto" w:fill="FFFFFF" w:themeFill="background1"/>
            <w:vAlign w:val="center"/>
          </w:tcPr>
          <w:p w14:paraId="0F0E1C61" w14:textId="77777777" w:rsidR="00BF4839" w:rsidRPr="00C71906" w:rsidRDefault="00BF4839" w:rsidP="00BF4839">
            <w:pPr>
              <w:jc w:val="left"/>
              <w:rPr>
                <w:rFonts w:ascii="Times New Roman" w:hAnsi="Times New Roman" w:cs="Times New Roman"/>
                <w:b/>
                <w:bCs/>
                <w:sz w:val="22"/>
                <w:szCs w:val="20"/>
              </w:rPr>
            </w:pPr>
            <w:r w:rsidRPr="00C71906">
              <w:rPr>
                <w:rFonts w:ascii="Times New Roman" w:hAnsi="Times New Roman" w:cs="Times New Roman"/>
                <w:b/>
                <w:bCs/>
                <w:sz w:val="22"/>
                <w:szCs w:val="20"/>
              </w:rPr>
              <w:t>Description</w:t>
            </w:r>
          </w:p>
        </w:tc>
      </w:tr>
      <w:tr w:rsidR="00BF4839" w:rsidRPr="00C71906" w14:paraId="7267EA24" w14:textId="77777777" w:rsidTr="00BF4839">
        <w:trPr>
          <w:trHeight w:val="340"/>
        </w:trPr>
        <w:tc>
          <w:tcPr>
            <w:tcW w:w="1425" w:type="dxa"/>
            <w:tcBorders>
              <w:top w:val="single" w:sz="4" w:space="0" w:color="auto"/>
              <w:right w:val="single" w:sz="4" w:space="0" w:color="auto"/>
            </w:tcBorders>
            <w:shd w:val="clear" w:color="auto" w:fill="F2F2F2" w:themeFill="background1" w:themeFillShade="F2"/>
            <w:vAlign w:val="center"/>
          </w:tcPr>
          <w:p w14:paraId="213354F4" w14:textId="2C0601D5" w:rsidR="00BF4839" w:rsidRPr="00C71906" w:rsidRDefault="002F6549" w:rsidP="00BF4839">
            <w:pPr>
              <w:jc w:val="center"/>
              <w:rPr>
                <w:rFonts w:ascii="Times New Roman" w:hAnsi="Times New Roman" w:cs="Times New Roman"/>
                <w:b/>
                <w:bCs/>
                <w:sz w:val="22"/>
                <w:szCs w:val="20"/>
              </w:rPr>
            </w:pPr>
            <w:r w:rsidRPr="00C71906">
              <w:rPr>
                <w:rFonts w:ascii="Times New Roman" w:hAnsi="Times New Roman" w:cs="Times New Roman"/>
                <w:b/>
                <w:bCs/>
                <w:sz w:val="22"/>
                <w:szCs w:val="20"/>
              </w:rPr>
              <w:t>Identifier</w:t>
            </w:r>
          </w:p>
        </w:tc>
        <w:tc>
          <w:tcPr>
            <w:tcW w:w="6946" w:type="dxa"/>
            <w:tcBorders>
              <w:top w:val="single" w:sz="4" w:space="0" w:color="auto"/>
              <w:left w:val="single" w:sz="4" w:space="0" w:color="auto"/>
            </w:tcBorders>
            <w:shd w:val="clear" w:color="auto" w:fill="F2F2F2" w:themeFill="background1" w:themeFillShade="F2"/>
            <w:vAlign w:val="center"/>
          </w:tcPr>
          <w:p w14:paraId="494EE304" w14:textId="77777777" w:rsidR="00BF4839" w:rsidRPr="00C71906" w:rsidRDefault="00BF4839" w:rsidP="00BF4839">
            <w:pPr>
              <w:jc w:val="left"/>
              <w:rPr>
                <w:rFonts w:ascii="Times New Roman" w:hAnsi="Times New Roman" w:cs="Times New Roman"/>
                <w:sz w:val="22"/>
                <w:szCs w:val="20"/>
              </w:rPr>
            </w:pPr>
            <w:r w:rsidRPr="00C71906">
              <w:rPr>
                <w:rFonts w:ascii="Times New Roman" w:hAnsi="Times New Roman" w:cs="Times New Roman"/>
                <w:sz w:val="22"/>
                <w:szCs w:val="20"/>
              </w:rPr>
              <w:t>Label used to refer to each framework document</w:t>
            </w:r>
          </w:p>
        </w:tc>
      </w:tr>
      <w:tr w:rsidR="00BF4839" w:rsidRPr="00C71906" w14:paraId="5A77C6A8" w14:textId="77777777" w:rsidTr="00BF4839">
        <w:trPr>
          <w:trHeight w:val="340"/>
        </w:trPr>
        <w:tc>
          <w:tcPr>
            <w:tcW w:w="1425" w:type="dxa"/>
            <w:tcBorders>
              <w:right w:val="single" w:sz="4" w:space="0" w:color="auto"/>
            </w:tcBorders>
            <w:shd w:val="clear" w:color="auto" w:fill="D5DCE4" w:themeFill="text2" w:themeFillTint="33"/>
            <w:vAlign w:val="center"/>
          </w:tcPr>
          <w:p w14:paraId="178E512E" w14:textId="77777777" w:rsidR="00BF4839" w:rsidRPr="00C71906" w:rsidRDefault="00BF4839" w:rsidP="00BF4839">
            <w:pPr>
              <w:jc w:val="center"/>
              <w:rPr>
                <w:rFonts w:ascii="Times New Roman" w:hAnsi="Times New Roman" w:cs="Times New Roman"/>
                <w:b/>
                <w:bCs/>
                <w:sz w:val="22"/>
                <w:szCs w:val="20"/>
              </w:rPr>
            </w:pPr>
            <w:r w:rsidRPr="00C71906">
              <w:rPr>
                <w:rFonts w:ascii="Times New Roman" w:hAnsi="Times New Roman" w:cs="Times New Roman"/>
                <w:b/>
                <w:bCs/>
                <w:sz w:val="22"/>
                <w:szCs w:val="20"/>
              </w:rPr>
              <w:t>Document Title</w:t>
            </w:r>
          </w:p>
        </w:tc>
        <w:tc>
          <w:tcPr>
            <w:tcW w:w="6946" w:type="dxa"/>
            <w:tcBorders>
              <w:left w:val="single" w:sz="4" w:space="0" w:color="auto"/>
            </w:tcBorders>
            <w:shd w:val="clear" w:color="auto" w:fill="D5DCE4" w:themeFill="text2" w:themeFillTint="33"/>
            <w:vAlign w:val="center"/>
          </w:tcPr>
          <w:p w14:paraId="49CD0CFB" w14:textId="57E2E844" w:rsidR="00BF4839" w:rsidRPr="00C71906" w:rsidRDefault="00BF4839" w:rsidP="00C71906">
            <w:pPr>
              <w:ind w:left="273" w:firstLine="11"/>
              <w:jc w:val="left"/>
              <w:rPr>
                <w:rFonts w:ascii="Times New Roman" w:hAnsi="Times New Roman" w:cs="Times New Roman"/>
                <w:sz w:val="22"/>
                <w:szCs w:val="20"/>
              </w:rPr>
            </w:pPr>
            <w:r w:rsidRPr="00C71906">
              <w:rPr>
                <w:rFonts w:ascii="Times New Roman" w:hAnsi="Times New Roman" w:cs="Times New Roman"/>
                <w:sz w:val="22"/>
                <w:szCs w:val="20"/>
              </w:rPr>
              <w:t>Title of the concerned document, including reference to the publication the EU Official Journal (OJ), where applicable, and the number of each act</w:t>
            </w:r>
          </w:p>
        </w:tc>
      </w:tr>
      <w:tr w:rsidR="00BF4839" w:rsidRPr="00C71906" w14:paraId="4D235943" w14:textId="77777777" w:rsidTr="00BF4839">
        <w:trPr>
          <w:trHeight w:val="340"/>
        </w:trPr>
        <w:tc>
          <w:tcPr>
            <w:tcW w:w="1425" w:type="dxa"/>
            <w:tcBorders>
              <w:right w:val="single" w:sz="4" w:space="0" w:color="auto"/>
            </w:tcBorders>
            <w:shd w:val="clear" w:color="auto" w:fill="F2F2F2" w:themeFill="background1" w:themeFillShade="F2"/>
            <w:vAlign w:val="center"/>
          </w:tcPr>
          <w:p w14:paraId="400D1431" w14:textId="77777777" w:rsidR="00BF4839" w:rsidRPr="00C71906" w:rsidRDefault="00BF4839" w:rsidP="00BF4839">
            <w:pPr>
              <w:jc w:val="center"/>
              <w:rPr>
                <w:rFonts w:ascii="Times New Roman" w:hAnsi="Times New Roman" w:cs="Times New Roman"/>
                <w:b/>
                <w:bCs/>
                <w:sz w:val="22"/>
                <w:szCs w:val="20"/>
              </w:rPr>
            </w:pPr>
            <w:r w:rsidRPr="00C71906">
              <w:rPr>
                <w:rFonts w:ascii="Times New Roman" w:hAnsi="Times New Roman" w:cs="Times New Roman"/>
                <w:b/>
                <w:bCs/>
                <w:sz w:val="22"/>
                <w:szCs w:val="20"/>
              </w:rPr>
              <w:t>Year</w:t>
            </w:r>
          </w:p>
        </w:tc>
        <w:tc>
          <w:tcPr>
            <w:tcW w:w="6946" w:type="dxa"/>
            <w:tcBorders>
              <w:left w:val="single" w:sz="4" w:space="0" w:color="auto"/>
            </w:tcBorders>
            <w:shd w:val="clear" w:color="auto" w:fill="F2F2F2" w:themeFill="background1" w:themeFillShade="F2"/>
            <w:vAlign w:val="center"/>
          </w:tcPr>
          <w:p w14:paraId="50CC6AA0" w14:textId="77777777" w:rsidR="00BF4839" w:rsidRPr="00C71906" w:rsidRDefault="00BF4839" w:rsidP="00BF4839">
            <w:pPr>
              <w:jc w:val="left"/>
              <w:rPr>
                <w:rFonts w:ascii="Times New Roman" w:hAnsi="Times New Roman" w:cs="Times New Roman"/>
                <w:sz w:val="22"/>
                <w:szCs w:val="20"/>
              </w:rPr>
            </w:pPr>
            <w:r w:rsidRPr="00C71906">
              <w:rPr>
                <w:rFonts w:ascii="Times New Roman" w:hAnsi="Times New Roman" w:cs="Times New Roman"/>
                <w:sz w:val="22"/>
                <w:szCs w:val="20"/>
              </w:rPr>
              <w:t>Year of publication of the concerned document</w:t>
            </w:r>
          </w:p>
        </w:tc>
      </w:tr>
      <w:tr w:rsidR="00BF4839" w:rsidRPr="00C71906" w14:paraId="72B9AA58" w14:textId="77777777" w:rsidTr="00BF4839">
        <w:trPr>
          <w:trHeight w:val="340"/>
        </w:trPr>
        <w:tc>
          <w:tcPr>
            <w:tcW w:w="1425" w:type="dxa"/>
            <w:tcBorders>
              <w:bottom w:val="single" w:sz="4" w:space="0" w:color="auto"/>
              <w:right w:val="single" w:sz="4" w:space="0" w:color="auto"/>
            </w:tcBorders>
            <w:shd w:val="clear" w:color="auto" w:fill="D5DCE4" w:themeFill="text2" w:themeFillTint="33"/>
            <w:vAlign w:val="center"/>
          </w:tcPr>
          <w:p w14:paraId="602430B6" w14:textId="77777777" w:rsidR="00BF4839" w:rsidRPr="00C71906" w:rsidRDefault="00BF4839" w:rsidP="00BF4839">
            <w:pPr>
              <w:jc w:val="center"/>
              <w:rPr>
                <w:rFonts w:ascii="Times New Roman" w:hAnsi="Times New Roman" w:cs="Times New Roman"/>
                <w:b/>
                <w:bCs/>
                <w:sz w:val="22"/>
                <w:szCs w:val="20"/>
              </w:rPr>
            </w:pPr>
            <w:r w:rsidRPr="00C71906">
              <w:rPr>
                <w:rFonts w:ascii="Times New Roman" w:hAnsi="Times New Roman" w:cs="Times New Roman"/>
                <w:b/>
                <w:bCs/>
                <w:sz w:val="22"/>
                <w:szCs w:val="20"/>
              </w:rPr>
              <w:t>Coded Segments</w:t>
            </w:r>
          </w:p>
        </w:tc>
        <w:tc>
          <w:tcPr>
            <w:tcW w:w="6946" w:type="dxa"/>
            <w:tcBorders>
              <w:left w:val="single" w:sz="4" w:space="0" w:color="auto"/>
              <w:bottom w:val="single" w:sz="4" w:space="0" w:color="auto"/>
            </w:tcBorders>
            <w:shd w:val="clear" w:color="auto" w:fill="D5DCE4" w:themeFill="text2" w:themeFillTint="33"/>
            <w:vAlign w:val="center"/>
          </w:tcPr>
          <w:p w14:paraId="676D99FF" w14:textId="5EE37A97" w:rsidR="00BF4839" w:rsidRPr="00C71906" w:rsidRDefault="00BF4839" w:rsidP="00BF4839">
            <w:pPr>
              <w:jc w:val="left"/>
              <w:rPr>
                <w:rFonts w:ascii="Times New Roman" w:hAnsi="Times New Roman" w:cs="Times New Roman"/>
                <w:sz w:val="22"/>
                <w:szCs w:val="20"/>
              </w:rPr>
            </w:pPr>
            <w:r w:rsidRPr="00C71906">
              <w:rPr>
                <w:rFonts w:ascii="Times New Roman" w:hAnsi="Times New Roman" w:cs="Times New Roman"/>
                <w:sz w:val="22"/>
                <w:szCs w:val="20"/>
              </w:rPr>
              <w:t>Number of segments (of various length) coded for each FWK document</w:t>
            </w:r>
          </w:p>
        </w:tc>
      </w:tr>
    </w:tbl>
    <w:p w14:paraId="504ACF7D" w14:textId="27A3BEE2" w:rsidR="00E150B8" w:rsidRDefault="001813D6" w:rsidP="00BF4839">
      <w:pPr>
        <w:spacing w:before="240"/>
      </w:pPr>
      <w:r>
        <w:t xml:space="preserve">In the second sheet, labelled </w:t>
      </w:r>
      <w:r w:rsidR="00E4384A">
        <w:t>‘</w:t>
      </w:r>
      <w:proofErr w:type="spellStart"/>
      <w:r w:rsidRPr="00E4384A">
        <w:t>Code_System</w:t>
      </w:r>
      <w:proofErr w:type="spellEnd"/>
      <w:r w:rsidR="00E4384A">
        <w:t>’</w:t>
      </w:r>
      <w:r>
        <w:t xml:space="preserve"> we present the list of codes used to distinguish the two main frames in the EU talk. In line with existing research, the authors adopted a </w:t>
      </w:r>
      <w:r>
        <w:lastRenderedPageBreak/>
        <w:t>keyword-based approach to coding</w:t>
      </w:r>
      <w:r w:rsidR="00E4384A">
        <w:t xml:space="preserve">, which was performed using the </w:t>
      </w:r>
      <w:r w:rsidR="00E4384A" w:rsidRPr="00E4384A">
        <w:rPr>
          <w:i/>
          <w:iCs/>
        </w:rPr>
        <w:t xml:space="preserve">Text Search &amp; </w:t>
      </w:r>
      <w:proofErr w:type="spellStart"/>
      <w:r w:rsidR="00E4384A" w:rsidRPr="00E4384A">
        <w:rPr>
          <w:i/>
          <w:iCs/>
        </w:rPr>
        <w:t>Autocoding</w:t>
      </w:r>
      <w:proofErr w:type="spellEnd"/>
      <w:r w:rsidR="00E4384A" w:rsidRPr="00E4384A">
        <w:rPr>
          <w:i/>
          <w:iCs/>
        </w:rPr>
        <w:t xml:space="preserve"> tool </w:t>
      </w:r>
      <w:r w:rsidR="00E4384A">
        <w:t>within MAXQDA 2022. The keywords</w:t>
      </w:r>
      <w:r w:rsidR="00E150B8">
        <w:rPr>
          <w:rStyle w:val="Rimandonotaapidipagina"/>
          <w:b/>
          <w:bCs/>
        </w:rPr>
        <w:footnoteReference w:id="1"/>
      </w:r>
      <w:r w:rsidR="00E4384A">
        <w:t xml:space="preserve"> were identified </w:t>
      </w:r>
      <w:r w:rsidR="00E150B8">
        <w:t xml:space="preserve">on the ground of existing research on migration framing in policy documents and media analysis. The output of such search was then </w:t>
      </w:r>
      <w:proofErr w:type="spellStart"/>
      <w:r w:rsidR="00E150B8">
        <w:t>autocoded</w:t>
      </w:r>
      <w:proofErr w:type="spellEnd"/>
      <w:r w:rsidR="00E150B8">
        <w:t xml:space="preserve"> adopting as an option the coding of the whole sentence in which the keyword was present as well as the previous and the following sentences. This choice allowed, in a second phase, to identify the intersection </w:t>
      </w:r>
      <w:r w:rsidR="00C71906">
        <w:t>among</w:t>
      </w:r>
      <w:r w:rsidR="00E150B8">
        <w:t xml:space="preserve"> coded segments and produce the </w:t>
      </w:r>
      <w:r w:rsidR="00E150B8" w:rsidRPr="00E150B8">
        <w:rPr>
          <w:i/>
          <w:iCs/>
        </w:rPr>
        <w:t>visual map</w:t>
      </w:r>
      <w:r w:rsidR="00E150B8">
        <w:t xml:space="preserve"> presented in the article.</w:t>
      </w:r>
    </w:p>
    <w:p w14:paraId="46F51062" w14:textId="393F84E2" w:rsidR="00E150B8" w:rsidRPr="00E150B8" w:rsidRDefault="00E150B8" w:rsidP="006D1708">
      <w:r>
        <w:t xml:space="preserve">Based on this first round of </w:t>
      </w:r>
      <w:proofErr w:type="spellStart"/>
      <w:r>
        <w:t>autocoding</w:t>
      </w:r>
      <w:proofErr w:type="spellEnd"/>
      <w:r>
        <w:t>, the authors reviewed the coded documents so to exclude the occurrences in which the concerned keywords were present with a different meaning from the one intended</w:t>
      </w:r>
      <w:r w:rsidR="006D1708">
        <w:t xml:space="preserve">. In this manual revision, the authors also rearranged the length of coded segments in case of multiple occurrences of keywords coding for a same code, as to correct the anomalies of </w:t>
      </w:r>
      <w:proofErr w:type="spellStart"/>
      <w:r w:rsidR="006D1708">
        <w:t>autocoding</w:t>
      </w:r>
      <w:proofErr w:type="spellEnd"/>
      <w:r w:rsidR="006D1708">
        <w:t xml:space="preserve">. Likewise, the manual revision allowed for adjusting the results of </w:t>
      </w:r>
      <w:proofErr w:type="spellStart"/>
      <w:r w:rsidR="006D1708">
        <w:t>autocoding</w:t>
      </w:r>
      <w:proofErr w:type="spellEnd"/>
      <w:r w:rsidR="006D1708">
        <w:t xml:space="preserve"> in relation to paragraph breaks, so to avoid that coded segment included sentences from previous or following paragraphs not linked to the concerned code. Moreover, the authors manually excluded occurrences of the keywords in footnotes, since their inclusion </w:t>
      </w:r>
      <w:r w:rsidR="00041FEE">
        <w:t>could have been problematic.</w:t>
      </w:r>
    </w:p>
    <w:tbl>
      <w:tblPr>
        <w:tblStyle w:val="Grigliatabella"/>
        <w:tblpPr w:leftFromText="181" w:rightFromText="181" w:topFromText="142" w:bottomFromText="142" w:vertAnchor="text" w:horzAnchor="margin" w:tblpXSpec="center" w:tblpY="23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387"/>
      </w:tblGrid>
      <w:tr w:rsidR="00BF4839" w:rsidRPr="00C71906" w14:paraId="171026E8" w14:textId="77777777" w:rsidTr="00BF4839">
        <w:trPr>
          <w:trHeight w:val="397"/>
        </w:trPr>
        <w:tc>
          <w:tcPr>
            <w:tcW w:w="1985" w:type="dxa"/>
            <w:tcBorders>
              <w:top w:val="single" w:sz="4" w:space="0" w:color="auto"/>
              <w:right w:val="single" w:sz="4" w:space="0" w:color="auto"/>
            </w:tcBorders>
            <w:shd w:val="clear" w:color="auto" w:fill="FFFFFF" w:themeFill="background1"/>
            <w:vAlign w:val="center"/>
          </w:tcPr>
          <w:p w14:paraId="69D1C02F" w14:textId="77777777" w:rsidR="00BF4839" w:rsidRPr="00C71906" w:rsidRDefault="00BF4839" w:rsidP="00BF4839">
            <w:pPr>
              <w:ind w:firstLine="0"/>
              <w:jc w:val="center"/>
              <w:rPr>
                <w:rFonts w:ascii="Times New Roman" w:hAnsi="Times New Roman" w:cs="Times New Roman"/>
                <w:b/>
                <w:bCs/>
                <w:sz w:val="22"/>
                <w:szCs w:val="20"/>
              </w:rPr>
            </w:pPr>
            <w:r w:rsidRPr="00C71906">
              <w:rPr>
                <w:rFonts w:ascii="Times New Roman" w:hAnsi="Times New Roman" w:cs="Times New Roman"/>
                <w:b/>
                <w:bCs/>
                <w:sz w:val="22"/>
                <w:szCs w:val="20"/>
              </w:rPr>
              <w:t>Variable</w:t>
            </w:r>
          </w:p>
        </w:tc>
        <w:tc>
          <w:tcPr>
            <w:tcW w:w="6387" w:type="dxa"/>
            <w:tcBorders>
              <w:top w:val="single" w:sz="4" w:space="0" w:color="auto"/>
              <w:left w:val="single" w:sz="4" w:space="0" w:color="auto"/>
            </w:tcBorders>
            <w:shd w:val="clear" w:color="auto" w:fill="FFFFFF" w:themeFill="background1"/>
            <w:vAlign w:val="center"/>
          </w:tcPr>
          <w:p w14:paraId="2EC6AE0E" w14:textId="77777777" w:rsidR="00BF4839" w:rsidRPr="00C71906" w:rsidRDefault="00BF4839" w:rsidP="00BF4839">
            <w:pPr>
              <w:ind w:firstLine="0"/>
              <w:jc w:val="left"/>
              <w:rPr>
                <w:rFonts w:ascii="Times New Roman" w:hAnsi="Times New Roman" w:cs="Times New Roman"/>
                <w:b/>
                <w:bCs/>
                <w:sz w:val="22"/>
                <w:szCs w:val="20"/>
              </w:rPr>
            </w:pPr>
            <w:r w:rsidRPr="00C71906">
              <w:rPr>
                <w:rFonts w:ascii="Times New Roman" w:hAnsi="Times New Roman" w:cs="Times New Roman"/>
                <w:b/>
                <w:bCs/>
                <w:sz w:val="22"/>
                <w:szCs w:val="20"/>
              </w:rPr>
              <w:t>Description</w:t>
            </w:r>
          </w:p>
        </w:tc>
      </w:tr>
      <w:tr w:rsidR="00BF4839" w:rsidRPr="00C71906" w14:paraId="67C1BAC1" w14:textId="77777777" w:rsidTr="00BF4839">
        <w:trPr>
          <w:trHeight w:val="340"/>
        </w:trPr>
        <w:tc>
          <w:tcPr>
            <w:tcW w:w="1985" w:type="dxa"/>
            <w:tcBorders>
              <w:top w:val="single" w:sz="4" w:space="0" w:color="auto"/>
              <w:right w:val="single" w:sz="4" w:space="0" w:color="auto"/>
            </w:tcBorders>
            <w:shd w:val="clear" w:color="auto" w:fill="F2F2F2" w:themeFill="background1" w:themeFillShade="F2"/>
            <w:vAlign w:val="center"/>
          </w:tcPr>
          <w:p w14:paraId="61B14142" w14:textId="77777777" w:rsidR="00BF4839" w:rsidRPr="00C71906" w:rsidRDefault="00BF4839" w:rsidP="00BF4839">
            <w:pPr>
              <w:ind w:firstLine="0"/>
              <w:jc w:val="center"/>
              <w:rPr>
                <w:rFonts w:ascii="Times New Roman" w:hAnsi="Times New Roman" w:cs="Times New Roman"/>
                <w:b/>
                <w:bCs/>
                <w:sz w:val="22"/>
                <w:szCs w:val="20"/>
              </w:rPr>
            </w:pPr>
            <w:r w:rsidRPr="00C71906">
              <w:rPr>
                <w:rFonts w:ascii="Times New Roman" w:hAnsi="Times New Roman" w:cs="Times New Roman"/>
                <w:b/>
                <w:bCs/>
                <w:sz w:val="22"/>
                <w:szCs w:val="20"/>
              </w:rPr>
              <w:t>Code Label</w:t>
            </w:r>
          </w:p>
        </w:tc>
        <w:tc>
          <w:tcPr>
            <w:tcW w:w="6387" w:type="dxa"/>
            <w:tcBorders>
              <w:top w:val="single" w:sz="4" w:space="0" w:color="auto"/>
              <w:left w:val="single" w:sz="4" w:space="0" w:color="auto"/>
            </w:tcBorders>
            <w:shd w:val="clear" w:color="auto" w:fill="F2F2F2" w:themeFill="background1" w:themeFillShade="F2"/>
            <w:vAlign w:val="center"/>
          </w:tcPr>
          <w:p w14:paraId="68217CE8" w14:textId="17B0257E" w:rsidR="00BF4839" w:rsidRPr="00C71906" w:rsidRDefault="00BF4839" w:rsidP="00BF4839">
            <w:pPr>
              <w:ind w:firstLine="0"/>
              <w:jc w:val="left"/>
              <w:rPr>
                <w:rFonts w:ascii="Times New Roman" w:hAnsi="Times New Roman" w:cs="Times New Roman"/>
                <w:sz w:val="22"/>
                <w:szCs w:val="20"/>
              </w:rPr>
            </w:pPr>
            <w:r w:rsidRPr="00C71906">
              <w:rPr>
                <w:rFonts w:ascii="Times New Roman" w:hAnsi="Times New Roman" w:cs="Times New Roman"/>
                <w:sz w:val="22"/>
                <w:szCs w:val="20"/>
              </w:rPr>
              <w:t>Label used to refer to each code</w:t>
            </w:r>
          </w:p>
        </w:tc>
      </w:tr>
      <w:tr w:rsidR="00BF4839" w:rsidRPr="00C71906" w14:paraId="31985339" w14:textId="77777777" w:rsidTr="00BF4839">
        <w:trPr>
          <w:trHeight w:val="340"/>
        </w:trPr>
        <w:tc>
          <w:tcPr>
            <w:tcW w:w="1985" w:type="dxa"/>
            <w:tcBorders>
              <w:right w:val="single" w:sz="4" w:space="0" w:color="auto"/>
            </w:tcBorders>
            <w:shd w:val="clear" w:color="auto" w:fill="D5DCE4" w:themeFill="text2" w:themeFillTint="33"/>
            <w:vAlign w:val="center"/>
          </w:tcPr>
          <w:p w14:paraId="0E265C3A" w14:textId="77777777" w:rsidR="00BF4839" w:rsidRPr="00C71906" w:rsidRDefault="00BF4839" w:rsidP="00BF4839">
            <w:pPr>
              <w:ind w:firstLine="0"/>
              <w:jc w:val="center"/>
              <w:rPr>
                <w:rFonts w:ascii="Times New Roman" w:hAnsi="Times New Roman" w:cs="Times New Roman"/>
                <w:b/>
                <w:bCs/>
                <w:sz w:val="22"/>
                <w:szCs w:val="20"/>
              </w:rPr>
            </w:pPr>
            <w:r w:rsidRPr="00C71906">
              <w:rPr>
                <w:rFonts w:ascii="Times New Roman" w:hAnsi="Times New Roman" w:cs="Times New Roman"/>
                <w:b/>
                <w:bCs/>
                <w:sz w:val="22"/>
                <w:szCs w:val="20"/>
              </w:rPr>
              <w:t xml:space="preserve">Text Search &amp; </w:t>
            </w:r>
            <w:proofErr w:type="spellStart"/>
            <w:r w:rsidRPr="00C71906">
              <w:rPr>
                <w:rFonts w:ascii="Times New Roman" w:hAnsi="Times New Roman" w:cs="Times New Roman"/>
                <w:b/>
                <w:bCs/>
                <w:sz w:val="22"/>
                <w:szCs w:val="20"/>
              </w:rPr>
              <w:t>Autocode</w:t>
            </w:r>
            <w:proofErr w:type="spellEnd"/>
            <w:r w:rsidRPr="00C71906">
              <w:rPr>
                <w:rFonts w:ascii="Times New Roman" w:hAnsi="Times New Roman" w:cs="Times New Roman"/>
                <w:b/>
                <w:bCs/>
                <w:sz w:val="22"/>
                <w:szCs w:val="20"/>
              </w:rPr>
              <w:t xml:space="preserve"> Options</w:t>
            </w:r>
          </w:p>
        </w:tc>
        <w:tc>
          <w:tcPr>
            <w:tcW w:w="6387" w:type="dxa"/>
            <w:tcBorders>
              <w:left w:val="single" w:sz="4" w:space="0" w:color="auto"/>
            </w:tcBorders>
            <w:shd w:val="clear" w:color="auto" w:fill="D5DCE4" w:themeFill="text2" w:themeFillTint="33"/>
            <w:vAlign w:val="center"/>
          </w:tcPr>
          <w:p w14:paraId="70ACD5F0" w14:textId="5B9B13F6" w:rsidR="00BF4839" w:rsidRPr="00C71906" w:rsidRDefault="00BF4839" w:rsidP="00BF4839">
            <w:pPr>
              <w:ind w:firstLine="0"/>
              <w:jc w:val="left"/>
              <w:rPr>
                <w:rFonts w:ascii="Times New Roman" w:hAnsi="Times New Roman" w:cs="Times New Roman"/>
                <w:sz w:val="22"/>
                <w:szCs w:val="20"/>
              </w:rPr>
            </w:pPr>
            <w:r w:rsidRPr="00C71906">
              <w:rPr>
                <w:rFonts w:ascii="Times New Roman" w:hAnsi="Times New Roman" w:cs="Times New Roman"/>
                <w:sz w:val="22"/>
                <w:szCs w:val="20"/>
              </w:rPr>
              <w:t xml:space="preserve">List of keywords used for the Text Search &amp; </w:t>
            </w:r>
            <w:proofErr w:type="spellStart"/>
            <w:r w:rsidRPr="00C71906">
              <w:rPr>
                <w:rFonts w:ascii="Times New Roman" w:hAnsi="Times New Roman" w:cs="Times New Roman"/>
                <w:sz w:val="22"/>
                <w:szCs w:val="20"/>
              </w:rPr>
              <w:t>Autocode</w:t>
            </w:r>
            <w:proofErr w:type="spellEnd"/>
            <w:r w:rsidRPr="00C71906">
              <w:rPr>
                <w:rFonts w:ascii="Times New Roman" w:hAnsi="Times New Roman" w:cs="Times New Roman"/>
                <w:sz w:val="22"/>
                <w:szCs w:val="20"/>
              </w:rPr>
              <w:t xml:space="preserve"> and options of the tool used</w:t>
            </w:r>
          </w:p>
        </w:tc>
      </w:tr>
      <w:tr w:rsidR="00BF4839" w:rsidRPr="00C71906" w14:paraId="569C4B58" w14:textId="77777777" w:rsidTr="00BF4839">
        <w:trPr>
          <w:trHeight w:val="340"/>
        </w:trPr>
        <w:tc>
          <w:tcPr>
            <w:tcW w:w="1985" w:type="dxa"/>
            <w:tcBorders>
              <w:bottom w:val="single" w:sz="4" w:space="0" w:color="auto"/>
              <w:right w:val="single" w:sz="4" w:space="0" w:color="auto"/>
            </w:tcBorders>
            <w:shd w:val="clear" w:color="auto" w:fill="F2F2F2" w:themeFill="background1" w:themeFillShade="F2"/>
            <w:vAlign w:val="center"/>
          </w:tcPr>
          <w:p w14:paraId="3BBD6F13" w14:textId="77777777" w:rsidR="00BF4839" w:rsidRPr="00C71906" w:rsidRDefault="00BF4839" w:rsidP="00BF4839">
            <w:pPr>
              <w:ind w:firstLine="0"/>
              <w:jc w:val="center"/>
              <w:rPr>
                <w:rFonts w:ascii="Times New Roman" w:hAnsi="Times New Roman" w:cs="Times New Roman"/>
                <w:b/>
                <w:bCs/>
                <w:sz w:val="22"/>
                <w:szCs w:val="20"/>
              </w:rPr>
            </w:pPr>
            <w:r w:rsidRPr="00C71906">
              <w:rPr>
                <w:rFonts w:ascii="Times New Roman" w:hAnsi="Times New Roman" w:cs="Times New Roman"/>
                <w:b/>
                <w:bCs/>
                <w:sz w:val="22"/>
                <w:szCs w:val="20"/>
              </w:rPr>
              <w:t>Frequency</w:t>
            </w:r>
          </w:p>
        </w:tc>
        <w:tc>
          <w:tcPr>
            <w:tcW w:w="6387" w:type="dxa"/>
            <w:tcBorders>
              <w:left w:val="single" w:sz="4" w:space="0" w:color="auto"/>
              <w:bottom w:val="single" w:sz="4" w:space="0" w:color="auto"/>
            </w:tcBorders>
            <w:shd w:val="clear" w:color="auto" w:fill="F2F2F2" w:themeFill="background1" w:themeFillShade="F2"/>
            <w:vAlign w:val="center"/>
          </w:tcPr>
          <w:p w14:paraId="6D5AFCAC" w14:textId="67599F41" w:rsidR="00BF4839" w:rsidRPr="00C71906" w:rsidRDefault="00BF4839" w:rsidP="00BF4839">
            <w:pPr>
              <w:ind w:firstLine="0"/>
              <w:jc w:val="left"/>
              <w:rPr>
                <w:rFonts w:ascii="Times New Roman" w:hAnsi="Times New Roman" w:cs="Times New Roman"/>
                <w:sz w:val="22"/>
                <w:szCs w:val="20"/>
              </w:rPr>
            </w:pPr>
            <w:r w:rsidRPr="00C71906">
              <w:rPr>
                <w:rFonts w:ascii="Times New Roman" w:hAnsi="Times New Roman" w:cs="Times New Roman"/>
                <w:sz w:val="22"/>
                <w:szCs w:val="20"/>
              </w:rPr>
              <w:t>Frequency of each code in the whole sample of FWK documents</w:t>
            </w:r>
          </w:p>
        </w:tc>
      </w:tr>
    </w:tbl>
    <w:p w14:paraId="6EA75DF4" w14:textId="54D99B61" w:rsidR="00E4384A" w:rsidRDefault="00E4384A" w:rsidP="00041FEE">
      <w:pPr>
        <w:ind w:firstLine="0"/>
      </w:pPr>
    </w:p>
    <w:p w14:paraId="3B2ACACE" w14:textId="36EBE698" w:rsidR="00041FEE" w:rsidRPr="00041FEE" w:rsidRDefault="00041FEE" w:rsidP="00041FEE">
      <w:pPr>
        <w:rPr>
          <w:i/>
          <w:iCs/>
        </w:rPr>
      </w:pPr>
      <w:r>
        <w:t>Finally, the third sheet, labelled ‘</w:t>
      </w:r>
      <w:proofErr w:type="spellStart"/>
      <w:r w:rsidRPr="00041FEE">
        <w:t>Code_Intersection</w:t>
      </w:r>
      <w:r>
        <w:t>s</w:t>
      </w:r>
      <w:proofErr w:type="spellEnd"/>
      <w:r w:rsidRPr="00041FEE">
        <w:t>’</w:t>
      </w:r>
      <w:r>
        <w:t xml:space="preserve"> presents the number of intersection between coded segments in the whole sample of FWK documents analysed. The data have been produced through the </w:t>
      </w:r>
      <w:r>
        <w:rPr>
          <w:i/>
          <w:iCs/>
        </w:rPr>
        <w:t xml:space="preserve">Code Relations Browser </w:t>
      </w:r>
      <w:r>
        <w:t>tool within MAXQDA 2022 and exported in an .xlsx file.</w:t>
      </w:r>
    </w:p>
    <w:p w14:paraId="0C71645A" w14:textId="6B0DD70B" w:rsidR="001C3E4D" w:rsidRDefault="001C3E4D" w:rsidP="001C3E4D">
      <w:pPr>
        <w:pStyle w:val="Titolo2"/>
      </w:pPr>
      <w:bookmarkStart w:id="3" w:name="_Toc130201067"/>
      <w:r w:rsidRPr="00E4384A">
        <w:t xml:space="preserve">2.2. </w:t>
      </w:r>
      <w:r w:rsidR="00E4384A" w:rsidRPr="00E4384A">
        <w:t>Replication of the Visual Map</w:t>
      </w:r>
      <w:bookmarkEnd w:id="3"/>
    </w:p>
    <w:p w14:paraId="0CFFB1EB" w14:textId="3F63AFF5" w:rsidR="00041FEE" w:rsidRDefault="00041FEE" w:rsidP="00041FEE">
      <w:pPr>
        <w:ind w:firstLine="0"/>
      </w:pPr>
      <w:r>
        <w:t xml:space="preserve">As mentioned, the visual map presented in </w:t>
      </w:r>
      <w:r>
        <w:rPr>
          <w:i/>
          <w:iCs/>
        </w:rPr>
        <w:t>Figure 1</w:t>
      </w:r>
      <w:r>
        <w:t xml:space="preserve"> has been produced through the </w:t>
      </w:r>
      <w:r w:rsidRPr="00041FEE">
        <w:rPr>
          <w:i/>
          <w:iCs/>
        </w:rPr>
        <w:t>Code Map</w:t>
      </w:r>
      <w:r>
        <w:t xml:space="preserve"> tool within MAXQDA 2022 based on the data provided in the .xlsx file. While </w:t>
      </w:r>
      <w:r w:rsidR="007817DC">
        <w:t>the position of the codes in the map</w:t>
      </w:r>
      <w:r>
        <w:t xml:space="preserve"> resulting from the </w:t>
      </w:r>
      <w:r>
        <w:rPr>
          <w:i/>
          <w:iCs/>
        </w:rPr>
        <w:t xml:space="preserve">Code Map </w:t>
      </w:r>
      <w:r>
        <w:t xml:space="preserve">tool was </w:t>
      </w:r>
      <w:r w:rsidR="007817DC">
        <w:t xml:space="preserve">automatically </w:t>
      </w:r>
      <w:r>
        <w:t xml:space="preserve">arranged as to </w:t>
      </w:r>
      <w:r w:rsidR="007817DC">
        <w:t xml:space="preserve">reflect </w:t>
      </w:r>
      <w:r>
        <w:t>measures of</w:t>
      </w:r>
      <w:r w:rsidR="007817DC">
        <w:t xml:space="preserve"> similarity between codes, the visual map presented in </w:t>
      </w:r>
      <w:r w:rsidR="007817DC" w:rsidRPr="007817DC">
        <w:rPr>
          <w:i/>
          <w:iCs/>
        </w:rPr>
        <w:t>Figure 1</w:t>
      </w:r>
      <w:r w:rsidR="007817DC">
        <w:t xml:space="preserve"> has been modified by the authors</w:t>
      </w:r>
      <w:r>
        <w:t xml:space="preserve"> </w:t>
      </w:r>
      <w:r w:rsidR="007817DC">
        <w:t xml:space="preserve">since such measures were not deemed relevant for the analysis at stake. </w:t>
      </w:r>
    </w:p>
    <w:p w14:paraId="0BFA0395" w14:textId="401C1D87" w:rsidR="007817DC" w:rsidRDefault="007817DC" w:rsidP="00FC40B2">
      <w:r>
        <w:t xml:space="preserve">Each circle in the map represents a code. The larger the circles the more code assignments </w:t>
      </w:r>
      <w:r w:rsidRPr="00FC40B2">
        <w:t>have been made with that code. Colours</w:t>
      </w:r>
      <w:r w:rsidR="00FC40B2" w:rsidRPr="00FC40B2">
        <w:t xml:space="preserve"> </w:t>
      </w:r>
      <w:r w:rsidRPr="00FC40B2">
        <w:t xml:space="preserve">have been used to highlight whether a certain code referred to the humanitarian </w:t>
      </w:r>
      <w:r w:rsidR="00FC40B2" w:rsidRPr="00FC40B2">
        <w:t>(light gr</w:t>
      </w:r>
      <w:r w:rsidR="00C71906">
        <w:t>e</w:t>
      </w:r>
      <w:r w:rsidR="00FC40B2" w:rsidRPr="00FC40B2">
        <w:t xml:space="preserve">y) </w:t>
      </w:r>
      <w:r w:rsidRPr="00FC40B2">
        <w:t>or security</w:t>
      </w:r>
      <w:r w:rsidR="00FC40B2" w:rsidRPr="00FC40B2">
        <w:t>-</w:t>
      </w:r>
      <w:r w:rsidRPr="00FC40B2">
        <w:t xml:space="preserve">oriented </w:t>
      </w:r>
      <w:r w:rsidR="00FC40B2" w:rsidRPr="00FC40B2">
        <w:t>(dark gr</w:t>
      </w:r>
      <w:r w:rsidR="00C71906">
        <w:t>e</w:t>
      </w:r>
      <w:r w:rsidR="00FC40B2" w:rsidRPr="00FC40B2">
        <w:t xml:space="preserve">y) </w:t>
      </w:r>
      <w:r w:rsidRPr="00FC40B2">
        <w:t>frame</w:t>
      </w:r>
      <w:r w:rsidR="00FC40B2" w:rsidRPr="00FC40B2">
        <w:t>s</w:t>
      </w:r>
      <w:r w:rsidRPr="00FC40B2">
        <w:t>.</w:t>
      </w:r>
      <w:r w:rsidR="00FC40B2">
        <w:t xml:space="preserve"> </w:t>
      </w:r>
      <w:r w:rsidRPr="00FC40B2">
        <w:t>In</w:t>
      </w:r>
      <w:r>
        <w:t xml:space="preserve"> addition,</w:t>
      </w:r>
      <w:r w:rsidR="00FC40B2">
        <w:t xml:space="preserve"> </w:t>
      </w:r>
      <w:r>
        <w:t xml:space="preserve">connecting lines between the codes have been </w:t>
      </w:r>
      <w:r w:rsidR="00FC40B2">
        <w:t>added</w:t>
      </w:r>
      <w:r>
        <w:t xml:space="preserve"> </w:t>
      </w:r>
      <w:r w:rsidR="00FC40B2">
        <w:t>so to</w:t>
      </w:r>
      <w:r>
        <w:t xml:space="preserve"> indicate which codes overlap or co-occur and the </w:t>
      </w:r>
      <w:r w:rsidR="00FC40B2">
        <w:t>thickness of the lines represents the number of co-occurrences of</w:t>
      </w:r>
      <w:r>
        <w:t xml:space="preserve"> two codes.</w:t>
      </w:r>
    </w:p>
    <w:p w14:paraId="71F0B6DB" w14:textId="0AC199A4" w:rsidR="001C3E4D" w:rsidRPr="00B14179" w:rsidRDefault="001C3E4D" w:rsidP="001C3E4D">
      <w:pPr>
        <w:pStyle w:val="Titolo1"/>
        <w:rPr>
          <w:sz w:val="28"/>
          <w:szCs w:val="28"/>
        </w:rPr>
      </w:pPr>
      <w:bookmarkStart w:id="4" w:name="_Toc130201068"/>
      <w:r w:rsidRPr="00B14179">
        <w:rPr>
          <w:sz w:val="28"/>
          <w:szCs w:val="28"/>
        </w:rPr>
        <w:lastRenderedPageBreak/>
        <w:t>3. Replication Material B</w:t>
      </w:r>
      <w:r w:rsidR="004C7D0E" w:rsidRPr="00B14179">
        <w:rPr>
          <w:sz w:val="28"/>
          <w:szCs w:val="28"/>
        </w:rPr>
        <w:t>:</w:t>
      </w:r>
      <w:r w:rsidR="00E97920" w:rsidRPr="00B14179">
        <w:rPr>
          <w:sz w:val="28"/>
          <w:szCs w:val="28"/>
        </w:rPr>
        <w:t xml:space="preserve"> DOC Dataset</w:t>
      </w:r>
      <w:bookmarkEnd w:id="4"/>
    </w:p>
    <w:p w14:paraId="324037DA" w14:textId="07677345" w:rsidR="001C3E4D" w:rsidRDefault="00BF4839" w:rsidP="0002635F">
      <w:r>
        <w:t>In the file named ‘</w:t>
      </w:r>
      <w:proofErr w:type="spellStart"/>
      <w:r w:rsidRPr="00E4384A">
        <w:t>MindtheGap</w:t>
      </w:r>
      <w:proofErr w:type="spellEnd"/>
      <w:r w:rsidRPr="00E4384A">
        <w:t>(2023)_ReplicationMaterial_</w:t>
      </w:r>
      <w:r>
        <w:t>B</w:t>
      </w:r>
      <w:r w:rsidRPr="00E4384A">
        <w:t>.xlsx</w:t>
      </w:r>
      <w:r>
        <w:t>’ the authors included a list of ‘policy documents’ (DOC) which constitute the bulk of frame analysis.</w:t>
      </w:r>
      <w:r w:rsidR="00BD2680">
        <w:t xml:space="preserve"> The authors included in the datasets a</w:t>
      </w:r>
      <w:r>
        <w:t>ll the main international agreement</w:t>
      </w:r>
      <w:r w:rsidR="004C7D0E">
        <w:t>s</w:t>
      </w:r>
      <w:r>
        <w:t xml:space="preserve"> and declaration</w:t>
      </w:r>
      <w:r w:rsidR="004C7D0E">
        <w:t>s</w:t>
      </w:r>
      <w:r>
        <w:t xml:space="preserve"> involving the EU and at least one of the selected Southern </w:t>
      </w:r>
      <w:proofErr w:type="spellStart"/>
      <w:r>
        <w:t>Neighbor</w:t>
      </w:r>
      <w:proofErr w:type="spellEnd"/>
      <w:r>
        <w:t xml:space="preserve"> Countries (SNCs)</w:t>
      </w:r>
      <w:r w:rsidR="00BD2680">
        <w:t xml:space="preserve">, largely relying on </w:t>
      </w:r>
      <w:hyperlink r:id="rId8" w:history="1">
        <w:r w:rsidR="00BD2680" w:rsidRPr="00BD2680">
          <w:rPr>
            <w:rStyle w:val="Collegamentoipertestuale"/>
          </w:rPr>
          <w:t>Longo and Fontana (2022)</w:t>
        </w:r>
      </w:hyperlink>
      <w:r w:rsidR="00BD2680">
        <w:t xml:space="preserve">. </w:t>
      </w:r>
      <w:r w:rsidR="00E97920">
        <w:t xml:space="preserve">The DOC Dataset includes 47 documents referring to the main policy tools adopted in the context of EU-SNCs cooperation on MAP related issues. For those documents, such as the Euro-Mediterranean Association Agreements or Action Plans, that had a wider scope, the analysis focused just on the sections or articles concerning MAP. For each document, the authors identified a series of relevant variables which were crucial to pave the way of the frame-based coding, conducted according the scheme presented in </w:t>
      </w:r>
      <w:r w:rsidR="00E97920">
        <w:rPr>
          <w:i/>
          <w:iCs/>
        </w:rPr>
        <w:t>Table 2</w:t>
      </w:r>
      <w:r w:rsidR="00E97920">
        <w:t xml:space="preserve"> of the article.</w:t>
      </w:r>
    </w:p>
    <w:p w14:paraId="5DD46E2F" w14:textId="0A2C75E0" w:rsidR="00E97920" w:rsidRPr="00E97920" w:rsidRDefault="00E97920" w:rsidP="0002635F">
      <w:r>
        <w:t>The first sheet of the file, labelled ‘</w:t>
      </w:r>
      <w:proofErr w:type="spellStart"/>
      <w:r>
        <w:t>Var_Description</w:t>
      </w:r>
      <w:proofErr w:type="spellEnd"/>
      <w:r>
        <w:t>’, presents a list of the variables used and their extended labels. The ‘</w:t>
      </w:r>
      <w:proofErr w:type="spellStart"/>
      <w:r>
        <w:t>Dataset_DOC</w:t>
      </w:r>
      <w:proofErr w:type="spellEnd"/>
      <w:r>
        <w:t xml:space="preserve">’ sheet, instead, presents the full range of values of each variable for the concerned DOC documents. </w:t>
      </w:r>
    </w:p>
    <w:p w14:paraId="4FF7511B" w14:textId="33FBD611" w:rsidR="0002635F" w:rsidRDefault="001C3E4D" w:rsidP="0002635F">
      <w:pPr>
        <w:pStyle w:val="Titolo2"/>
      </w:pPr>
      <w:bookmarkStart w:id="5" w:name="_Toc130201069"/>
      <w:r>
        <w:t>3.</w:t>
      </w:r>
      <w:r w:rsidR="0002635F">
        <w:t>1</w:t>
      </w:r>
      <w:r>
        <w:t xml:space="preserve"> </w:t>
      </w:r>
      <w:r w:rsidR="0002635F">
        <w:t xml:space="preserve">DOC </w:t>
      </w:r>
      <w:r w:rsidR="002B2ADF">
        <w:t>Dataset</w:t>
      </w:r>
      <w:r w:rsidR="0002635F">
        <w:t xml:space="preserve"> Variables</w:t>
      </w:r>
      <w:bookmarkEnd w:id="5"/>
      <w:r w:rsidR="0002635F">
        <w:t xml:space="preserve"> </w:t>
      </w:r>
    </w:p>
    <w:p w14:paraId="13CE72C3" w14:textId="303AF153" w:rsidR="00E97920" w:rsidRPr="00E97920" w:rsidRDefault="002B2ADF" w:rsidP="00E97920">
      <w:pPr>
        <w:ind w:firstLine="0"/>
      </w:pPr>
      <w:r>
        <w:t>In the DOC Dataset, the authors included a series of variables that were used to structure the qualitative analysis of the documents, ranging from the years of adoption</w:t>
      </w:r>
      <w:r w:rsidR="004C7D0E">
        <w:t>,</w:t>
      </w:r>
      <w:r>
        <w:t xml:space="preserve"> or entry into force of the policy documents</w:t>
      </w:r>
      <w:r w:rsidR="0075242D">
        <w:t>,</w:t>
      </w:r>
      <w:r>
        <w:t xml:space="preserve"> to their main subjects.</w:t>
      </w:r>
      <w:r w:rsidR="004A1F67">
        <w:t xml:space="preserve"> Throughout the document, the acronym ‘NA’ refers to ‘Non Applicable’ and it is used when the value of the concerned value differs from the range of options available.</w:t>
      </w:r>
    </w:p>
    <w:tbl>
      <w:tblPr>
        <w:tblStyle w:val="Grigliatabella"/>
        <w:tblpPr w:leftFromText="181" w:rightFromText="181" w:topFromText="142" w:bottomFromText="142" w:vertAnchor="text" w:horzAnchor="margin" w:tblpXSpec="center" w:tblpY="23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268"/>
        <w:gridCol w:w="5482"/>
      </w:tblGrid>
      <w:tr w:rsidR="009F47F9" w:rsidRPr="0075242D" w14:paraId="3AD58975" w14:textId="1766F931" w:rsidTr="002B2ADF">
        <w:trPr>
          <w:trHeight w:val="397"/>
        </w:trPr>
        <w:tc>
          <w:tcPr>
            <w:tcW w:w="1276" w:type="dxa"/>
            <w:tcBorders>
              <w:top w:val="single" w:sz="4" w:space="0" w:color="auto"/>
              <w:right w:val="single" w:sz="4" w:space="0" w:color="auto"/>
            </w:tcBorders>
            <w:shd w:val="clear" w:color="auto" w:fill="FFFFFF" w:themeFill="background1"/>
            <w:vAlign w:val="center"/>
          </w:tcPr>
          <w:p w14:paraId="73576F83" w14:textId="77777777" w:rsidR="009F47F9" w:rsidRPr="0075242D" w:rsidRDefault="009F47F9" w:rsidP="009F47F9">
            <w:pPr>
              <w:ind w:firstLine="0"/>
              <w:jc w:val="center"/>
              <w:rPr>
                <w:rFonts w:ascii="Times New Roman" w:hAnsi="Times New Roman" w:cs="Times New Roman"/>
                <w:b/>
                <w:bCs/>
                <w:sz w:val="22"/>
                <w:szCs w:val="20"/>
              </w:rPr>
            </w:pPr>
            <w:r w:rsidRPr="0075242D">
              <w:rPr>
                <w:rFonts w:ascii="Times New Roman" w:hAnsi="Times New Roman" w:cs="Times New Roman"/>
                <w:b/>
                <w:bCs/>
                <w:sz w:val="22"/>
                <w:szCs w:val="20"/>
              </w:rPr>
              <w:t>Variable</w:t>
            </w:r>
          </w:p>
        </w:tc>
        <w:tc>
          <w:tcPr>
            <w:tcW w:w="2268" w:type="dxa"/>
            <w:tcBorders>
              <w:top w:val="single" w:sz="4" w:space="0" w:color="auto"/>
              <w:left w:val="single" w:sz="4" w:space="0" w:color="auto"/>
            </w:tcBorders>
            <w:shd w:val="clear" w:color="auto" w:fill="FFFFFF" w:themeFill="background1"/>
            <w:vAlign w:val="center"/>
          </w:tcPr>
          <w:p w14:paraId="7C5DF038" w14:textId="01F92E3D" w:rsidR="009F47F9" w:rsidRPr="0075242D" w:rsidRDefault="009F47F9" w:rsidP="009F47F9">
            <w:pPr>
              <w:ind w:firstLine="0"/>
              <w:jc w:val="center"/>
              <w:rPr>
                <w:rFonts w:ascii="Times New Roman" w:hAnsi="Times New Roman" w:cs="Times New Roman"/>
                <w:b/>
                <w:bCs/>
                <w:sz w:val="22"/>
                <w:szCs w:val="20"/>
              </w:rPr>
            </w:pPr>
            <w:r w:rsidRPr="0075242D">
              <w:rPr>
                <w:rFonts w:ascii="Times New Roman" w:hAnsi="Times New Roman" w:cs="Times New Roman"/>
                <w:b/>
                <w:bCs/>
                <w:sz w:val="22"/>
                <w:szCs w:val="20"/>
              </w:rPr>
              <w:t>Variable Label</w:t>
            </w:r>
          </w:p>
        </w:tc>
        <w:tc>
          <w:tcPr>
            <w:tcW w:w="5482" w:type="dxa"/>
            <w:tcBorders>
              <w:top w:val="single" w:sz="4" w:space="0" w:color="auto"/>
              <w:left w:val="single" w:sz="4" w:space="0" w:color="auto"/>
            </w:tcBorders>
            <w:shd w:val="clear" w:color="auto" w:fill="FFFFFF" w:themeFill="background1"/>
            <w:vAlign w:val="center"/>
          </w:tcPr>
          <w:p w14:paraId="64729D0C" w14:textId="3EF6D8CE" w:rsidR="009F47F9" w:rsidRPr="0075242D" w:rsidRDefault="009F47F9" w:rsidP="009F47F9">
            <w:pPr>
              <w:ind w:firstLine="0"/>
              <w:jc w:val="center"/>
              <w:rPr>
                <w:rFonts w:ascii="Times New Roman" w:hAnsi="Times New Roman" w:cs="Times New Roman"/>
                <w:b/>
                <w:bCs/>
                <w:sz w:val="22"/>
                <w:szCs w:val="20"/>
              </w:rPr>
            </w:pPr>
            <w:r w:rsidRPr="0075242D">
              <w:rPr>
                <w:rFonts w:ascii="Times New Roman" w:hAnsi="Times New Roman" w:cs="Times New Roman"/>
                <w:b/>
                <w:bCs/>
                <w:sz w:val="22"/>
                <w:szCs w:val="20"/>
              </w:rPr>
              <w:t>Description</w:t>
            </w:r>
          </w:p>
        </w:tc>
      </w:tr>
      <w:tr w:rsidR="009F47F9" w:rsidRPr="0075242D" w14:paraId="5DF28E37" w14:textId="1BFFC3CE" w:rsidTr="002B2ADF">
        <w:trPr>
          <w:trHeight w:val="340"/>
        </w:trPr>
        <w:tc>
          <w:tcPr>
            <w:tcW w:w="1276" w:type="dxa"/>
            <w:tcBorders>
              <w:top w:val="single" w:sz="4" w:space="0" w:color="auto"/>
              <w:right w:val="single" w:sz="4" w:space="0" w:color="auto"/>
            </w:tcBorders>
            <w:shd w:val="clear" w:color="auto" w:fill="F2F2F2" w:themeFill="background1" w:themeFillShade="F2"/>
            <w:vAlign w:val="center"/>
          </w:tcPr>
          <w:p w14:paraId="2D0723BF" w14:textId="4B74A846" w:rsidR="009F47F9" w:rsidRPr="0075242D" w:rsidRDefault="009F47F9" w:rsidP="009F47F9">
            <w:pPr>
              <w:ind w:firstLine="0"/>
              <w:jc w:val="center"/>
              <w:rPr>
                <w:rFonts w:ascii="Times New Roman" w:hAnsi="Times New Roman" w:cs="Times New Roman"/>
                <w:b/>
                <w:bCs/>
                <w:sz w:val="22"/>
                <w:szCs w:val="20"/>
              </w:rPr>
            </w:pPr>
            <w:proofErr w:type="spellStart"/>
            <w:r w:rsidRPr="0075242D">
              <w:rPr>
                <w:rFonts w:ascii="Times New Roman" w:hAnsi="Times New Roman" w:cs="Times New Roman"/>
                <w:b/>
                <w:bCs/>
                <w:color w:val="000000"/>
                <w:sz w:val="22"/>
              </w:rPr>
              <w:t>doc_id</w:t>
            </w:r>
            <w:proofErr w:type="spellEnd"/>
          </w:p>
        </w:tc>
        <w:tc>
          <w:tcPr>
            <w:tcW w:w="2268" w:type="dxa"/>
            <w:tcBorders>
              <w:top w:val="single" w:sz="4" w:space="0" w:color="auto"/>
              <w:left w:val="single" w:sz="4" w:space="0" w:color="auto"/>
            </w:tcBorders>
            <w:shd w:val="clear" w:color="auto" w:fill="F2F2F2" w:themeFill="background1" w:themeFillShade="F2"/>
            <w:vAlign w:val="center"/>
          </w:tcPr>
          <w:p w14:paraId="05F332DA" w14:textId="103CFDDD" w:rsidR="009F47F9" w:rsidRPr="0075242D" w:rsidRDefault="009F47F9" w:rsidP="009F47F9">
            <w:pPr>
              <w:ind w:firstLine="0"/>
              <w:jc w:val="left"/>
              <w:rPr>
                <w:rFonts w:ascii="Times New Roman" w:hAnsi="Times New Roman" w:cs="Times New Roman"/>
                <w:sz w:val="22"/>
                <w:szCs w:val="20"/>
              </w:rPr>
            </w:pPr>
            <w:r w:rsidRPr="0075242D">
              <w:rPr>
                <w:rFonts w:ascii="Times New Roman" w:hAnsi="Times New Roman" w:cs="Times New Roman"/>
                <w:color w:val="000000"/>
                <w:sz w:val="22"/>
              </w:rPr>
              <w:t>Document identifier</w:t>
            </w:r>
          </w:p>
        </w:tc>
        <w:tc>
          <w:tcPr>
            <w:tcW w:w="5482" w:type="dxa"/>
            <w:tcBorders>
              <w:top w:val="single" w:sz="4" w:space="0" w:color="auto"/>
              <w:left w:val="single" w:sz="4" w:space="0" w:color="auto"/>
            </w:tcBorders>
            <w:shd w:val="clear" w:color="auto" w:fill="F2F2F2" w:themeFill="background1" w:themeFillShade="F2"/>
            <w:vAlign w:val="center"/>
          </w:tcPr>
          <w:p w14:paraId="3E0785A3" w14:textId="45A1BE84" w:rsidR="009F47F9" w:rsidRPr="0075242D" w:rsidRDefault="009F47F9" w:rsidP="009F47F9">
            <w:pPr>
              <w:ind w:firstLine="0"/>
              <w:jc w:val="left"/>
              <w:rPr>
                <w:rFonts w:ascii="Times New Roman" w:hAnsi="Times New Roman" w:cs="Times New Roman"/>
                <w:color w:val="000000"/>
                <w:sz w:val="22"/>
              </w:rPr>
            </w:pPr>
            <w:r w:rsidRPr="0075242D">
              <w:rPr>
                <w:rFonts w:ascii="Times New Roman" w:hAnsi="Times New Roman" w:cs="Times New Roman"/>
                <w:color w:val="000000"/>
                <w:sz w:val="22"/>
              </w:rPr>
              <w:t xml:space="preserve">Identifiers ranging from DOC1 </w:t>
            </w:r>
            <w:r w:rsidR="002B2ADF" w:rsidRPr="0075242D">
              <w:rPr>
                <w:rFonts w:ascii="Times New Roman" w:hAnsi="Times New Roman" w:cs="Times New Roman"/>
                <w:color w:val="000000"/>
                <w:sz w:val="22"/>
              </w:rPr>
              <w:t>to</w:t>
            </w:r>
            <w:r w:rsidRPr="0075242D">
              <w:rPr>
                <w:rFonts w:ascii="Times New Roman" w:hAnsi="Times New Roman" w:cs="Times New Roman"/>
                <w:color w:val="000000"/>
                <w:sz w:val="22"/>
              </w:rPr>
              <w:t xml:space="preserve"> DOC42.2</w:t>
            </w:r>
            <w:r w:rsidRPr="0075242D">
              <w:rPr>
                <w:rStyle w:val="Rimandonotaapidipagina"/>
                <w:rFonts w:ascii="Times New Roman" w:hAnsi="Times New Roman" w:cs="Times New Roman"/>
                <w:color w:val="000000"/>
                <w:sz w:val="22"/>
              </w:rPr>
              <w:footnoteReference w:id="2"/>
            </w:r>
          </w:p>
        </w:tc>
      </w:tr>
      <w:tr w:rsidR="009F47F9" w:rsidRPr="0075242D" w14:paraId="508375F7" w14:textId="419E82D9" w:rsidTr="002B2ADF">
        <w:trPr>
          <w:trHeight w:val="340"/>
        </w:trPr>
        <w:tc>
          <w:tcPr>
            <w:tcW w:w="1276" w:type="dxa"/>
            <w:tcBorders>
              <w:right w:val="single" w:sz="4" w:space="0" w:color="auto"/>
            </w:tcBorders>
            <w:shd w:val="clear" w:color="auto" w:fill="D5DCE4" w:themeFill="text2" w:themeFillTint="33"/>
            <w:vAlign w:val="center"/>
          </w:tcPr>
          <w:p w14:paraId="3D46B696" w14:textId="2FEDAD55" w:rsidR="009F47F9" w:rsidRPr="0075242D" w:rsidRDefault="009F47F9" w:rsidP="009F47F9">
            <w:pPr>
              <w:ind w:firstLine="0"/>
              <w:jc w:val="center"/>
              <w:rPr>
                <w:rFonts w:ascii="Times New Roman" w:hAnsi="Times New Roman" w:cs="Times New Roman"/>
                <w:b/>
                <w:bCs/>
                <w:sz w:val="22"/>
                <w:szCs w:val="20"/>
              </w:rPr>
            </w:pPr>
            <w:proofErr w:type="spellStart"/>
            <w:r w:rsidRPr="0075242D">
              <w:rPr>
                <w:rFonts w:ascii="Times New Roman" w:hAnsi="Times New Roman" w:cs="Times New Roman"/>
                <w:b/>
                <w:bCs/>
                <w:color w:val="000000"/>
                <w:sz w:val="22"/>
              </w:rPr>
              <w:t>pol_doc</w:t>
            </w:r>
            <w:proofErr w:type="spellEnd"/>
          </w:p>
        </w:tc>
        <w:tc>
          <w:tcPr>
            <w:tcW w:w="2268" w:type="dxa"/>
            <w:tcBorders>
              <w:left w:val="single" w:sz="4" w:space="0" w:color="auto"/>
            </w:tcBorders>
            <w:shd w:val="clear" w:color="auto" w:fill="D5DCE4" w:themeFill="text2" w:themeFillTint="33"/>
            <w:vAlign w:val="center"/>
          </w:tcPr>
          <w:p w14:paraId="5CD773D4" w14:textId="4F6F7D13" w:rsidR="009F47F9" w:rsidRPr="0075242D" w:rsidRDefault="009F47F9" w:rsidP="009F47F9">
            <w:pPr>
              <w:ind w:firstLine="0"/>
              <w:jc w:val="left"/>
              <w:rPr>
                <w:rFonts w:ascii="Times New Roman" w:hAnsi="Times New Roman" w:cs="Times New Roman"/>
                <w:sz w:val="22"/>
                <w:szCs w:val="20"/>
              </w:rPr>
            </w:pPr>
            <w:r w:rsidRPr="0075242D">
              <w:rPr>
                <w:rFonts w:ascii="Times New Roman" w:hAnsi="Times New Roman" w:cs="Times New Roman"/>
                <w:color w:val="000000"/>
                <w:sz w:val="22"/>
              </w:rPr>
              <w:t>Policy document on EU-SNCs Cooperation</w:t>
            </w:r>
          </w:p>
        </w:tc>
        <w:tc>
          <w:tcPr>
            <w:tcW w:w="5482" w:type="dxa"/>
            <w:tcBorders>
              <w:left w:val="single" w:sz="4" w:space="0" w:color="auto"/>
            </w:tcBorders>
            <w:shd w:val="clear" w:color="auto" w:fill="D5DCE4" w:themeFill="text2" w:themeFillTint="33"/>
            <w:vAlign w:val="center"/>
          </w:tcPr>
          <w:p w14:paraId="790EA75B" w14:textId="241FD759" w:rsidR="009F47F9" w:rsidRPr="0075242D" w:rsidRDefault="009F47F9" w:rsidP="009F47F9">
            <w:pPr>
              <w:ind w:firstLine="0"/>
              <w:jc w:val="left"/>
              <w:rPr>
                <w:rFonts w:ascii="Times New Roman" w:hAnsi="Times New Roman" w:cs="Times New Roman"/>
                <w:color w:val="000000"/>
                <w:sz w:val="22"/>
              </w:rPr>
            </w:pPr>
          </w:p>
        </w:tc>
      </w:tr>
      <w:tr w:rsidR="009F47F9" w:rsidRPr="0075242D" w14:paraId="0CE9AC7A" w14:textId="423736CF" w:rsidTr="002B2ADF">
        <w:trPr>
          <w:trHeight w:val="340"/>
        </w:trPr>
        <w:tc>
          <w:tcPr>
            <w:tcW w:w="1276" w:type="dxa"/>
            <w:tcBorders>
              <w:right w:val="single" w:sz="4" w:space="0" w:color="auto"/>
            </w:tcBorders>
            <w:shd w:val="clear" w:color="auto" w:fill="F2F2F2" w:themeFill="background1" w:themeFillShade="F2"/>
            <w:vAlign w:val="center"/>
          </w:tcPr>
          <w:p w14:paraId="5E51586D" w14:textId="692DFF69" w:rsidR="009F47F9" w:rsidRPr="0075242D" w:rsidRDefault="009F47F9" w:rsidP="009F47F9">
            <w:pPr>
              <w:ind w:firstLine="0"/>
              <w:jc w:val="center"/>
              <w:rPr>
                <w:rFonts w:ascii="Times New Roman" w:hAnsi="Times New Roman" w:cs="Times New Roman"/>
                <w:b/>
                <w:bCs/>
                <w:sz w:val="22"/>
                <w:szCs w:val="20"/>
              </w:rPr>
            </w:pPr>
            <w:r w:rsidRPr="0075242D">
              <w:rPr>
                <w:rFonts w:ascii="Times New Roman" w:hAnsi="Times New Roman" w:cs="Times New Roman"/>
                <w:b/>
                <w:bCs/>
                <w:color w:val="000000"/>
                <w:sz w:val="22"/>
              </w:rPr>
              <w:t>year</w:t>
            </w:r>
          </w:p>
        </w:tc>
        <w:tc>
          <w:tcPr>
            <w:tcW w:w="2268" w:type="dxa"/>
            <w:tcBorders>
              <w:left w:val="single" w:sz="4" w:space="0" w:color="auto"/>
            </w:tcBorders>
            <w:shd w:val="clear" w:color="auto" w:fill="F2F2F2" w:themeFill="background1" w:themeFillShade="F2"/>
            <w:vAlign w:val="center"/>
          </w:tcPr>
          <w:p w14:paraId="71BA2350" w14:textId="645E9202" w:rsidR="009F47F9" w:rsidRPr="0075242D" w:rsidRDefault="009F47F9" w:rsidP="009F47F9">
            <w:pPr>
              <w:ind w:firstLine="0"/>
              <w:jc w:val="left"/>
              <w:rPr>
                <w:rFonts w:ascii="Times New Roman" w:hAnsi="Times New Roman" w:cs="Times New Roman"/>
                <w:sz w:val="22"/>
                <w:szCs w:val="20"/>
              </w:rPr>
            </w:pPr>
            <w:r w:rsidRPr="0075242D">
              <w:rPr>
                <w:rFonts w:ascii="Times New Roman" w:hAnsi="Times New Roman" w:cs="Times New Roman"/>
                <w:color w:val="000000"/>
                <w:sz w:val="22"/>
              </w:rPr>
              <w:t>Year of adoption/entry into force</w:t>
            </w:r>
          </w:p>
        </w:tc>
        <w:tc>
          <w:tcPr>
            <w:tcW w:w="5482" w:type="dxa"/>
            <w:tcBorders>
              <w:left w:val="single" w:sz="4" w:space="0" w:color="auto"/>
            </w:tcBorders>
            <w:shd w:val="clear" w:color="auto" w:fill="F2F2F2" w:themeFill="background1" w:themeFillShade="F2"/>
            <w:vAlign w:val="center"/>
          </w:tcPr>
          <w:p w14:paraId="5B3E7AA4" w14:textId="20F73ADE" w:rsidR="009F47F9" w:rsidRPr="0075242D" w:rsidRDefault="009F47F9" w:rsidP="009F47F9">
            <w:pPr>
              <w:ind w:firstLine="0"/>
              <w:jc w:val="left"/>
              <w:rPr>
                <w:rFonts w:ascii="Times New Roman" w:hAnsi="Times New Roman" w:cs="Times New Roman"/>
                <w:color w:val="000000"/>
                <w:sz w:val="22"/>
              </w:rPr>
            </w:pPr>
            <w:r w:rsidRPr="0075242D">
              <w:rPr>
                <w:rFonts w:ascii="Times New Roman" w:hAnsi="Times New Roman" w:cs="Times New Roman"/>
                <w:color w:val="000000"/>
                <w:sz w:val="22"/>
              </w:rPr>
              <w:t>For most documents the variable refers to the date in which a political declaration or agreement was signed and, hence</w:t>
            </w:r>
            <w:r w:rsidR="0075242D">
              <w:rPr>
                <w:rFonts w:ascii="Times New Roman" w:hAnsi="Times New Roman" w:cs="Times New Roman"/>
                <w:color w:val="000000"/>
                <w:sz w:val="22"/>
              </w:rPr>
              <w:t>,</w:t>
            </w:r>
            <w:r w:rsidRPr="0075242D">
              <w:rPr>
                <w:rFonts w:ascii="Times New Roman" w:hAnsi="Times New Roman" w:cs="Times New Roman"/>
                <w:color w:val="000000"/>
                <w:sz w:val="22"/>
              </w:rPr>
              <w:t xml:space="preserve"> adopted. In the case of binding international agreements, for which there is a specific formal procedure, the authors preferred to refer to the year of entry into force</w:t>
            </w:r>
          </w:p>
        </w:tc>
      </w:tr>
      <w:tr w:rsidR="009F47F9" w:rsidRPr="0075242D" w14:paraId="06E4B5E3" w14:textId="06F3BE72" w:rsidTr="002B2ADF">
        <w:trPr>
          <w:trHeight w:val="340"/>
        </w:trPr>
        <w:tc>
          <w:tcPr>
            <w:tcW w:w="1276" w:type="dxa"/>
            <w:tcBorders>
              <w:right w:val="single" w:sz="4" w:space="0" w:color="auto"/>
            </w:tcBorders>
            <w:shd w:val="clear" w:color="auto" w:fill="D5DCE4" w:themeFill="text2" w:themeFillTint="33"/>
            <w:vAlign w:val="center"/>
          </w:tcPr>
          <w:p w14:paraId="7B8A73E5" w14:textId="01C7B152" w:rsidR="009F47F9" w:rsidRPr="0075242D" w:rsidRDefault="009F47F9" w:rsidP="009F47F9">
            <w:pPr>
              <w:ind w:firstLine="0"/>
              <w:jc w:val="center"/>
              <w:rPr>
                <w:rFonts w:ascii="Times New Roman" w:hAnsi="Times New Roman" w:cs="Times New Roman"/>
                <w:b/>
                <w:bCs/>
                <w:sz w:val="22"/>
                <w:szCs w:val="20"/>
              </w:rPr>
            </w:pPr>
            <w:r w:rsidRPr="0075242D">
              <w:rPr>
                <w:rFonts w:ascii="Times New Roman" w:hAnsi="Times New Roman" w:cs="Times New Roman"/>
                <w:b/>
                <w:bCs/>
                <w:color w:val="000000"/>
                <w:sz w:val="22"/>
              </w:rPr>
              <w:t>type</w:t>
            </w:r>
          </w:p>
        </w:tc>
        <w:tc>
          <w:tcPr>
            <w:tcW w:w="2268" w:type="dxa"/>
            <w:tcBorders>
              <w:left w:val="single" w:sz="4" w:space="0" w:color="auto"/>
            </w:tcBorders>
            <w:shd w:val="clear" w:color="auto" w:fill="D5DCE4" w:themeFill="text2" w:themeFillTint="33"/>
            <w:vAlign w:val="center"/>
          </w:tcPr>
          <w:p w14:paraId="098D2583" w14:textId="0CC81204" w:rsidR="009F47F9" w:rsidRPr="0075242D" w:rsidRDefault="009F47F9" w:rsidP="009F47F9">
            <w:pPr>
              <w:ind w:firstLine="0"/>
              <w:jc w:val="left"/>
              <w:rPr>
                <w:rFonts w:ascii="Times New Roman" w:hAnsi="Times New Roman" w:cs="Times New Roman"/>
                <w:sz w:val="22"/>
                <w:szCs w:val="20"/>
              </w:rPr>
            </w:pPr>
            <w:r w:rsidRPr="0075242D">
              <w:rPr>
                <w:rFonts w:ascii="Times New Roman" w:hAnsi="Times New Roman" w:cs="Times New Roman"/>
                <w:color w:val="000000"/>
                <w:sz w:val="22"/>
              </w:rPr>
              <w:t>Type of instrument</w:t>
            </w:r>
          </w:p>
        </w:tc>
        <w:tc>
          <w:tcPr>
            <w:tcW w:w="5482" w:type="dxa"/>
            <w:tcBorders>
              <w:left w:val="single" w:sz="4" w:space="0" w:color="auto"/>
            </w:tcBorders>
            <w:shd w:val="clear" w:color="auto" w:fill="D5DCE4" w:themeFill="text2" w:themeFillTint="33"/>
            <w:vAlign w:val="center"/>
          </w:tcPr>
          <w:p w14:paraId="4FDDDF39" w14:textId="5EF67329" w:rsidR="009F47F9" w:rsidRPr="0075242D" w:rsidRDefault="009F47F9" w:rsidP="009F47F9">
            <w:pPr>
              <w:ind w:firstLine="0"/>
              <w:jc w:val="left"/>
              <w:rPr>
                <w:rFonts w:ascii="Times New Roman" w:hAnsi="Times New Roman" w:cs="Times New Roman"/>
                <w:color w:val="000000"/>
                <w:sz w:val="22"/>
              </w:rPr>
            </w:pPr>
            <w:r w:rsidRPr="0075242D">
              <w:rPr>
                <w:rFonts w:ascii="Times New Roman" w:hAnsi="Times New Roman" w:cs="Times New Roman"/>
                <w:color w:val="000000"/>
                <w:sz w:val="22"/>
              </w:rPr>
              <w:t xml:space="preserve">For the purpose of this research the authors distinguished three main types of instruments: Binding International </w:t>
            </w:r>
            <w:r w:rsidR="002B2ADF" w:rsidRPr="0075242D">
              <w:rPr>
                <w:rFonts w:ascii="Times New Roman" w:hAnsi="Times New Roman" w:cs="Times New Roman"/>
                <w:color w:val="000000"/>
                <w:sz w:val="22"/>
              </w:rPr>
              <w:t>Agreement;</w:t>
            </w:r>
            <w:r w:rsidRPr="0075242D">
              <w:rPr>
                <w:rFonts w:ascii="Times New Roman" w:hAnsi="Times New Roman" w:cs="Times New Roman"/>
                <w:color w:val="000000"/>
                <w:sz w:val="22"/>
              </w:rPr>
              <w:t xml:space="preserve"> Soft International Agreement ; Multilateral Dialogue</w:t>
            </w:r>
          </w:p>
        </w:tc>
      </w:tr>
      <w:tr w:rsidR="009F47F9" w:rsidRPr="0075242D" w14:paraId="7701B622" w14:textId="0DC9764F" w:rsidTr="002B2ADF">
        <w:trPr>
          <w:trHeight w:val="340"/>
        </w:trPr>
        <w:tc>
          <w:tcPr>
            <w:tcW w:w="1276" w:type="dxa"/>
            <w:tcBorders>
              <w:right w:val="single" w:sz="4" w:space="0" w:color="auto"/>
            </w:tcBorders>
            <w:shd w:val="clear" w:color="auto" w:fill="F2F2F2" w:themeFill="background1" w:themeFillShade="F2"/>
            <w:vAlign w:val="center"/>
          </w:tcPr>
          <w:p w14:paraId="0F2267C9" w14:textId="1698C405" w:rsidR="009F47F9" w:rsidRPr="0075242D" w:rsidRDefault="009F47F9" w:rsidP="009F47F9">
            <w:pPr>
              <w:ind w:firstLine="0"/>
              <w:jc w:val="center"/>
              <w:rPr>
                <w:rFonts w:ascii="Times New Roman" w:hAnsi="Times New Roman" w:cs="Times New Roman"/>
                <w:b/>
                <w:bCs/>
                <w:sz w:val="22"/>
                <w:szCs w:val="20"/>
              </w:rPr>
            </w:pPr>
            <w:proofErr w:type="spellStart"/>
            <w:r w:rsidRPr="0075242D">
              <w:rPr>
                <w:rFonts w:ascii="Times New Roman" w:hAnsi="Times New Roman" w:cs="Times New Roman"/>
                <w:b/>
                <w:bCs/>
                <w:color w:val="000000"/>
                <w:sz w:val="22"/>
              </w:rPr>
              <w:t>legal_fwk</w:t>
            </w:r>
            <w:proofErr w:type="spellEnd"/>
          </w:p>
        </w:tc>
        <w:tc>
          <w:tcPr>
            <w:tcW w:w="2268" w:type="dxa"/>
            <w:tcBorders>
              <w:left w:val="single" w:sz="4" w:space="0" w:color="auto"/>
            </w:tcBorders>
            <w:shd w:val="clear" w:color="auto" w:fill="F2F2F2" w:themeFill="background1" w:themeFillShade="F2"/>
            <w:vAlign w:val="center"/>
          </w:tcPr>
          <w:p w14:paraId="35F444D7" w14:textId="62D8140D" w:rsidR="009F47F9" w:rsidRPr="0075242D" w:rsidRDefault="009F47F9" w:rsidP="009F47F9">
            <w:pPr>
              <w:ind w:firstLine="0"/>
              <w:jc w:val="left"/>
              <w:rPr>
                <w:rFonts w:ascii="Times New Roman" w:hAnsi="Times New Roman" w:cs="Times New Roman"/>
                <w:sz w:val="22"/>
                <w:szCs w:val="20"/>
              </w:rPr>
            </w:pPr>
            <w:r w:rsidRPr="0075242D">
              <w:rPr>
                <w:rFonts w:ascii="Times New Roman" w:hAnsi="Times New Roman" w:cs="Times New Roman"/>
                <w:color w:val="000000"/>
                <w:sz w:val="22"/>
              </w:rPr>
              <w:t>Legal framework</w:t>
            </w:r>
            <w:r w:rsidR="004A1F67" w:rsidRPr="0075242D">
              <w:rPr>
                <w:rStyle w:val="Rimandonotaapidipagina"/>
                <w:rFonts w:ascii="Times New Roman" w:hAnsi="Times New Roman" w:cs="Times New Roman"/>
                <w:color w:val="000000"/>
                <w:sz w:val="22"/>
              </w:rPr>
              <w:footnoteReference w:id="3"/>
            </w:r>
          </w:p>
        </w:tc>
        <w:tc>
          <w:tcPr>
            <w:tcW w:w="5482" w:type="dxa"/>
            <w:tcBorders>
              <w:left w:val="single" w:sz="4" w:space="0" w:color="auto"/>
            </w:tcBorders>
            <w:shd w:val="clear" w:color="auto" w:fill="F2F2F2" w:themeFill="background1" w:themeFillShade="F2"/>
            <w:vAlign w:val="center"/>
          </w:tcPr>
          <w:p w14:paraId="04CC7E0F" w14:textId="4CA8B216" w:rsidR="009F47F9" w:rsidRPr="0075242D" w:rsidRDefault="009F47F9" w:rsidP="009F47F9">
            <w:pPr>
              <w:ind w:firstLine="0"/>
              <w:jc w:val="left"/>
              <w:rPr>
                <w:rFonts w:ascii="Times New Roman" w:hAnsi="Times New Roman" w:cs="Times New Roman"/>
                <w:color w:val="000000"/>
                <w:sz w:val="22"/>
              </w:rPr>
            </w:pPr>
            <w:r w:rsidRPr="0075242D">
              <w:rPr>
                <w:rFonts w:ascii="Times New Roman" w:hAnsi="Times New Roman" w:cs="Times New Roman"/>
                <w:color w:val="000000"/>
                <w:sz w:val="22"/>
              </w:rPr>
              <w:t xml:space="preserve">As for the possible framework, the following categories apply: Euro-Mediterranean Association Agreement (Euro-Med AA); Mobility Partnership (MP); European </w:t>
            </w:r>
            <w:proofErr w:type="spellStart"/>
            <w:r w:rsidRPr="0075242D">
              <w:rPr>
                <w:rFonts w:ascii="Times New Roman" w:hAnsi="Times New Roman" w:cs="Times New Roman"/>
                <w:color w:val="000000"/>
                <w:sz w:val="22"/>
              </w:rPr>
              <w:lastRenderedPageBreak/>
              <w:t>Neighborhood</w:t>
            </w:r>
            <w:proofErr w:type="spellEnd"/>
            <w:r w:rsidRPr="0075242D">
              <w:rPr>
                <w:rFonts w:ascii="Times New Roman" w:hAnsi="Times New Roman" w:cs="Times New Roman"/>
                <w:color w:val="000000"/>
                <w:sz w:val="22"/>
              </w:rPr>
              <w:t xml:space="preserve"> Policy Action Plan/Strategic Priorities (ENP AP/SP)</w:t>
            </w:r>
            <w:r w:rsidRPr="0075242D">
              <w:rPr>
                <w:rFonts w:ascii="Times New Roman" w:hAnsi="Times New Roman" w:cs="Times New Roman"/>
                <w:i/>
                <w:iCs/>
                <w:color w:val="000000"/>
                <w:sz w:val="22"/>
              </w:rPr>
              <w:t xml:space="preserve">; </w:t>
            </w:r>
            <w:r w:rsidRPr="0075242D">
              <w:rPr>
                <w:rFonts w:ascii="Times New Roman" w:hAnsi="Times New Roman" w:cs="Times New Roman"/>
                <w:color w:val="000000"/>
                <w:sz w:val="22"/>
              </w:rPr>
              <w:t>Regional Dialogue (Rabat Process); Regional Dialogue (</w:t>
            </w:r>
            <w:r w:rsidR="006D5CB2" w:rsidRPr="0075242D">
              <w:rPr>
                <w:rFonts w:ascii="Times New Roman" w:hAnsi="Times New Roman" w:cs="Times New Roman"/>
                <w:color w:val="000000"/>
                <w:sz w:val="22"/>
              </w:rPr>
              <w:t>Khartoum</w:t>
            </w:r>
            <w:r w:rsidRPr="0075242D">
              <w:rPr>
                <w:rFonts w:ascii="Times New Roman" w:hAnsi="Times New Roman" w:cs="Times New Roman"/>
                <w:color w:val="000000"/>
                <w:sz w:val="22"/>
              </w:rPr>
              <w:t xml:space="preserve"> Process); Joint EU-Africa Strategy/</w:t>
            </w:r>
            <w:r w:rsidR="002B2ADF" w:rsidRPr="0075242D">
              <w:rPr>
                <w:rFonts w:ascii="Times New Roman" w:hAnsi="Times New Roman" w:cs="Times New Roman"/>
                <w:color w:val="000000"/>
                <w:sz w:val="22"/>
              </w:rPr>
              <w:t>Migration, Mobility and Employment (JAES/MME); Regional Protection Programme/Regional Development and Protection Programme (RPP/RDPP)</w:t>
            </w:r>
          </w:p>
        </w:tc>
      </w:tr>
      <w:tr w:rsidR="009F47F9" w:rsidRPr="0075242D" w14:paraId="526DEE6A" w14:textId="340CB242" w:rsidTr="002B2ADF">
        <w:trPr>
          <w:trHeight w:val="340"/>
        </w:trPr>
        <w:tc>
          <w:tcPr>
            <w:tcW w:w="1276" w:type="dxa"/>
            <w:tcBorders>
              <w:bottom w:val="single" w:sz="4" w:space="0" w:color="auto"/>
              <w:right w:val="single" w:sz="4" w:space="0" w:color="auto"/>
            </w:tcBorders>
            <w:shd w:val="clear" w:color="auto" w:fill="D5DCE4" w:themeFill="text2" w:themeFillTint="33"/>
            <w:vAlign w:val="center"/>
          </w:tcPr>
          <w:p w14:paraId="17B521E0" w14:textId="6CB3B88B" w:rsidR="009F47F9" w:rsidRPr="0075242D" w:rsidRDefault="009F47F9" w:rsidP="009F47F9">
            <w:pPr>
              <w:ind w:firstLine="0"/>
              <w:jc w:val="center"/>
              <w:rPr>
                <w:rFonts w:ascii="Times New Roman" w:hAnsi="Times New Roman" w:cs="Times New Roman"/>
                <w:b/>
                <w:bCs/>
                <w:sz w:val="22"/>
                <w:szCs w:val="20"/>
              </w:rPr>
            </w:pPr>
            <w:proofErr w:type="spellStart"/>
            <w:r w:rsidRPr="0075242D">
              <w:rPr>
                <w:rFonts w:ascii="Times New Roman" w:hAnsi="Times New Roman" w:cs="Times New Roman"/>
                <w:b/>
                <w:bCs/>
                <w:color w:val="000000"/>
                <w:sz w:val="22"/>
              </w:rPr>
              <w:lastRenderedPageBreak/>
              <w:t>geo_proj</w:t>
            </w:r>
            <w:proofErr w:type="spellEnd"/>
          </w:p>
        </w:tc>
        <w:tc>
          <w:tcPr>
            <w:tcW w:w="2268" w:type="dxa"/>
            <w:tcBorders>
              <w:left w:val="single" w:sz="4" w:space="0" w:color="auto"/>
              <w:bottom w:val="single" w:sz="4" w:space="0" w:color="auto"/>
            </w:tcBorders>
            <w:shd w:val="clear" w:color="auto" w:fill="D5DCE4" w:themeFill="text2" w:themeFillTint="33"/>
            <w:vAlign w:val="center"/>
          </w:tcPr>
          <w:p w14:paraId="1AE15B07" w14:textId="4C5142FF" w:rsidR="009F47F9" w:rsidRPr="0075242D" w:rsidRDefault="009F47F9" w:rsidP="009F47F9">
            <w:pPr>
              <w:ind w:firstLine="0"/>
              <w:jc w:val="left"/>
              <w:rPr>
                <w:rFonts w:ascii="Times New Roman" w:hAnsi="Times New Roman" w:cs="Times New Roman"/>
                <w:sz w:val="22"/>
                <w:szCs w:val="20"/>
              </w:rPr>
            </w:pPr>
            <w:r w:rsidRPr="0075242D">
              <w:rPr>
                <w:rFonts w:ascii="Times New Roman" w:hAnsi="Times New Roman" w:cs="Times New Roman"/>
                <w:color w:val="000000"/>
                <w:sz w:val="22"/>
              </w:rPr>
              <w:t>Geographical projection</w:t>
            </w:r>
          </w:p>
        </w:tc>
        <w:tc>
          <w:tcPr>
            <w:tcW w:w="5482" w:type="dxa"/>
            <w:tcBorders>
              <w:left w:val="single" w:sz="4" w:space="0" w:color="auto"/>
              <w:bottom w:val="single" w:sz="4" w:space="0" w:color="auto"/>
            </w:tcBorders>
            <w:shd w:val="clear" w:color="auto" w:fill="D5DCE4" w:themeFill="text2" w:themeFillTint="33"/>
            <w:vAlign w:val="center"/>
          </w:tcPr>
          <w:p w14:paraId="661F5947" w14:textId="3792CA15" w:rsidR="009F47F9" w:rsidRPr="0075242D" w:rsidRDefault="007F6A09" w:rsidP="009F47F9">
            <w:pPr>
              <w:ind w:firstLine="0"/>
              <w:jc w:val="left"/>
              <w:rPr>
                <w:rFonts w:ascii="Times New Roman" w:hAnsi="Times New Roman" w:cs="Times New Roman"/>
                <w:color w:val="000000"/>
                <w:sz w:val="22"/>
              </w:rPr>
            </w:pPr>
            <w:r w:rsidRPr="0075242D">
              <w:rPr>
                <w:rFonts w:ascii="Times New Roman" w:hAnsi="Times New Roman" w:cs="Times New Roman"/>
                <w:color w:val="000000"/>
                <w:sz w:val="22"/>
              </w:rPr>
              <w:t>This variable codes for the presence of one or more of the considered SNCs as participating in the agreements or action</w:t>
            </w:r>
            <w:r w:rsidR="00BC658E" w:rsidRPr="0075242D">
              <w:rPr>
                <w:rFonts w:ascii="Times New Roman" w:hAnsi="Times New Roman" w:cs="Times New Roman"/>
                <w:color w:val="000000"/>
                <w:sz w:val="22"/>
              </w:rPr>
              <w:t>s</w:t>
            </w:r>
            <w:r w:rsidRPr="0075242D">
              <w:rPr>
                <w:rFonts w:ascii="Times New Roman" w:hAnsi="Times New Roman" w:cs="Times New Roman"/>
                <w:color w:val="000000"/>
                <w:sz w:val="22"/>
              </w:rPr>
              <w:t xml:space="preserve"> that the policy documents refer to: </w:t>
            </w:r>
            <w:r w:rsidR="009F47F9" w:rsidRPr="0075242D">
              <w:rPr>
                <w:rFonts w:ascii="Times New Roman" w:hAnsi="Times New Roman" w:cs="Times New Roman"/>
                <w:color w:val="000000"/>
                <w:sz w:val="22"/>
              </w:rPr>
              <w:t>Morocco</w:t>
            </w:r>
            <w:r w:rsidR="0075242D">
              <w:rPr>
                <w:rFonts w:ascii="Times New Roman" w:hAnsi="Times New Roman" w:cs="Times New Roman"/>
                <w:color w:val="000000"/>
                <w:sz w:val="22"/>
              </w:rPr>
              <w:t>,</w:t>
            </w:r>
            <w:r w:rsidR="009F47F9" w:rsidRPr="0075242D">
              <w:rPr>
                <w:rFonts w:ascii="Times New Roman" w:hAnsi="Times New Roman" w:cs="Times New Roman"/>
                <w:color w:val="000000"/>
                <w:sz w:val="22"/>
              </w:rPr>
              <w:t xml:space="preserve"> Tunisia</w:t>
            </w:r>
            <w:r w:rsidR="0075242D">
              <w:rPr>
                <w:rFonts w:ascii="Times New Roman" w:hAnsi="Times New Roman" w:cs="Times New Roman"/>
                <w:color w:val="000000"/>
                <w:sz w:val="22"/>
              </w:rPr>
              <w:t>,</w:t>
            </w:r>
            <w:r w:rsidR="009F47F9" w:rsidRPr="0075242D">
              <w:rPr>
                <w:rFonts w:ascii="Times New Roman" w:hAnsi="Times New Roman" w:cs="Times New Roman"/>
                <w:color w:val="000000"/>
                <w:sz w:val="22"/>
              </w:rPr>
              <w:t xml:space="preserve"> Egypt</w:t>
            </w:r>
            <w:r w:rsidR="0075242D">
              <w:rPr>
                <w:rFonts w:ascii="Times New Roman" w:hAnsi="Times New Roman" w:cs="Times New Roman"/>
                <w:color w:val="000000"/>
                <w:sz w:val="22"/>
              </w:rPr>
              <w:t>,</w:t>
            </w:r>
            <w:r w:rsidR="009F47F9" w:rsidRPr="0075242D">
              <w:rPr>
                <w:rFonts w:ascii="Times New Roman" w:hAnsi="Times New Roman" w:cs="Times New Roman"/>
                <w:color w:val="000000"/>
                <w:sz w:val="22"/>
              </w:rPr>
              <w:t xml:space="preserve"> Lebanon</w:t>
            </w:r>
            <w:r w:rsidR="0075242D">
              <w:rPr>
                <w:rFonts w:ascii="Times New Roman" w:hAnsi="Times New Roman" w:cs="Times New Roman"/>
                <w:color w:val="000000"/>
                <w:sz w:val="22"/>
              </w:rPr>
              <w:t>,</w:t>
            </w:r>
            <w:r w:rsidR="009F47F9" w:rsidRPr="0075242D">
              <w:rPr>
                <w:rFonts w:ascii="Times New Roman" w:hAnsi="Times New Roman" w:cs="Times New Roman"/>
                <w:color w:val="000000"/>
                <w:sz w:val="22"/>
              </w:rPr>
              <w:t xml:space="preserve"> Jordan (or combinations of the five)</w:t>
            </w:r>
          </w:p>
        </w:tc>
      </w:tr>
    </w:tbl>
    <w:p w14:paraId="48354C76" w14:textId="77777777" w:rsidR="002B2ADF" w:rsidRDefault="002B2ADF" w:rsidP="0002635F">
      <w:pPr>
        <w:ind w:firstLine="0"/>
      </w:pPr>
    </w:p>
    <w:p w14:paraId="09D1E05E" w14:textId="5E9D7F46" w:rsidR="0002635F" w:rsidRPr="0002635F" w:rsidRDefault="0002635F" w:rsidP="0002635F">
      <w:pPr>
        <w:ind w:firstLine="0"/>
      </w:pPr>
      <w:r>
        <w:t>Moreover, the dataset includes a series of variables (see below) concerning the specific purposes or subjects (</w:t>
      </w:r>
      <w:r w:rsidRPr="0002635F">
        <w:rPr>
          <w:i/>
          <w:iCs/>
        </w:rPr>
        <w:t>S</w:t>
      </w:r>
      <w:r>
        <w:t>) of MAP-related cooperation mentioned in the documents. For the sake of parsimony, the authors identified six major areas of cooperation, which were deemed relevant for the present work</w:t>
      </w:r>
      <w:r w:rsidR="002B2ADF">
        <w:t xml:space="preserve"> and, for each subject, registered two possible values depending on the presence (coded as ‘1’) or absence (coded as ‘2’) in the concerned document. </w:t>
      </w:r>
    </w:p>
    <w:tbl>
      <w:tblPr>
        <w:tblStyle w:val="Grigliatabella"/>
        <w:tblpPr w:leftFromText="181" w:rightFromText="181" w:topFromText="142" w:bottomFromText="142" w:vertAnchor="text" w:horzAnchor="margin" w:tblpXSpec="center" w:tblpY="27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
        <w:gridCol w:w="2126"/>
        <w:gridCol w:w="5386"/>
      </w:tblGrid>
      <w:tr w:rsidR="00392CB9" w:rsidRPr="000C5C3D" w14:paraId="2E369101" w14:textId="77777777" w:rsidTr="00392CB9">
        <w:trPr>
          <w:trHeight w:val="379"/>
        </w:trPr>
        <w:tc>
          <w:tcPr>
            <w:tcW w:w="993" w:type="dxa"/>
            <w:tcBorders>
              <w:top w:val="single" w:sz="4" w:space="0" w:color="auto"/>
              <w:right w:val="single" w:sz="4" w:space="0" w:color="auto"/>
            </w:tcBorders>
            <w:shd w:val="clear" w:color="auto" w:fill="FFFFFF" w:themeFill="background1"/>
            <w:vAlign w:val="center"/>
          </w:tcPr>
          <w:p w14:paraId="77693B69" w14:textId="77777777" w:rsidR="00392CB9" w:rsidRPr="000C5C3D" w:rsidRDefault="00392CB9" w:rsidP="00392CB9">
            <w:pPr>
              <w:ind w:firstLine="0"/>
              <w:rPr>
                <w:rFonts w:ascii="Times New Roman" w:hAnsi="Times New Roman" w:cs="Times New Roman"/>
                <w:b/>
                <w:bCs/>
                <w:sz w:val="22"/>
                <w:szCs w:val="20"/>
              </w:rPr>
            </w:pPr>
            <w:r w:rsidRPr="000C5C3D">
              <w:rPr>
                <w:rFonts w:ascii="Times New Roman" w:hAnsi="Times New Roman" w:cs="Times New Roman"/>
                <w:b/>
                <w:bCs/>
                <w:sz w:val="22"/>
                <w:szCs w:val="20"/>
              </w:rPr>
              <w:t>Variable</w:t>
            </w:r>
          </w:p>
        </w:tc>
        <w:tc>
          <w:tcPr>
            <w:tcW w:w="2126" w:type="dxa"/>
            <w:tcBorders>
              <w:top w:val="single" w:sz="4" w:space="0" w:color="auto"/>
              <w:left w:val="single" w:sz="4" w:space="0" w:color="auto"/>
            </w:tcBorders>
            <w:shd w:val="clear" w:color="auto" w:fill="FFFFFF" w:themeFill="background1"/>
            <w:vAlign w:val="center"/>
          </w:tcPr>
          <w:p w14:paraId="1B1931F1" w14:textId="77777777" w:rsidR="00392CB9" w:rsidRPr="000C5C3D" w:rsidRDefault="00392CB9" w:rsidP="00392CB9">
            <w:pPr>
              <w:ind w:firstLine="0"/>
              <w:jc w:val="center"/>
              <w:rPr>
                <w:rFonts w:ascii="Times New Roman" w:hAnsi="Times New Roman" w:cs="Times New Roman"/>
                <w:b/>
                <w:bCs/>
                <w:sz w:val="22"/>
                <w:szCs w:val="20"/>
              </w:rPr>
            </w:pPr>
            <w:r w:rsidRPr="000C5C3D">
              <w:rPr>
                <w:rFonts w:ascii="Times New Roman" w:hAnsi="Times New Roman" w:cs="Times New Roman"/>
                <w:b/>
                <w:bCs/>
                <w:sz w:val="22"/>
                <w:szCs w:val="20"/>
              </w:rPr>
              <w:t>Variable Label</w:t>
            </w:r>
          </w:p>
        </w:tc>
        <w:tc>
          <w:tcPr>
            <w:tcW w:w="5386" w:type="dxa"/>
            <w:tcBorders>
              <w:top w:val="single" w:sz="4" w:space="0" w:color="auto"/>
              <w:left w:val="single" w:sz="4" w:space="0" w:color="auto"/>
            </w:tcBorders>
            <w:shd w:val="clear" w:color="auto" w:fill="FFFFFF" w:themeFill="background1"/>
            <w:vAlign w:val="center"/>
          </w:tcPr>
          <w:p w14:paraId="309DBBB3" w14:textId="77777777" w:rsidR="00392CB9" w:rsidRPr="000C5C3D" w:rsidRDefault="00392CB9" w:rsidP="00392CB9">
            <w:pPr>
              <w:ind w:firstLine="0"/>
              <w:jc w:val="center"/>
              <w:rPr>
                <w:rFonts w:ascii="Times New Roman" w:hAnsi="Times New Roman" w:cs="Times New Roman"/>
                <w:b/>
                <w:bCs/>
                <w:sz w:val="22"/>
                <w:szCs w:val="20"/>
              </w:rPr>
            </w:pPr>
            <w:r w:rsidRPr="000C5C3D">
              <w:rPr>
                <w:rFonts w:ascii="Times New Roman" w:hAnsi="Times New Roman" w:cs="Times New Roman"/>
                <w:b/>
                <w:bCs/>
                <w:sz w:val="22"/>
                <w:szCs w:val="20"/>
              </w:rPr>
              <w:t>Description</w:t>
            </w:r>
          </w:p>
        </w:tc>
      </w:tr>
      <w:tr w:rsidR="00392CB9" w:rsidRPr="000C5C3D" w14:paraId="4D45E46F" w14:textId="77777777" w:rsidTr="00392CB9">
        <w:trPr>
          <w:trHeight w:val="325"/>
        </w:trPr>
        <w:tc>
          <w:tcPr>
            <w:tcW w:w="993" w:type="dxa"/>
            <w:tcBorders>
              <w:top w:val="single" w:sz="4" w:space="0" w:color="auto"/>
              <w:right w:val="single" w:sz="4" w:space="0" w:color="auto"/>
            </w:tcBorders>
            <w:shd w:val="clear" w:color="auto" w:fill="F2F2F2" w:themeFill="background1" w:themeFillShade="F2"/>
            <w:vAlign w:val="center"/>
          </w:tcPr>
          <w:p w14:paraId="7E659812" w14:textId="77777777" w:rsidR="00392CB9" w:rsidRPr="000C5C3D" w:rsidRDefault="00392CB9" w:rsidP="00392CB9">
            <w:pPr>
              <w:ind w:firstLine="0"/>
              <w:jc w:val="center"/>
              <w:rPr>
                <w:rFonts w:ascii="Times New Roman" w:hAnsi="Times New Roman" w:cs="Times New Roman"/>
                <w:b/>
                <w:bCs/>
                <w:sz w:val="22"/>
                <w:szCs w:val="20"/>
              </w:rPr>
            </w:pPr>
            <w:r w:rsidRPr="000C5C3D">
              <w:rPr>
                <w:rFonts w:ascii="Times New Roman" w:hAnsi="Times New Roman" w:cs="Times New Roman"/>
                <w:b/>
                <w:bCs/>
                <w:sz w:val="22"/>
                <w:szCs w:val="20"/>
              </w:rPr>
              <w:t>S1</w:t>
            </w:r>
          </w:p>
        </w:tc>
        <w:tc>
          <w:tcPr>
            <w:tcW w:w="2126" w:type="dxa"/>
            <w:tcBorders>
              <w:top w:val="single" w:sz="4" w:space="0" w:color="auto"/>
              <w:left w:val="single" w:sz="4" w:space="0" w:color="auto"/>
            </w:tcBorders>
            <w:shd w:val="clear" w:color="auto" w:fill="F2F2F2" w:themeFill="background1" w:themeFillShade="F2"/>
            <w:vAlign w:val="center"/>
          </w:tcPr>
          <w:p w14:paraId="1A87DA09" w14:textId="77777777" w:rsidR="00392CB9" w:rsidRPr="000C5C3D" w:rsidRDefault="00392CB9" w:rsidP="00392CB9">
            <w:pPr>
              <w:ind w:firstLine="0"/>
              <w:jc w:val="center"/>
              <w:rPr>
                <w:rFonts w:ascii="Times New Roman" w:hAnsi="Times New Roman" w:cs="Times New Roman"/>
                <w:sz w:val="22"/>
                <w:szCs w:val="20"/>
              </w:rPr>
            </w:pPr>
            <w:r w:rsidRPr="000C5C3D">
              <w:rPr>
                <w:rFonts w:ascii="Times New Roman" w:hAnsi="Times New Roman" w:cs="Times New Roman"/>
                <w:color w:val="000000"/>
                <w:sz w:val="22"/>
              </w:rPr>
              <w:t>Subject 1: International protection</w:t>
            </w:r>
          </w:p>
        </w:tc>
        <w:tc>
          <w:tcPr>
            <w:tcW w:w="5386" w:type="dxa"/>
            <w:tcBorders>
              <w:top w:val="single" w:sz="4" w:space="0" w:color="auto"/>
              <w:left w:val="single" w:sz="4" w:space="0" w:color="auto"/>
            </w:tcBorders>
            <w:shd w:val="clear" w:color="auto" w:fill="F2F2F2" w:themeFill="background1" w:themeFillShade="F2"/>
            <w:vAlign w:val="center"/>
          </w:tcPr>
          <w:p w14:paraId="68C44988" w14:textId="77777777" w:rsidR="00392CB9" w:rsidRPr="000C5C3D" w:rsidRDefault="00392CB9" w:rsidP="00392CB9">
            <w:pPr>
              <w:ind w:firstLine="0"/>
              <w:jc w:val="center"/>
              <w:rPr>
                <w:rFonts w:ascii="Times New Roman" w:hAnsi="Times New Roman" w:cs="Times New Roman"/>
                <w:color w:val="000000"/>
                <w:sz w:val="22"/>
              </w:rPr>
            </w:pPr>
            <w:r w:rsidRPr="000C5C3D">
              <w:rPr>
                <w:rFonts w:ascii="Times New Roman" w:hAnsi="Times New Roman" w:cs="Times New Roman"/>
                <w:color w:val="000000"/>
                <w:sz w:val="22"/>
              </w:rPr>
              <w:t>Presence or absence of provisions concerning cooperation on international protection, reform of asylum legislation, or the conditions of refugees</w:t>
            </w:r>
          </w:p>
        </w:tc>
      </w:tr>
      <w:tr w:rsidR="00392CB9" w:rsidRPr="000C5C3D" w14:paraId="5775F25B" w14:textId="77777777" w:rsidTr="00392CB9">
        <w:trPr>
          <w:trHeight w:val="325"/>
        </w:trPr>
        <w:tc>
          <w:tcPr>
            <w:tcW w:w="993" w:type="dxa"/>
            <w:tcBorders>
              <w:right w:val="single" w:sz="4" w:space="0" w:color="auto"/>
            </w:tcBorders>
            <w:shd w:val="clear" w:color="auto" w:fill="D5DCE4" w:themeFill="text2" w:themeFillTint="33"/>
            <w:vAlign w:val="center"/>
          </w:tcPr>
          <w:p w14:paraId="0D596419" w14:textId="77777777" w:rsidR="00392CB9" w:rsidRPr="000C5C3D" w:rsidRDefault="00392CB9" w:rsidP="00392CB9">
            <w:pPr>
              <w:ind w:firstLine="0"/>
              <w:jc w:val="center"/>
              <w:rPr>
                <w:rFonts w:ascii="Times New Roman" w:hAnsi="Times New Roman" w:cs="Times New Roman"/>
                <w:b/>
                <w:bCs/>
                <w:sz w:val="22"/>
                <w:szCs w:val="20"/>
              </w:rPr>
            </w:pPr>
            <w:r w:rsidRPr="000C5C3D">
              <w:rPr>
                <w:rFonts w:ascii="Times New Roman" w:hAnsi="Times New Roman" w:cs="Times New Roman"/>
                <w:b/>
                <w:bCs/>
                <w:sz w:val="22"/>
                <w:szCs w:val="20"/>
              </w:rPr>
              <w:t>S2</w:t>
            </w:r>
          </w:p>
        </w:tc>
        <w:tc>
          <w:tcPr>
            <w:tcW w:w="2126" w:type="dxa"/>
            <w:tcBorders>
              <w:left w:val="single" w:sz="4" w:space="0" w:color="auto"/>
            </w:tcBorders>
            <w:shd w:val="clear" w:color="auto" w:fill="D5DCE4" w:themeFill="text2" w:themeFillTint="33"/>
            <w:vAlign w:val="center"/>
          </w:tcPr>
          <w:p w14:paraId="3961CA88" w14:textId="77777777" w:rsidR="00392CB9" w:rsidRPr="000C5C3D" w:rsidRDefault="00392CB9" w:rsidP="00392CB9">
            <w:pPr>
              <w:ind w:firstLine="0"/>
              <w:jc w:val="center"/>
              <w:rPr>
                <w:rFonts w:ascii="Times New Roman" w:hAnsi="Times New Roman" w:cs="Times New Roman"/>
                <w:sz w:val="22"/>
                <w:szCs w:val="20"/>
              </w:rPr>
            </w:pPr>
            <w:r w:rsidRPr="000C5C3D">
              <w:rPr>
                <w:rFonts w:ascii="Times New Roman" w:hAnsi="Times New Roman" w:cs="Times New Roman"/>
                <w:color w:val="000000"/>
                <w:sz w:val="22"/>
              </w:rPr>
              <w:t xml:space="preserve">Subject 2: </w:t>
            </w:r>
            <w:r w:rsidRPr="000C5C3D">
              <w:rPr>
                <w:rFonts w:ascii="Times New Roman" w:hAnsi="Times New Roman" w:cs="Times New Roman"/>
                <w:color w:val="000000"/>
                <w:sz w:val="22"/>
              </w:rPr>
              <w:br/>
              <w:t>Visa facilitation</w:t>
            </w:r>
          </w:p>
        </w:tc>
        <w:tc>
          <w:tcPr>
            <w:tcW w:w="5386" w:type="dxa"/>
            <w:tcBorders>
              <w:left w:val="single" w:sz="4" w:space="0" w:color="auto"/>
            </w:tcBorders>
            <w:shd w:val="clear" w:color="auto" w:fill="D5DCE4" w:themeFill="text2" w:themeFillTint="33"/>
            <w:vAlign w:val="center"/>
          </w:tcPr>
          <w:p w14:paraId="77A386C4" w14:textId="77777777" w:rsidR="00392CB9" w:rsidRPr="000C5C3D" w:rsidRDefault="00392CB9" w:rsidP="00392CB9">
            <w:pPr>
              <w:ind w:firstLine="0"/>
              <w:jc w:val="center"/>
              <w:rPr>
                <w:rFonts w:ascii="Times New Roman" w:hAnsi="Times New Roman" w:cs="Times New Roman"/>
                <w:color w:val="000000"/>
                <w:sz w:val="22"/>
              </w:rPr>
            </w:pPr>
            <w:r w:rsidRPr="000C5C3D">
              <w:rPr>
                <w:rFonts w:ascii="Times New Roman" w:hAnsi="Times New Roman" w:cs="Times New Roman"/>
                <w:color w:val="000000"/>
                <w:sz w:val="22"/>
              </w:rPr>
              <w:t>Presence or absence of provisions concerning the facilitation of visa for SNC nationals, including the improvement of legal pathways for migration to the EU</w:t>
            </w:r>
          </w:p>
        </w:tc>
      </w:tr>
      <w:tr w:rsidR="00392CB9" w:rsidRPr="000C5C3D" w14:paraId="013C13CE" w14:textId="77777777" w:rsidTr="00392CB9">
        <w:trPr>
          <w:trHeight w:val="325"/>
        </w:trPr>
        <w:tc>
          <w:tcPr>
            <w:tcW w:w="993" w:type="dxa"/>
            <w:tcBorders>
              <w:right w:val="single" w:sz="4" w:space="0" w:color="auto"/>
            </w:tcBorders>
            <w:shd w:val="clear" w:color="auto" w:fill="F2F2F2" w:themeFill="background1" w:themeFillShade="F2"/>
            <w:vAlign w:val="center"/>
          </w:tcPr>
          <w:p w14:paraId="62DF6F4A" w14:textId="77777777" w:rsidR="00392CB9" w:rsidRPr="000C5C3D" w:rsidRDefault="00392CB9" w:rsidP="00392CB9">
            <w:pPr>
              <w:ind w:firstLine="0"/>
              <w:jc w:val="center"/>
              <w:rPr>
                <w:rFonts w:ascii="Times New Roman" w:hAnsi="Times New Roman" w:cs="Times New Roman"/>
                <w:b/>
                <w:bCs/>
                <w:sz w:val="22"/>
                <w:szCs w:val="20"/>
              </w:rPr>
            </w:pPr>
            <w:r w:rsidRPr="000C5C3D">
              <w:rPr>
                <w:rFonts w:ascii="Times New Roman" w:hAnsi="Times New Roman" w:cs="Times New Roman"/>
                <w:b/>
                <w:bCs/>
                <w:sz w:val="22"/>
                <w:szCs w:val="20"/>
              </w:rPr>
              <w:t>S3</w:t>
            </w:r>
          </w:p>
        </w:tc>
        <w:tc>
          <w:tcPr>
            <w:tcW w:w="2126" w:type="dxa"/>
            <w:tcBorders>
              <w:left w:val="single" w:sz="4" w:space="0" w:color="auto"/>
            </w:tcBorders>
            <w:shd w:val="clear" w:color="auto" w:fill="F2F2F2" w:themeFill="background1" w:themeFillShade="F2"/>
            <w:vAlign w:val="center"/>
          </w:tcPr>
          <w:p w14:paraId="30BD48BE" w14:textId="77777777" w:rsidR="00392CB9" w:rsidRPr="000C5C3D" w:rsidRDefault="00392CB9" w:rsidP="00392CB9">
            <w:pPr>
              <w:ind w:firstLine="0"/>
              <w:jc w:val="center"/>
              <w:rPr>
                <w:rFonts w:ascii="Times New Roman" w:hAnsi="Times New Roman" w:cs="Times New Roman"/>
                <w:color w:val="000000"/>
                <w:sz w:val="22"/>
              </w:rPr>
            </w:pPr>
            <w:r w:rsidRPr="000C5C3D">
              <w:rPr>
                <w:rFonts w:ascii="Times New Roman" w:hAnsi="Times New Roman" w:cs="Times New Roman"/>
                <w:color w:val="000000"/>
                <w:sz w:val="22"/>
              </w:rPr>
              <w:t xml:space="preserve">Subject 3: </w:t>
            </w:r>
          </w:p>
          <w:p w14:paraId="689C7936" w14:textId="77777777" w:rsidR="00392CB9" w:rsidRPr="000C5C3D" w:rsidRDefault="00392CB9" w:rsidP="00392CB9">
            <w:pPr>
              <w:ind w:firstLine="0"/>
              <w:jc w:val="center"/>
              <w:rPr>
                <w:rFonts w:ascii="Times New Roman" w:hAnsi="Times New Roman" w:cs="Times New Roman"/>
                <w:sz w:val="22"/>
                <w:szCs w:val="20"/>
              </w:rPr>
            </w:pPr>
            <w:r w:rsidRPr="000C5C3D">
              <w:rPr>
                <w:rFonts w:ascii="Times New Roman" w:hAnsi="Times New Roman" w:cs="Times New Roman"/>
                <w:color w:val="000000"/>
                <w:sz w:val="22"/>
              </w:rPr>
              <w:t>Returns and readmissions</w:t>
            </w:r>
          </w:p>
        </w:tc>
        <w:tc>
          <w:tcPr>
            <w:tcW w:w="5386" w:type="dxa"/>
            <w:tcBorders>
              <w:left w:val="single" w:sz="4" w:space="0" w:color="auto"/>
            </w:tcBorders>
            <w:shd w:val="clear" w:color="auto" w:fill="F2F2F2" w:themeFill="background1" w:themeFillShade="F2"/>
            <w:vAlign w:val="center"/>
          </w:tcPr>
          <w:p w14:paraId="55E304CD" w14:textId="77777777" w:rsidR="00392CB9" w:rsidRPr="000C5C3D" w:rsidRDefault="00392CB9" w:rsidP="00392CB9">
            <w:pPr>
              <w:ind w:firstLine="0"/>
              <w:jc w:val="center"/>
              <w:rPr>
                <w:rFonts w:ascii="Times New Roman" w:hAnsi="Times New Roman" w:cs="Times New Roman"/>
                <w:color w:val="000000"/>
                <w:sz w:val="22"/>
              </w:rPr>
            </w:pPr>
            <w:r w:rsidRPr="000C5C3D">
              <w:rPr>
                <w:rFonts w:ascii="Times New Roman" w:hAnsi="Times New Roman" w:cs="Times New Roman"/>
                <w:color w:val="000000"/>
                <w:sz w:val="22"/>
              </w:rPr>
              <w:t>Presence or absence of provisions concerning cooperation on returns and readmissions of nationals and third-country nationals to SNCs</w:t>
            </w:r>
          </w:p>
        </w:tc>
      </w:tr>
      <w:tr w:rsidR="00392CB9" w:rsidRPr="000C5C3D" w14:paraId="5D7C9526" w14:textId="77777777" w:rsidTr="00392CB9">
        <w:trPr>
          <w:trHeight w:val="325"/>
        </w:trPr>
        <w:tc>
          <w:tcPr>
            <w:tcW w:w="993" w:type="dxa"/>
            <w:tcBorders>
              <w:right w:val="single" w:sz="4" w:space="0" w:color="auto"/>
            </w:tcBorders>
            <w:shd w:val="clear" w:color="auto" w:fill="D5DCE4" w:themeFill="text2" w:themeFillTint="33"/>
            <w:vAlign w:val="center"/>
          </w:tcPr>
          <w:p w14:paraId="78D06574" w14:textId="77777777" w:rsidR="00392CB9" w:rsidRPr="000C5C3D" w:rsidRDefault="00392CB9" w:rsidP="00392CB9">
            <w:pPr>
              <w:ind w:firstLine="0"/>
              <w:jc w:val="center"/>
              <w:rPr>
                <w:rFonts w:ascii="Times New Roman" w:hAnsi="Times New Roman" w:cs="Times New Roman"/>
                <w:b/>
                <w:bCs/>
                <w:sz w:val="22"/>
                <w:szCs w:val="20"/>
              </w:rPr>
            </w:pPr>
            <w:r w:rsidRPr="000C5C3D">
              <w:rPr>
                <w:rFonts w:ascii="Times New Roman" w:hAnsi="Times New Roman" w:cs="Times New Roman"/>
                <w:b/>
                <w:bCs/>
                <w:sz w:val="22"/>
                <w:szCs w:val="20"/>
              </w:rPr>
              <w:t>S4</w:t>
            </w:r>
          </w:p>
        </w:tc>
        <w:tc>
          <w:tcPr>
            <w:tcW w:w="2126" w:type="dxa"/>
            <w:tcBorders>
              <w:left w:val="single" w:sz="4" w:space="0" w:color="auto"/>
            </w:tcBorders>
            <w:shd w:val="clear" w:color="auto" w:fill="D5DCE4" w:themeFill="text2" w:themeFillTint="33"/>
            <w:vAlign w:val="center"/>
          </w:tcPr>
          <w:p w14:paraId="6DD10601" w14:textId="77777777" w:rsidR="00392CB9" w:rsidRPr="000C5C3D" w:rsidRDefault="00392CB9" w:rsidP="00392CB9">
            <w:pPr>
              <w:ind w:firstLine="0"/>
              <w:jc w:val="center"/>
              <w:rPr>
                <w:rFonts w:ascii="Times New Roman" w:hAnsi="Times New Roman" w:cs="Times New Roman"/>
                <w:color w:val="000000"/>
                <w:sz w:val="22"/>
              </w:rPr>
            </w:pPr>
            <w:r w:rsidRPr="000C5C3D">
              <w:rPr>
                <w:rFonts w:ascii="Times New Roman" w:hAnsi="Times New Roman" w:cs="Times New Roman"/>
                <w:color w:val="000000"/>
                <w:sz w:val="22"/>
              </w:rPr>
              <w:t xml:space="preserve">Subject 4: </w:t>
            </w:r>
          </w:p>
          <w:p w14:paraId="06E04B47" w14:textId="77777777" w:rsidR="00392CB9" w:rsidRPr="000C5C3D" w:rsidRDefault="00392CB9" w:rsidP="00392CB9">
            <w:pPr>
              <w:ind w:firstLine="0"/>
              <w:jc w:val="center"/>
              <w:rPr>
                <w:rFonts w:ascii="Times New Roman" w:hAnsi="Times New Roman" w:cs="Times New Roman"/>
                <w:sz w:val="22"/>
                <w:szCs w:val="20"/>
              </w:rPr>
            </w:pPr>
            <w:r w:rsidRPr="000C5C3D">
              <w:rPr>
                <w:rFonts w:ascii="Times New Roman" w:hAnsi="Times New Roman" w:cs="Times New Roman"/>
                <w:color w:val="000000"/>
                <w:sz w:val="22"/>
              </w:rPr>
              <w:t>Prevention of irregular migration</w:t>
            </w:r>
          </w:p>
        </w:tc>
        <w:tc>
          <w:tcPr>
            <w:tcW w:w="5386" w:type="dxa"/>
            <w:tcBorders>
              <w:left w:val="single" w:sz="4" w:space="0" w:color="auto"/>
            </w:tcBorders>
            <w:shd w:val="clear" w:color="auto" w:fill="D5DCE4" w:themeFill="text2" w:themeFillTint="33"/>
            <w:vAlign w:val="center"/>
          </w:tcPr>
          <w:p w14:paraId="65B4A075" w14:textId="77777777" w:rsidR="00392CB9" w:rsidRPr="000C5C3D" w:rsidRDefault="00392CB9" w:rsidP="00392CB9">
            <w:pPr>
              <w:ind w:firstLine="0"/>
              <w:jc w:val="center"/>
              <w:rPr>
                <w:rFonts w:ascii="Times New Roman" w:hAnsi="Times New Roman" w:cs="Times New Roman"/>
                <w:color w:val="000000"/>
                <w:sz w:val="22"/>
              </w:rPr>
            </w:pPr>
            <w:r w:rsidRPr="000C5C3D">
              <w:rPr>
                <w:rFonts w:ascii="Times New Roman" w:hAnsi="Times New Roman" w:cs="Times New Roman"/>
                <w:color w:val="000000"/>
                <w:sz w:val="22"/>
              </w:rPr>
              <w:t>Presence or absence of provisions concerning cooperation on the prevention of illegal/irregular migration, including police cooperation, border control, identification of migrants and information exchange</w:t>
            </w:r>
          </w:p>
        </w:tc>
      </w:tr>
      <w:tr w:rsidR="00392CB9" w:rsidRPr="000C5C3D" w14:paraId="456CD9FD" w14:textId="77777777" w:rsidTr="00392CB9">
        <w:trPr>
          <w:trHeight w:val="325"/>
        </w:trPr>
        <w:tc>
          <w:tcPr>
            <w:tcW w:w="993" w:type="dxa"/>
            <w:tcBorders>
              <w:right w:val="single" w:sz="4" w:space="0" w:color="auto"/>
            </w:tcBorders>
            <w:shd w:val="clear" w:color="auto" w:fill="F2F2F2" w:themeFill="background1" w:themeFillShade="F2"/>
            <w:vAlign w:val="center"/>
          </w:tcPr>
          <w:p w14:paraId="0F72BB2F" w14:textId="77777777" w:rsidR="00392CB9" w:rsidRPr="000C5C3D" w:rsidRDefault="00392CB9" w:rsidP="00392CB9">
            <w:pPr>
              <w:ind w:firstLine="0"/>
              <w:jc w:val="center"/>
              <w:rPr>
                <w:rFonts w:ascii="Times New Roman" w:hAnsi="Times New Roman" w:cs="Times New Roman"/>
                <w:b/>
                <w:bCs/>
                <w:sz w:val="22"/>
                <w:szCs w:val="20"/>
              </w:rPr>
            </w:pPr>
            <w:r w:rsidRPr="000C5C3D">
              <w:rPr>
                <w:rFonts w:ascii="Times New Roman" w:hAnsi="Times New Roman" w:cs="Times New Roman"/>
                <w:b/>
                <w:bCs/>
                <w:sz w:val="22"/>
                <w:szCs w:val="20"/>
              </w:rPr>
              <w:t>S5</w:t>
            </w:r>
          </w:p>
        </w:tc>
        <w:tc>
          <w:tcPr>
            <w:tcW w:w="2126" w:type="dxa"/>
            <w:tcBorders>
              <w:left w:val="single" w:sz="4" w:space="0" w:color="auto"/>
            </w:tcBorders>
            <w:shd w:val="clear" w:color="auto" w:fill="F2F2F2" w:themeFill="background1" w:themeFillShade="F2"/>
            <w:vAlign w:val="center"/>
          </w:tcPr>
          <w:p w14:paraId="3F83AE86" w14:textId="77777777" w:rsidR="00392CB9" w:rsidRPr="000C5C3D" w:rsidRDefault="00392CB9" w:rsidP="00392CB9">
            <w:pPr>
              <w:ind w:firstLine="0"/>
              <w:jc w:val="center"/>
              <w:rPr>
                <w:rFonts w:ascii="Times New Roman" w:hAnsi="Times New Roman" w:cs="Times New Roman"/>
                <w:color w:val="000000"/>
                <w:sz w:val="22"/>
              </w:rPr>
            </w:pPr>
            <w:r w:rsidRPr="000C5C3D">
              <w:rPr>
                <w:rFonts w:ascii="Times New Roman" w:hAnsi="Times New Roman" w:cs="Times New Roman"/>
                <w:color w:val="000000"/>
                <w:sz w:val="22"/>
              </w:rPr>
              <w:t>Subject 5:</w:t>
            </w:r>
          </w:p>
          <w:p w14:paraId="39CB2A37" w14:textId="77777777" w:rsidR="00392CB9" w:rsidRPr="000C5C3D" w:rsidRDefault="00392CB9" w:rsidP="00392CB9">
            <w:pPr>
              <w:ind w:firstLine="0"/>
              <w:jc w:val="center"/>
              <w:rPr>
                <w:rFonts w:ascii="Times New Roman" w:hAnsi="Times New Roman" w:cs="Times New Roman"/>
                <w:sz w:val="22"/>
                <w:szCs w:val="20"/>
              </w:rPr>
            </w:pPr>
            <w:r w:rsidRPr="000C5C3D">
              <w:rPr>
                <w:rFonts w:ascii="Times New Roman" w:hAnsi="Times New Roman" w:cs="Times New Roman"/>
                <w:color w:val="000000"/>
                <w:sz w:val="22"/>
              </w:rPr>
              <w:t>Fight against THB and organised crime</w:t>
            </w:r>
          </w:p>
        </w:tc>
        <w:tc>
          <w:tcPr>
            <w:tcW w:w="5386" w:type="dxa"/>
            <w:tcBorders>
              <w:left w:val="single" w:sz="4" w:space="0" w:color="auto"/>
            </w:tcBorders>
            <w:shd w:val="clear" w:color="auto" w:fill="F2F2F2" w:themeFill="background1" w:themeFillShade="F2"/>
            <w:vAlign w:val="center"/>
          </w:tcPr>
          <w:p w14:paraId="421F4A29" w14:textId="77777777" w:rsidR="00392CB9" w:rsidRPr="000C5C3D" w:rsidRDefault="00392CB9" w:rsidP="00392CB9">
            <w:pPr>
              <w:ind w:firstLine="0"/>
              <w:jc w:val="center"/>
              <w:rPr>
                <w:rFonts w:ascii="Times New Roman" w:hAnsi="Times New Roman" w:cs="Times New Roman"/>
                <w:color w:val="000000"/>
                <w:sz w:val="22"/>
              </w:rPr>
            </w:pPr>
            <w:r w:rsidRPr="000C5C3D">
              <w:rPr>
                <w:rFonts w:ascii="Times New Roman" w:hAnsi="Times New Roman" w:cs="Times New Roman"/>
                <w:color w:val="000000"/>
                <w:sz w:val="22"/>
              </w:rPr>
              <w:t>Presence or absence of provisions concerning cooperation on the fight against trafficking of human beings (THB), smuggling and organised crime linked to irregular migration</w:t>
            </w:r>
          </w:p>
        </w:tc>
      </w:tr>
      <w:tr w:rsidR="00392CB9" w:rsidRPr="000C5C3D" w14:paraId="0E4CF75E" w14:textId="77777777" w:rsidTr="00392CB9">
        <w:trPr>
          <w:trHeight w:val="325"/>
        </w:trPr>
        <w:tc>
          <w:tcPr>
            <w:tcW w:w="993" w:type="dxa"/>
            <w:tcBorders>
              <w:bottom w:val="single" w:sz="4" w:space="0" w:color="auto"/>
              <w:right w:val="single" w:sz="4" w:space="0" w:color="auto"/>
            </w:tcBorders>
            <w:shd w:val="clear" w:color="auto" w:fill="D5DCE4" w:themeFill="text2" w:themeFillTint="33"/>
            <w:vAlign w:val="center"/>
          </w:tcPr>
          <w:p w14:paraId="7BF3A99B" w14:textId="77777777" w:rsidR="00392CB9" w:rsidRPr="000C5C3D" w:rsidRDefault="00392CB9" w:rsidP="00392CB9">
            <w:pPr>
              <w:ind w:firstLine="0"/>
              <w:jc w:val="center"/>
              <w:rPr>
                <w:rFonts w:ascii="Times New Roman" w:hAnsi="Times New Roman" w:cs="Times New Roman"/>
                <w:b/>
                <w:bCs/>
                <w:sz w:val="22"/>
                <w:szCs w:val="20"/>
              </w:rPr>
            </w:pPr>
            <w:r w:rsidRPr="000C5C3D">
              <w:rPr>
                <w:rFonts w:ascii="Times New Roman" w:hAnsi="Times New Roman" w:cs="Times New Roman"/>
                <w:b/>
                <w:bCs/>
                <w:sz w:val="22"/>
                <w:szCs w:val="20"/>
              </w:rPr>
              <w:t>S6</w:t>
            </w:r>
          </w:p>
        </w:tc>
        <w:tc>
          <w:tcPr>
            <w:tcW w:w="2126" w:type="dxa"/>
            <w:tcBorders>
              <w:left w:val="single" w:sz="4" w:space="0" w:color="auto"/>
              <w:bottom w:val="single" w:sz="4" w:space="0" w:color="auto"/>
            </w:tcBorders>
            <w:shd w:val="clear" w:color="auto" w:fill="D5DCE4" w:themeFill="text2" w:themeFillTint="33"/>
            <w:vAlign w:val="center"/>
          </w:tcPr>
          <w:p w14:paraId="4DBE9253" w14:textId="77777777" w:rsidR="00392CB9" w:rsidRPr="000C5C3D" w:rsidRDefault="00392CB9" w:rsidP="00392CB9">
            <w:pPr>
              <w:ind w:firstLine="0"/>
              <w:jc w:val="center"/>
              <w:rPr>
                <w:rFonts w:ascii="Times New Roman" w:hAnsi="Times New Roman" w:cs="Times New Roman"/>
                <w:sz w:val="22"/>
                <w:szCs w:val="20"/>
              </w:rPr>
            </w:pPr>
            <w:r w:rsidRPr="000C5C3D">
              <w:rPr>
                <w:rFonts w:ascii="Times New Roman" w:hAnsi="Times New Roman" w:cs="Times New Roman"/>
                <w:sz w:val="22"/>
                <w:szCs w:val="20"/>
              </w:rPr>
              <w:t>Subject 6:</w:t>
            </w:r>
          </w:p>
          <w:p w14:paraId="23004D1A" w14:textId="77777777" w:rsidR="00392CB9" w:rsidRPr="000C5C3D" w:rsidRDefault="00392CB9" w:rsidP="00392CB9">
            <w:pPr>
              <w:ind w:firstLine="0"/>
              <w:jc w:val="center"/>
              <w:rPr>
                <w:rFonts w:ascii="Times New Roman" w:hAnsi="Times New Roman" w:cs="Times New Roman"/>
                <w:sz w:val="22"/>
                <w:szCs w:val="20"/>
              </w:rPr>
            </w:pPr>
            <w:r w:rsidRPr="000C5C3D">
              <w:rPr>
                <w:rFonts w:ascii="Times New Roman" w:hAnsi="Times New Roman" w:cs="Times New Roman"/>
                <w:sz w:val="22"/>
                <w:szCs w:val="20"/>
              </w:rPr>
              <w:t>Development cooperation</w:t>
            </w:r>
          </w:p>
        </w:tc>
        <w:tc>
          <w:tcPr>
            <w:tcW w:w="5386" w:type="dxa"/>
            <w:tcBorders>
              <w:left w:val="single" w:sz="4" w:space="0" w:color="auto"/>
              <w:bottom w:val="single" w:sz="4" w:space="0" w:color="auto"/>
            </w:tcBorders>
            <w:shd w:val="clear" w:color="auto" w:fill="D5DCE4" w:themeFill="text2" w:themeFillTint="33"/>
            <w:vAlign w:val="center"/>
          </w:tcPr>
          <w:p w14:paraId="5D9A94D7" w14:textId="77777777" w:rsidR="00392CB9" w:rsidRPr="000C5C3D" w:rsidRDefault="00392CB9" w:rsidP="00392CB9">
            <w:pPr>
              <w:ind w:firstLine="0"/>
              <w:jc w:val="center"/>
              <w:rPr>
                <w:rFonts w:ascii="Times New Roman" w:hAnsi="Times New Roman" w:cs="Times New Roman"/>
                <w:sz w:val="22"/>
                <w:szCs w:val="20"/>
              </w:rPr>
            </w:pPr>
            <w:r w:rsidRPr="000C5C3D">
              <w:rPr>
                <w:rFonts w:ascii="Times New Roman" w:hAnsi="Times New Roman" w:cs="Times New Roman"/>
                <w:color w:val="000000"/>
                <w:sz w:val="22"/>
              </w:rPr>
              <w:t>Presence or absence of provisions concerning socio-economic development in relation to MAP</w:t>
            </w:r>
            <w:r w:rsidRPr="000C5C3D">
              <w:rPr>
                <w:rStyle w:val="Rimandonotaapidipagina"/>
                <w:rFonts w:ascii="Times New Roman" w:hAnsi="Times New Roman" w:cs="Times New Roman"/>
                <w:b/>
                <w:bCs/>
                <w:color w:val="000000"/>
                <w:sz w:val="22"/>
              </w:rPr>
              <w:footnoteReference w:id="4"/>
            </w:r>
          </w:p>
        </w:tc>
      </w:tr>
    </w:tbl>
    <w:p w14:paraId="69BAB0A1" w14:textId="1D701B72" w:rsidR="004A1F67" w:rsidRPr="0002635F" w:rsidRDefault="004A1F67" w:rsidP="0002635F">
      <w:pPr>
        <w:ind w:firstLine="0"/>
      </w:pPr>
    </w:p>
    <w:sectPr w:rsidR="004A1F67" w:rsidRPr="000263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8A651" w14:textId="77777777" w:rsidR="00C72B61" w:rsidRDefault="00C72B61" w:rsidP="00E4384A">
      <w:pPr>
        <w:spacing w:after="0" w:line="240" w:lineRule="auto"/>
      </w:pPr>
      <w:r>
        <w:separator/>
      </w:r>
    </w:p>
  </w:endnote>
  <w:endnote w:type="continuationSeparator" w:id="0">
    <w:p w14:paraId="5301627B" w14:textId="77777777" w:rsidR="00C72B61" w:rsidRDefault="00C72B61" w:rsidP="00E43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3282F" w14:textId="77777777" w:rsidR="00C72B61" w:rsidRDefault="00C72B61" w:rsidP="00E4384A">
      <w:pPr>
        <w:spacing w:after="0" w:line="240" w:lineRule="auto"/>
      </w:pPr>
      <w:r>
        <w:separator/>
      </w:r>
    </w:p>
  </w:footnote>
  <w:footnote w:type="continuationSeparator" w:id="0">
    <w:p w14:paraId="795FF36E" w14:textId="77777777" w:rsidR="00C72B61" w:rsidRDefault="00C72B61" w:rsidP="00E4384A">
      <w:pPr>
        <w:spacing w:after="0" w:line="240" w:lineRule="auto"/>
      </w:pPr>
      <w:r>
        <w:continuationSeparator/>
      </w:r>
    </w:p>
  </w:footnote>
  <w:footnote w:id="1">
    <w:p w14:paraId="2316A698" w14:textId="5CED1CD9" w:rsidR="00E150B8" w:rsidRDefault="00E150B8" w:rsidP="00E97920">
      <w:pPr>
        <w:pStyle w:val="Testonotaapidipagina"/>
        <w:ind w:firstLine="0"/>
      </w:pPr>
      <w:r>
        <w:rPr>
          <w:rStyle w:val="Rimandonotaapidipagina"/>
        </w:rPr>
        <w:footnoteRef/>
      </w:r>
      <w:r>
        <w:t xml:space="preserve"> For words that could be present in different forms, the Text Search and </w:t>
      </w:r>
      <w:proofErr w:type="spellStart"/>
      <w:r>
        <w:t>Autocode</w:t>
      </w:r>
      <w:proofErr w:type="spellEnd"/>
      <w:r>
        <w:t xml:space="preserve"> tool allowed for including asterisks (*) as to include the different suffixes (e.g., ‘</w:t>
      </w:r>
      <w:proofErr w:type="spellStart"/>
      <w:r>
        <w:t>vulnerab</w:t>
      </w:r>
      <w:proofErr w:type="spellEnd"/>
      <w:r>
        <w:t>*’ search gives as results both occurrences of ‘vulnerable’ and ‘vulnerability’ in the texts).</w:t>
      </w:r>
    </w:p>
  </w:footnote>
  <w:footnote w:id="2">
    <w:p w14:paraId="30042962" w14:textId="6C9D1A65" w:rsidR="009F47F9" w:rsidRPr="009F47F9" w:rsidRDefault="009F47F9" w:rsidP="009F47F9">
      <w:pPr>
        <w:pStyle w:val="Testonotaapidipagina"/>
        <w:ind w:firstLine="0"/>
      </w:pPr>
      <w:r>
        <w:rPr>
          <w:rStyle w:val="Rimandonotaapidipagina"/>
        </w:rPr>
        <w:footnoteRef/>
      </w:r>
      <w:r>
        <w:t xml:space="preserve"> In some cases, multiple documents (e.g., political declaration and action plans) were considered as referring to a same agreement, while in other circumstances, such as in the case of RDPP, in the absence of a specific document it was necessary to consult multiple sources, which were coded separately but considered and </w:t>
      </w:r>
      <w:proofErr w:type="spellStart"/>
      <w:r>
        <w:t>analyzed</w:t>
      </w:r>
      <w:proofErr w:type="spellEnd"/>
      <w:r>
        <w:t xml:space="preserve"> as part of a single policy tool. Multiple documents referring to a specific agreement or policy tool are thus listed in the form ‘DOC</w:t>
      </w:r>
      <w:r w:rsidR="0075242D">
        <w:t>15</w:t>
      </w:r>
      <w:r>
        <w:t>.1’, ‘DOC</w:t>
      </w:r>
      <w:r w:rsidR="0075242D">
        <w:t>15</w:t>
      </w:r>
      <w:r>
        <w:t>.2’, and so on.</w:t>
      </w:r>
    </w:p>
  </w:footnote>
  <w:footnote w:id="3">
    <w:p w14:paraId="168614D6" w14:textId="349B3F24" w:rsidR="004A1F67" w:rsidRDefault="004A1F67" w:rsidP="004A1F67">
      <w:pPr>
        <w:pStyle w:val="Testonotaapidipagina"/>
        <w:ind w:firstLine="0"/>
      </w:pPr>
      <w:r>
        <w:rPr>
          <w:rStyle w:val="Rimandonotaapidipagina"/>
        </w:rPr>
        <w:footnoteRef/>
      </w:r>
      <w:r>
        <w:t xml:space="preserve"> In the case of the documents adopted at the Valletta Summit in 2015</w:t>
      </w:r>
      <w:r w:rsidR="0075242D">
        <w:t xml:space="preserve"> </w:t>
      </w:r>
      <w:r w:rsidR="0075242D">
        <w:t>(DOC19.1, DOC19.2)</w:t>
      </w:r>
      <w:r>
        <w:t>, there was not a single legal framework, since it involved partner countries participating in overlapping regional dialogues as well as the JAES/MME. Hence, it has been registered as ‘NA’ in the data file.</w:t>
      </w:r>
    </w:p>
  </w:footnote>
  <w:footnote w:id="4">
    <w:p w14:paraId="39BA7CE8" w14:textId="4C946A23" w:rsidR="00392CB9" w:rsidRDefault="00392CB9" w:rsidP="00392CB9">
      <w:pPr>
        <w:pStyle w:val="Testonotaapidipagina"/>
        <w:ind w:firstLine="0"/>
      </w:pPr>
      <w:r>
        <w:rPr>
          <w:rStyle w:val="Rimandonotaapidipagina"/>
        </w:rPr>
        <w:footnoteRef/>
      </w:r>
      <w:r>
        <w:t xml:space="preserve"> In this regard, the authors did not consider general references to development cooperation in the analysed policy documents, but just those references establishing a clear link between development and migration, either in terms of development-related causes of migratory movements or the developmental impact of migration.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hideSpellingErrors/>
  <w:hideGrammaticalErrors/>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1A4"/>
    <w:rsid w:val="0002635F"/>
    <w:rsid w:val="00030D9E"/>
    <w:rsid w:val="00041FEE"/>
    <w:rsid w:val="000C5C3D"/>
    <w:rsid w:val="001259AF"/>
    <w:rsid w:val="001813D6"/>
    <w:rsid w:val="001C3E4D"/>
    <w:rsid w:val="001D7BD6"/>
    <w:rsid w:val="002B2ADF"/>
    <w:rsid w:val="002E5583"/>
    <w:rsid w:val="002F6549"/>
    <w:rsid w:val="00331414"/>
    <w:rsid w:val="00380067"/>
    <w:rsid w:val="00392CB9"/>
    <w:rsid w:val="003D06EE"/>
    <w:rsid w:val="004A1F67"/>
    <w:rsid w:val="004C7D0E"/>
    <w:rsid w:val="004E269B"/>
    <w:rsid w:val="00506F51"/>
    <w:rsid w:val="00540063"/>
    <w:rsid w:val="005620EB"/>
    <w:rsid w:val="005D5259"/>
    <w:rsid w:val="0061259F"/>
    <w:rsid w:val="006D1708"/>
    <w:rsid w:val="006D5CB2"/>
    <w:rsid w:val="006E0704"/>
    <w:rsid w:val="0075242D"/>
    <w:rsid w:val="007817DC"/>
    <w:rsid w:val="007A6B4B"/>
    <w:rsid w:val="007B073E"/>
    <w:rsid w:val="007F6A09"/>
    <w:rsid w:val="007F7CEF"/>
    <w:rsid w:val="008B0FB8"/>
    <w:rsid w:val="008C6F7E"/>
    <w:rsid w:val="00997544"/>
    <w:rsid w:val="009C75FA"/>
    <w:rsid w:val="009F47F9"/>
    <w:rsid w:val="00AD59F7"/>
    <w:rsid w:val="00AF4FFE"/>
    <w:rsid w:val="00B14179"/>
    <w:rsid w:val="00BC658E"/>
    <w:rsid w:val="00BD1AB6"/>
    <w:rsid w:val="00BD2680"/>
    <w:rsid w:val="00BF4839"/>
    <w:rsid w:val="00C301A4"/>
    <w:rsid w:val="00C41D50"/>
    <w:rsid w:val="00C71906"/>
    <w:rsid w:val="00C72B61"/>
    <w:rsid w:val="00C95CBA"/>
    <w:rsid w:val="00DA1D0E"/>
    <w:rsid w:val="00E150B8"/>
    <w:rsid w:val="00E24321"/>
    <w:rsid w:val="00E4384A"/>
    <w:rsid w:val="00E63465"/>
    <w:rsid w:val="00E85792"/>
    <w:rsid w:val="00E97920"/>
    <w:rsid w:val="00FC4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CF7B9"/>
  <w15:chartTrackingRefBased/>
  <w15:docId w15:val="{05C77D98-6F99-4F40-B22A-A12B5B93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50B8"/>
    <w:pPr>
      <w:spacing w:after="120"/>
      <w:ind w:firstLine="284"/>
      <w:contextualSpacing/>
      <w:jc w:val="both"/>
    </w:pPr>
    <w:rPr>
      <w:rFonts w:ascii="Times" w:hAnsi="Times"/>
      <w:sz w:val="24"/>
    </w:rPr>
  </w:style>
  <w:style w:type="paragraph" w:styleId="Titolo1">
    <w:name w:val="heading 1"/>
    <w:basedOn w:val="Normale"/>
    <w:next w:val="Normale"/>
    <w:link w:val="Titolo1Carattere"/>
    <w:uiPriority w:val="9"/>
    <w:qFormat/>
    <w:rsid w:val="00AF4FFE"/>
    <w:pPr>
      <w:keepNext/>
      <w:keepLines/>
      <w:spacing w:before="240" w:after="360"/>
      <w:ind w:left="284"/>
      <w:outlineLvl w:val="0"/>
    </w:pPr>
    <w:rPr>
      <w:rFonts w:eastAsiaTheme="majorEastAsia" w:cstheme="majorBidi"/>
      <w:sz w:val="32"/>
      <w:szCs w:val="32"/>
    </w:rPr>
  </w:style>
  <w:style w:type="paragraph" w:styleId="Titolo2">
    <w:name w:val="heading 2"/>
    <w:basedOn w:val="Normale"/>
    <w:next w:val="Normale"/>
    <w:link w:val="Titolo2Carattere"/>
    <w:uiPriority w:val="9"/>
    <w:unhideWhenUsed/>
    <w:qFormat/>
    <w:rsid w:val="001813D6"/>
    <w:pPr>
      <w:keepNext/>
      <w:keepLines/>
      <w:spacing w:before="240"/>
      <w:outlineLvl w:val="1"/>
    </w:pPr>
    <w:rPr>
      <w:rFonts w:eastAsiaTheme="majorEastAsia" w:cstheme="majorBidi"/>
      <w:b/>
      <w:szCs w:val="26"/>
    </w:rPr>
  </w:style>
  <w:style w:type="paragraph" w:styleId="Titolo3">
    <w:name w:val="heading 3"/>
    <w:basedOn w:val="Normale"/>
    <w:next w:val="Normale"/>
    <w:link w:val="Titolo3Carattere"/>
    <w:uiPriority w:val="9"/>
    <w:unhideWhenUsed/>
    <w:qFormat/>
    <w:rsid w:val="001C3E4D"/>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f01">
    <w:name w:val="cf01"/>
    <w:basedOn w:val="Carpredefinitoparagrafo"/>
    <w:rsid w:val="0061259F"/>
    <w:rPr>
      <w:rFonts w:ascii="Segoe UI" w:hAnsi="Segoe UI" w:cs="Segoe UI" w:hint="default"/>
      <w:sz w:val="18"/>
      <w:szCs w:val="18"/>
    </w:rPr>
  </w:style>
  <w:style w:type="character" w:customStyle="1" w:styleId="Titolo1Carattere">
    <w:name w:val="Titolo 1 Carattere"/>
    <w:basedOn w:val="Carpredefinitoparagrafo"/>
    <w:link w:val="Titolo1"/>
    <w:uiPriority w:val="9"/>
    <w:rsid w:val="00AF4FFE"/>
    <w:rPr>
      <w:rFonts w:ascii="Times" w:eastAsiaTheme="majorEastAsia" w:hAnsi="Times" w:cstheme="majorBidi"/>
      <w:sz w:val="32"/>
      <w:szCs w:val="32"/>
    </w:rPr>
  </w:style>
  <w:style w:type="character" w:customStyle="1" w:styleId="Titolo2Carattere">
    <w:name w:val="Titolo 2 Carattere"/>
    <w:basedOn w:val="Carpredefinitoparagrafo"/>
    <w:link w:val="Titolo2"/>
    <w:uiPriority w:val="9"/>
    <w:rsid w:val="001813D6"/>
    <w:rPr>
      <w:rFonts w:ascii="Times" w:eastAsiaTheme="majorEastAsia" w:hAnsi="Times" w:cstheme="majorBidi"/>
      <w:b/>
      <w:sz w:val="24"/>
      <w:szCs w:val="26"/>
    </w:rPr>
  </w:style>
  <w:style w:type="character" w:customStyle="1" w:styleId="Titolo3Carattere">
    <w:name w:val="Titolo 3 Carattere"/>
    <w:basedOn w:val="Carpredefinitoparagrafo"/>
    <w:link w:val="Titolo3"/>
    <w:uiPriority w:val="9"/>
    <w:rsid w:val="001C3E4D"/>
    <w:rPr>
      <w:rFonts w:asciiTheme="majorHAnsi" w:eastAsiaTheme="majorEastAsia" w:hAnsiTheme="majorHAnsi" w:cstheme="majorBidi"/>
      <w:color w:val="1F3763" w:themeColor="accent1" w:themeShade="7F"/>
      <w:sz w:val="24"/>
      <w:szCs w:val="24"/>
    </w:rPr>
  </w:style>
  <w:style w:type="paragraph" w:styleId="Titolosommario">
    <w:name w:val="TOC Heading"/>
    <w:basedOn w:val="Titolo1"/>
    <w:next w:val="Normale"/>
    <w:uiPriority w:val="39"/>
    <w:unhideWhenUsed/>
    <w:qFormat/>
    <w:rsid w:val="001C3E4D"/>
    <w:pPr>
      <w:spacing w:after="0"/>
      <w:outlineLvl w:val="9"/>
    </w:pPr>
    <w:rPr>
      <w:rFonts w:asciiTheme="majorHAnsi" w:hAnsiTheme="majorHAnsi"/>
      <w:color w:val="2F5496" w:themeColor="accent1" w:themeShade="BF"/>
      <w:kern w:val="0"/>
      <w:lang w:val="en-US"/>
      <w14:ligatures w14:val="none"/>
    </w:rPr>
  </w:style>
  <w:style w:type="paragraph" w:styleId="Sommario1">
    <w:name w:val="toc 1"/>
    <w:basedOn w:val="Normale"/>
    <w:next w:val="Normale"/>
    <w:autoRedefine/>
    <w:uiPriority w:val="39"/>
    <w:unhideWhenUsed/>
    <w:rsid w:val="001C3E4D"/>
    <w:pPr>
      <w:spacing w:after="100"/>
    </w:pPr>
  </w:style>
  <w:style w:type="paragraph" w:styleId="Sommario2">
    <w:name w:val="toc 2"/>
    <w:basedOn w:val="Normale"/>
    <w:next w:val="Normale"/>
    <w:autoRedefine/>
    <w:uiPriority w:val="39"/>
    <w:unhideWhenUsed/>
    <w:rsid w:val="001C3E4D"/>
    <w:pPr>
      <w:spacing w:after="100"/>
      <w:ind w:left="220"/>
    </w:pPr>
  </w:style>
  <w:style w:type="character" w:styleId="Collegamentoipertestuale">
    <w:name w:val="Hyperlink"/>
    <w:basedOn w:val="Carpredefinitoparagrafo"/>
    <w:uiPriority w:val="99"/>
    <w:unhideWhenUsed/>
    <w:rsid w:val="001C3E4D"/>
    <w:rPr>
      <w:color w:val="0563C1" w:themeColor="hyperlink"/>
      <w:u w:val="single"/>
    </w:rPr>
  </w:style>
  <w:style w:type="table" w:styleId="Grigliatabella">
    <w:name w:val="Table Grid"/>
    <w:basedOn w:val="Tabellanormale"/>
    <w:uiPriority w:val="39"/>
    <w:rsid w:val="003D0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1813D6"/>
    <w:rPr>
      <w:color w:val="605E5C"/>
      <w:shd w:val="clear" w:color="auto" w:fill="E1DFDD"/>
    </w:rPr>
  </w:style>
  <w:style w:type="paragraph" w:styleId="Testonotaapidipagina">
    <w:name w:val="footnote text"/>
    <w:basedOn w:val="Normale"/>
    <w:link w:val="TestonotaapidipaginaCarattere"/>
    <w:uiPriority w:val="99"/>
    <w:unhideWhenUsed/>
    <w:rsid w:val="00E4384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E4384A"/>
    <w:rPr>
      <w:rFonts w:ascii="Times" w:hAnsi="Times"/>
      <w:sz w:val="20"/>
      <w:szCs w:val="20"/>
    </w:rPr>
  </w:style>
  <w:style w:type="character" w:styleId="Rimandonotaapidipagina">
    <w:name w:val="footnote reference"/>
    <w:basedOn w:val="Carpredefinitoparagrafo"/>
    <w:uiPriority w:val="99"/>
    <w:semiHidden/>
    <w:unhideWhenUsed/>
    <w:rsid w:val="00E438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uwerlawonline.com/journalarticle/European+Foreign+Affairs+Review/27.4/EERR2022032" TargetMode="External"/><Relationship Id="rId3" Type="http://schemas.openxmlformats.org/officeDocument/2006/relationships/settings" Target="settings.xml"/><Relationship Id="rId7" Type="http://schemas.openxmlformats.org/officeDocument/2006/relationships/hyperlink" Target="https://www.maxqd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2AD82-9AAA-457D-85EC-C64D4A1B9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1672</Words>
  <Characters>9535</Characters>
  <Application>Microsoft Office Word</Application>
  <DocSecurity>0</DocSecurity>
  <Lines>79</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CANNATA</dc:creator>
  <cp:keywords/>
  <dc:description/>
  <cp:lastModifiedBy>Microsoft Office User</cp:lastModifiedBy>
  <cp:revision>8</cp:revision>
  <dcterms:created xsi:type="dcterms:W3CDTF">2023-03-21T07:05:00Z</dcterms:created>
  <dcterms:modified xsi:type="dcterms:W3CDTF">2023-03-21T17:10:00Z</dcterms:modified>
</cp:coreProperties>
</file>