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83B05" w14:textId="77777777" w:rsidR="00CB321E" w:rsidRPr="005543A5" w:rsidRDefault="00223250" w:rsidP="007F128F">
      <w:pPr>
        <w:spacing w:line="360" w:lineRule="auto"/>
        <w:contextualSpacing/>
        <w:jc w:val="both"/>
        <w:rPr>
          <w:rFonts w:ascii="Garamond" w:hAnsi="Garamond" w:cstheme="minorHAnsi"/>
          <w:b/>
          <w:color w:val="000000" w:themeColor="text1"/>
          <w:lang w:val="en-US"/>
        </w:rPr>
      </w:pPr>
      <w:r w:rsidRPr="005543A5">
        <w:rPr>
          <w:rFonts w:ascii="Garamond" w:hAnsi="Garamond" w:cstheme="minorHAnsi"/>
          <w:b/>
          <w:color w:val="000000" w:themeColor="text1"/>
          <w:lang w:val="en-US"/>
        </w:rPr>
        <w:t>APPENDIX</w:t>
      </w:r>
      <w:r w:rsidR="00CB321E" w:rsidRPr="005543A5">
        <w:rPr>
          <w:rFonts w:ascii="Garamond" w:hAnsi="Garamond" w:cstheme="minorHAnsi"/>
          <w:b/>
          <w:color w:val="000000" w:themeColor="text1"/>
          <w:lang w:val="en-US"/>
        </w:rPr>
        <w:t xml:space="preserve"> - Oblique-change Matters. ‘</w:t>
      </w:r>
      <w:proofErr w:type="spellStart"/>
      <w:r w:rsidR="00CB321E" w:rsidRPr="005543A5">
        <w:rPr>
          <w:rFonts w:ascii="Garamond" w:hAnsi="Garamond" w:cstheme="minorHAnsi"/>
          <w:b/>
          <w:color w:val="000000" w:themeColor="text1"/>
          <w:lang w:val="en-US"/>
        </w:rPr>
        <w:t>Bradyseismic</w:t>
      </w:r>
      <w:proofErr w:type="spellEnd"/>
      <w:r w:rsidR="00CB321E" w:rsidRPr="005543A5">
        <w:rPr>
          <w:rFonts w:ascii="Garamond" w:hAnsi="Garamond" w:cstheme="minorHAnsi"/>
          <w:b/>
          <w:color w:val="000000" w:themeColor="text1"/>
          <w:lang w:val="en-US"/>
        </w:rPr>
        <w:t xml:space="preserve">’ Institutional Change in Local Government </w:t>
      </w:r>
    </w:p>
    <w:p w14:paraId="49499E6C" w14:textId="5DED32EA" w:rsidR="004704A6" w:rsidRPr="005543A5" w:rsidRDefault="00A3435B" w:rsidP="007F128F">
      <w:pPr>
        <w:jc w:val="both"/>
        <w:rPr>
          <w:rFonts w:ascii="Garamond" w:hAnsi="Garamond"/>
          <w:color w:val="000000" w:themeColor="text1"/>
          <w:sz w:val="18"/>
          <w:szCs w:val="18"/>
          <w:lang w:val="en-US"/>
        </w:rPr>
      </w:pPr>
    </w:p>
    <w:p w14:paraId="602899C3" w14:textId="109FC2E2" w:rsidR="00941BF4" w:rsidRPr="005543A5" w:rsidRDefault="00941BF4" w:rsidP="007F128F">
      <w:pPr>
        <w:jc w:val="both"/>
        <w:rPr>
          <w:rFonts w:ascii="Garamond" w:hAnsi="Garamond"/>
          <w:color w:val="000000" w:themeColor="text1"/>
          <w:sz w:val="18"/>
          <w:szCs w:val="18"/>
          <w:lang w:val="en-US"/>
        </w:rPr>
      </w:pPr>
    </w:p>
    <w:p w14:paraId="6A75C478" w14:textId="7A271A8E" w:rsidR="001110BD" w:rsidRPr="005543A5" w:rsidRDefault="00CB321E" w:rsidP="007F128F">
      <w:pPr>
        <w:jc w:val="both"/>
        <w:rPr>
          <w:rFonts w:ascii="Garamond" w:hAnsi="Garamond" w:cstheme="minorHAnsi"/>
          <w:bCs/>
          <w:color w:val="000000" w:themeColor="text1"/>
          <w:lang w:val="en-US"/>
        </w:rPr>
      </w:pPr>
      <w:r w:rsidRPr="005543A5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Tables A1 and A2 list in details the main provisions taken into account to assess the </w:t>
      </w:r>
      <w:r w:rsidR="00AF1152" w:rsidRPr="005543A5">
        <w:rPr>
          <w:rFonts w:ascii="Garamond" w:hAnsi="Garamond"/>
          <w:color w:val="000000" w:themeColor="text1"/>
          <w:sz w:val="22"/>
          <w:szCs w:val="22"/>
          <w:lang w:val="en-US"/>
        </w:rPr>
        <w:t>LG institutional change in the two periods</w:t>
      </w:r>
      <w:r w:rsidR="001110BD" w:rsidRPr="005543A5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 (Before- and After-2012) around our turning point. </w:t>
      </w:r>
      <w:r w:rsidR="00CE6DC6" w:rsidRPr="005543A5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Among the total 74 provisions selected, </w:t>
      </w:r>
      <w:r w:rsidR="001110BD" w:rsidRPr="005543A5">
        <w:rPr>
          <w:rFonts w:ascii="Garamond" w:hAnsi="Garamond"/>
          <w:color w:val="000000" w:themeColor="text1"/>
          <w:sz w:val="22"/>
          <w:szCs w:val="22"/>
          <w:lang w:val="en-US"/>
        </w:rPr>
        <w:t>national laws and legislative decrees</w:t>
      </w:r>
      <w:r w:rsidR="00CE6DC6" w:rsidRPr="005543A5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 are almost the entirety. </w:t>
      </w:r>
      <w:r w:rsidR="007A43C1" w:rsidRPr="005543A5">
        <w:rPr>
          <w:rFonts w:ascii="Garamond" w:hAnsi="Garamond"/>
          <w:color w:val="000000" w:themeColor="text1"/>
          <w:sz w:val="22"/>
          <w:szCs w:val="22"/>
          <w:lang w:val="en-US"/>
        </w:rPr>
        <w:t>We are aware that t</w:t>
      </w:r>
      <w:r w:rsidR="00CE6DC6" w:rsidRPr="005543A5">
        <w:rPr>
          <w:rFonts w:ascii="Garamond" w:hAnsi="Garamond"/>
          <w:color w:val="000000" w:themeColor="text1"/>
          <w:sz w:val="22"/>
          <w:szCs w:val="22"/>
          <w:lang w:val="en-US"/>
        </w:rPr>
        <w:t>he legal production</w:t>
      </w:r>
      <w:r w:rsidR="007A43C1" w:rsidRPr="005543A5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 provided </w:t>
      </w:r>
      <w:r w:rsidR="00CE6DC6" w:rsidRPr="005543A5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is not exhaustive. The choice to </w:t>
      </w:r>
      <w:r w:rsidR="007A43C1" w:rsidRPr="005543A5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select only the main relevant provisions (and certain types of them) among the many possible </w:t>
      </w:r>
      <w:r w:rsidR="00CE6DC6" w:rsidRPr="005543A5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was </w:t>
      </w:r>
      <w:r w:rsidR="007A43C1" w:rsidRPr="005543A5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however </w:t>
      </w:r>
      <w:r w:rsidR="00CE6DC6" w:rsidRPr="005543A5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deliberate. </w:t>
      </w:r>
      <w:r w:rsidR="007F128F" w:rsidRPr="005543A5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First, because </w:t>
      </w:r>
      <w:r w:rsidR="00CE6DC6" w:rsidRPr="005543A5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Court judgements, Ministerial directives, organizational decrees that often affect LG </w:t>
      </w:r>
      <w:r w:rsidR="007F128F" w:rsidRPr="005543A5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- mainly as oblique-provisions - </w:t>
      </w:r>
      <w:r w:rsidR="00CE6DC6" w:rsidRPr="005543A5">
        <w:rPr>
          <w:rFonts w:ascii="Garamond" w:hAnsi="Garamond"/>
          <w:color w:val="000000" w:themeColor="text1"/>
          <w:sz w:val="22"/>
          <w:szCs w:val="22"/>
          <w:lang w:val="en-US"/>
        </w:rPr>
        <w:t>are too many</w:t>
      </w:r>
      <w:r w:rsidR="007A43C1" w:rsidRPr="005543A5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 </w:t>
      </w:r>
      <w:r w:rsidR="007F128F" w:rsidRPr="005543A5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and </w:t>
      </w:r>
      <w:r w:rsidR="007A43C1" w:rsidRPr="005543A5">
        <w:rPr>
          <w:rFonts w:ascii="Garamond" w:hAnsi="Garamond"/>
          <w:color w:val="000000" w:themeColor="text1"/>
          <w:sz w:val="22"/>
          <w:szCs w:val="22"/>
          <w:lang w:val="en-US"/>
        </w:rPr>
        <w:t>risk</w:t>
      </w:r>
      <w:r w:rsidR="007F128F" w:rsidRPr="005543A5">
        <w:rPr>
          <w:rFonts w:ascii="Garamond" w:hAnsi="Garamond"/>
          <w:color w:val="000000" w:themeColor="text1"/>
          <w:sz w:val="22"/>
          <w:szCs w:val="22"/>
          <w:lang w:val="en-US"/>
        </w:rPr>
        <w:t>, if listed and discussed,</w:t>
      </w:r>
      <w:r w:rsidR="007A43C1" w:rsidRPr="005543A5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 to blur the overall picture.</w:t>
      </w:r>
      <w:r w:rsidR="00CE6DC6" w:rsidRPr="005543A5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 </w:t>
      </w:r>
      <w:r w:rsidR="007F128F" w:rsidRPr="005543A5">
        <w:rPr>
          <w:rFonts w:ascii="Garamond" w:hAnsi="Garamond"/>
          <w:color w:val="000000" w:themeColor="text1"/>
          <w:sz w:val="22"/>
          <w:szCs w:val="22"/>
          <w:lang w:val="en-US"/>
        </w:rPr>
        <w:t>Second because this following-provisions</w:t>
      </w:r>
      <w:r w:rsidR="007A43C1" w:rsidRPr="005543A5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 </w:t>
      </w:r>
      <w:r w:rsidR="00CE6DC6" w:rsidRPr="005543A5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are </w:t>
      </w:r>
      <w:r w:rsidR="007F128F" w:rsidRPr="005543A5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anyway </w:t>
      </w:r>
      <w:r w:rsidR="00CE6DC6" w:rsidRPr="005543A5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triggered by </w:t>
      </w:r>
      <w:r w:rsidR="007F128F" w:rsidRPr="005543A5">
        <w:rPr>
          <w:rFonts w:ascii="Garamond" w:hAnsi="Garamond"/>
          <w:color w:val="000000" w:themeColor="text1"/>
          <w:sz w:val="22"/>
          <w:szCs w:val="22"/>
          <w:lang w:val="en-US"/>
        </w:rPr>
        <w:t>the main provisions listed: each reported record has in fact produced a number of consequent regulations, sentences or directives.</w:t>
      </w:r>
    </w:p>
    <w:p w14:paraId="55D16381" w14:textId="1217D00C" w:rsidR="00CB321E" w:rsidRPr="005543A5" w:rsidRDefault="00CB321E" w:rsidP="007F128F">
      <w:pPr>
        <w:pStyle w:val="Testocommento"/>
        <w:jc w:val="both"/>
        <w:rPr>
          <w:rFonts w:ascii="Garamond" w:hAnsi="Garamond"/>
          <w:noProof/>
          <w:color w:val="000000" w:themeColor="text1"/>
          <w:sz w:val="22"/>
          <w:szCs w:val="22"/>
          <w:lang w:val="en-US"/>
        </w:rPr>
      </w:pPr>
    </w:p>
    <w:p w14:paraId="13D09D8B" w14:textId="77777777" w:rsidR="00CB321E" w:rsidRPr="005543A5" w:rsidRDefault="00CB321E" w:rsidP="007F128F">
      <w:pPr>
        <w:jc w:val="both"/>
        <w:rPr>
          <w:rFonts w:ascii="Garamond" w:hAnsi="Garamond"/>
          <w:color w:val="000000" w:themeColor="text1"/>
          <w:sz w:val="18"/>
          <w:szCs w:val="18"/>
          <w:lang w:val="en-US"/>
        </w:rPr>
      </w:pPr>
    </w:p>
    <w:p w14:paraId="0BA40F39" w14:textId="62071493" w:rsidR="00223250" w:rsidRPr="005543A5" w:rsidRDefault="00941BF4" w:rsidP="007F128F">
      <w:pPr>
        <w:jc w:val="both"/>
        <w:rPr>
          <w:rFonts w:ascii="Garamond" w:hAnsi="Garamond"/>
          <w:color w:val="000000" w:themeColor="text1"/>
          <w:sz w:val="18"/>
          <w:szCs w:val="18"/>
          <w:lang w:val="en-US"/>
        </w:rPr>
      </w:pPr>
      <w:r w:rsidRPr="005543A5">
        <w:rPr>
          <w:rFonts w:ascii="Garamond" w:hAnsi="Garamond"/>
          <w:color w:val="000000" w:themeColor="text1"/>
          <w:sz w:val="18"/>
          <w:szCs w:val="18"/>
          <w:lang w:val="en-US"/>
        </w:rPr>
        <w:t xml:space="preserve">Table A1. </w:t>
      </w:r>
      <w:r w:rsidR="00CB321E" w:rsidRPr="005543A5">
        <w:rPr>
          <w:rFonts w:ascii="Garamond" w:hAnsi="Garamond"/>
          <w:color w:val="000000" w:themeColor="text1"/>
          <w:sz w:val="18"/>
          <w:szCs w:val="18"/>
          <w:lang w:val="en-US"/>
        </w:rPr>
        <w:t xml:space="preserve">List of selected provisions for the </w:t>
      </w:r>
      <w:r w:rsidR="00AF1152" w:rsidRPr="005543A5">
        <w:rPr>
          <w:rFonts w:ascii="Garamond" w:hAnsi="Garamond"/>
          <w:color w:val="000000" w:themeColor="text1"/>
          <w:sz w:val="18"/>
          <w:szCs w:val="18"/>
          <w:lang w:val="en-US"/>
        </w:rPr>
        <w:t>B</w:t>
      </w:r>
      <w:r w:rsidR="00CB321E" w:rsidRPr="005543A5">
        <w:rPr>
          <w:rFonts w:ascii="Garamond" w:hAnsi="Garamond"/>
          <w:color w:val="000000" w:themeColor="text1"/>
          <w:sz w:val="18"/>
          <w:szCs w:val="18"/>
          <w:lang w:val="en-US"/>
        </w:rPr>
        <w:t>efore-2012 period. Main content and normative reference.</w:t>
      </w:r>
    </w:p>
    <w:p w14:paraId="001644E8" w14:textId="77777777" w:rsidR="00941BF4" w:rsidRPr="005543A5" w:rsidRDefault="00941BF4" w:rsidP="007F128F">
      <w:pPr>
        <w:jc w:val="both"/>
        <w:rPr>
          <w:rFonts w:ascii="Garamond" w:hAnsi="Garamond"/>
          <w:color w:val="000000" w:themeColor="text1"/>
          <w:sz w:val="18"/>
          <w:szCs w:val="18"/>
          <w:lang w:val="en-US"/>
        </w:rPr>
      </w:pPr>
    </w:p>
    <w:tbl>
      <w:tblPr>
        <w:tblStyle w:val="Grigliatabella"/>
        <w:tblW w:w="10490" w:type="dxa"/>
        <w:tblInd w:w="-465" w:type="dxa"/>
        <w:tblLook w:val="04A0" w:firstRow="1" w:lastRow="0" w:firstColumn="1" w:lastColumn="0" w:noHBand="0" w:noVBand="1"/>
      </w:tblPr>
      <w:tblGrid>
        <w:gridCol w:w="6384"/>
        <w:gridCol w:w="4106"/>
      </w:tblGrid>
      <w:tr w:rsidR="005543A5" w:rsidRPr="005543A5" w14:paraId="127C042C" w14:textId="77777777" w:rsidTr="00BF428E">
        <w:tc>
          <w:tcPr>
            <w:tcW w:w="6384" w:type="dxa"/>
            <w:vAlign w:val="center"/>
          </w:tcPr>
          <w:p w14:paraId="2FE8B3A8" w14:textId="56D419D9" w:rsidR="00974954" w:rsidRPr="005543A5" w:rsidRDefault="0012058A" w:rsidP="007F128F">
            <w:pPr>
              <w:pStyle w:val="Default"/>
              <w:ind w:left="176" w:hanging="246"/>
              <w:jc w:val="both"/>
              <w:rPr>
                <w:rFonts w:ascii="Garamond" w:hAnsi="Garamond" w:cs="Times New Roman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="Times New Roman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Content of </w:t>
            </w:r>
            <w:r w:rsidR="00974954" w:rsidRPr="005543A5">
              <w:rPr>
                <w:rFonts w:ascii="Garamond" w:hAnsi="Garamond" w:cs="Times New Roman"/>
                <w:i/>
                <w:iCs/>
                <w:color w:val="000000" w:themeColor="text1"/>
                <w:sz w:val="18"/>
                <w:szCs w:val="18"/>
                <w:lang w:val="en-US"/>
              </w:rPr>
              <w:t>Provisions</w:t>
            </w:r>
            <w:r w:rsidRPr="005543A5">
              <w:rPr>
                <w:rFonts w:ascii="Garamond" w:hAnsi="Garamond" w:cs="Times New Roman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106" w:type="dxa"/>
          </w:tcPr>
          <w:p w14:paraId="0D41057B" w14:textId="1F376F38" w:rsidR="00974954" w:rsidRPr="005543A5" w:rsidRDefault="0012058A" w:rsidP="007F128F">
            <w:pPr>
              <w:pStyle w:val="Default"/>
              <w:jc w:val="both"/>
              <w:rPr>
                <w:rFonts w:ascii="Garamond" w:hAnsi="Garamond" w:cs="Times New Roman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="Times New Roman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Normative Reference </w:t>
            </w:r>
          </w:p>
        </w:tc>
      </w:tr>
      <w:tr w:rsidR="005543A5" w:rsidRPr="005543A5" w14:paraId="528B1C50" w14:textId="77777777" w:rsidTr="00BF428E">
        <w:tc>
          <w:tcPr>
            <w:tcW w:w="6384" w:type="dxa"/>
            <w:vAlign w:val="center"/>
          </w:tcPr>
          <w:p w14:paraId="64AED581" w14:textId="2241A0A3" w:rsidR="00C659CB" w:rsidRPr="005543A5" w:rsidRDefault="00C659CB" w:rsidP="007F128F">
            <w:pPr>
              <w:pStyle w:val="Paragrafoelenco"/>
              <w:numPr>
                <w:ilvl w:val="0"/>
                <w:numId w:val="1"/>
              </w:numPr>
              <w:ind w:left="176" w:hanging="246"/>
              <w:jc w:val="both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Ban for political parties’ share in local health system managing boards (1992)</w:t>
            </w:r>
          </w:p>
          <w:p w14:paraId="623981B9" w14:textId="763CF6AA" w:rsidR="00CE1C0B" w:rsidRPr="005543A5" w:rsidRDefault="00974954" w:rsidP="007F128F">
            <w:pPr>
              <w:pStyle w:val="Paragrafoelenco"/>
              <w:numPr>
                <w:ilvl w:val="0"/>
                <w:numId w:val="1"/>
              </w:numPr>
              <w:ind w:left="176" w:hanging="246"/>
              <w:jc w:val="both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 xml:space="preserve">Increased regional governance autonomy (2001-2003) </w:t>
            </w:r>
          </w:p>
        </w:tc>
        <w:tc>
          <w:tcPr>
            <w:tcW w:w="4106" w:type="dxa"/>
          </w:tcPr>
          <w:p w14:paraId="4208597E" w14:textId="555E152F" w:rsidR="00C659CB" w:rsidRPr="005543A5" w:rsidRDefault="00C659CB" w:rsidP="007F128F">
            <w:pPr>
              <w:jc w:val="both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Dlgs</w:t>
            </w:r>
            <w:proofErr w:type="spellEnd"/>
            <w:r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 xml:space="preserve"> 502/1992</w:t>
            </w:r>
          </w:p>
          <w:p w14:paraId="53327A4F" w14:textId="155F80D2" w:rsidR="00CE1C0B" w:rsidRPr="005543A5" w:rsidRDefault="008F3AF4" w:rsidP="007F128F">
            <w:pPr>
              <w:jc w:val="both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Constitutional reform L</w:t>
            </w:r>
            <w:r w:rsidR="00592469"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.</w:t>
            </w:r>
            <w:r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3/2001, L</w:t>
            </w:r>
            <w:r w:rsidR="00592469"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.</w:t>
            </w:r>
            <w:r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131/2003</w:t>
            </w:r>
          </w:p>
        </w:tc>
      </w:tr>
      <w:tr w:rsidR="005543A5" w:rsidRPr="005543A5" w14:paraId="6B208E93" w14:textId="77777777" w:rsidTr="00BF428E">
        <w:tc>
          <w:tcPr>
            <w:tcW w:w="6384" w:type="dxa"/>
            <w:vAlign w:val="center"/>
          </w:tcPr>
          <w:p w14:paraId="61B893A5" w14:textId="5B50419E" w:rsidR="00C659CB" w:rsidRPr="005543A5" w:rsidRDefault="00C659CB" w:rsidP="007F128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246"/>
              <w:jc w:val="both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Stability pact on balance budget extended to regions and municipalities (1999)</w:t>
            </w:r>
          </w:p>
          <w:p w14:paraId="3DCA0D51" w14:textId="59425B62" w:rsidR="00974954" w:rsidRPr="005543A5" w:rsidRDefault="00974954" w:rsidP="007F128F">
            <w:pPr>
              <w:pStyle w:val="Default"/>
              <w:numPr>
                <w:ilvl w:val="0"/>
                <w:numId w:val="1"/>
              </w:numPr>
              <w:ind w:left="176" w:hanging="246"/>
              <w:jc w:val="both"/>
              <w:rPr>
                <w:rFonts w:ascii="Garamond" w:hAnsi="Garamond" w:cs="Times New Roman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="Times New Roman"/>
                <w:color w:val="000000" w:themeColor="text1"/>
                <w:sz w:val="18"/>
                <w:szCs w:val="18"/>
                <w:lang w:val="en-US"/>
              </w:rPr>
              <w:t>Increased fiscal and expenditure autonomy (2001-2003)</w:t>
            </w:r>
          </w:p>
          <w:p w14:paraId="04743703" w14:textId="0AF6FBF3" w:rsidR="00D9637B" w:rsidRPr="005543A5" w:rsidRDefault="00974954" w:rsidP="007F128F">
            <w:pPr>
              <w:pStyle w:val="Paragrafoelenco"/>
              <w:numPr>
                <w:ilvl w:val="0"/>
                <w:numId w:val="1"/>
              </w:numPr>
              <w:ind w:left="176" w:hanging="246"/>
              <w:jc w:val="both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Shared financial autonomy (both transfers and self-financing) (2001-2003)</w:t>
            </w:r>
          </w:p>
          <w:p w14:paraId="0B29DE0D" w14:textId="122A670C" w:rsidR="00BF16B8" w:rsidRPr="005543A5" w:rsidRDefault="00BF16B8" w:rsidP="007F128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246"/>
              <w:jc w:val="both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Ban for LG to borrow by financial derivatives (2006-2007)</w:t>
            </w:r>
          </w:p>
        </w:tc>
        <w:tc>
          <w:tcPr>
            <w:tcW w:w="4106" w:type="dxa"/>
          </w:tcPr>
          <w:p w14:paraId="36B5AB6D" w14:textId="6E8EDEA8" w:rsidR="00C659CB" w:rsidRPr="005543A5" w:rsidRDefault="00C659CB" w:rsidP="007F128F">
            <w:pPr>
              <w:pStyle w:val="Default"/>
              <w:jc w:val="both"/>
              <w:rPr>
                <w:rFonts w:ascii="Garamond" w:hAnsi="Garamond" w:cs="Arial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5543A5">
              <w:rPr>
                <w:rFonts w:ascii="Garamond" w:hAnsi="Garamond" w:cs="Arial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L.448/1998 (Annual budget law for 1999)</w:t>
            </w:r>
          </w:p>
          <w:p w14:paraId="361191C6" w14:textId="5889BA1C" w:rsidR="00974954" w:rsidRPr="005543A5" w:rsidRDefault="008F3AF4" w:rsidP="007F128F">
            <w:pPr>
              <w:pStyle w:val="Default"/>
              <w:jc w:val="both"/>
              <w:rPr>
                <w:rFonts w:ascii="Garamond" w:hAnsi="Garamond" w:cs="Times New Roman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="Times New Roman"/>
                <w:color w:val="000000" w:themeColor="text1"/>
                <w:sz w:val="18"/>
                <w:szCs w:val="18"/>
                <w:lang w:val="en-US"/>
              </w:rPr>
              <w:t>Constitutional reform</w:t>
            </w:r>
            <w:r w:rsidR="00835087" w:rsidRPr="005543A5">
              <w:rPr>
                <w:rFonts w:ascii="Garamond" w:hAnsi="Garamond" w:cs="Times New Roman"/>
                <w:color w:val="000000" w:themeColor="text1"/>
                <w:sz w:val="18"/>
                <w:szCs w:val="18"/>
                <w:lang w:val="en-US"/>
              </w:rPr>
              <w:t>;</w:t>
            </w:r>
            <w:r w:rsidRPr="005543A5">
              <w:rPr>
                <w:rFonts w:ascii="Garamond" w:hAnsi="Garamond" w:cs="Times New Roman"/>
                <w:color w:val="000000" w:themeColor="text1"/>
                <w:sz w:val="18"/>
                <w:szCs w:val="18"/>
                <w:lang w:val="en-US"/>
              </w:rPr>
              <w:t xml:space="preserve"> L</w:t>
            </w:r>
            <w:r w:rsidR="00592469" w:rsidRPr="005543A5">
              <w:rPr>
                <w:rFonts w:ascii="Garamond" w:hAnsi="Garamond" w:cs="Times New Roman"/>
                <w:color w:val="000000" w:themeColor="text1"/>
                <w:sz w:val="18"/>
                <w:szCs w:val="18"/>
                <w:lang w:val="en-US"/>
              </w:rPr>
              <w:t>.</w:t>
            </w:r>
            <w:r w:rsidRPr="005543A5">
              <w:rPr>
                <w:rFonts w:ascii="Garamond" w:hAnsi="Garamond" w:cs="Times New Roman"/>
                <w:color w:val="000000" w:themeColor="text1"/>
                <w:sz w:val="18"/>
                <w:szCs w:val="18"/>
                <w:lang w:val="en-US"/>
              </w:rPr>
              <w:t>131/2003</w:t>
            </w:r>
          </w:p>
          <w:p w14:paraId="5B3ACA44" w14:textId="49DA5CCD" w:rsidR="008F3AF4" w:rsidRPr="005543A5" w:rsidRDefault="00A136E3" w:rsidP="007F128F">
            <w:pPr>
              <w:pStyle w:val="Default"/>
              <w:jc w:val="both"/>
              <w:rPr>
                <w:rFonts w:ascii="Garamond" w:hAnsi="Garamond" w:cs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5543A5">
              <w:rPr>
                <w:rFonts w:ascii="Garamond" w:hAnsi="Garamond" w:cs="Times New Roman"/>
                <w:color w:val="000000" w:themeColor="text1"/>
                <w:sz w:val="18"/>
                <w:szCs w:val="18"/>
                <w:lang w:val="en-US"/>
              </w:rPr>
              <w:t>D</w:t>
            </w:r>
            <w:r w:rsidR="00D9637B" w:rsidRPr="005543A5">
              <w:rPr>
                <w:rFonts w:ascii="Garamond" w:hAnsi="Garamond" w:cs="Times New Roman"/>
                <w:color w:val="000000" w:themeColor="text1"/>
                <w:sz w:val="18"/>
                <w:szCs w:val="18"/>
                <w:lang w:val="en-US"/>
              </w:rPr>
              <w:t>lgs</w:t>
            </w:r>
            <w:proofErr w:type="spellEnd"/>
            <w:r w:rsidR="00D9637B" w:rsidRPr="005543A5">
              <w:rPr>
                <w:rFonts w:ascii="Garamond" w:hAnsi="Garamond" w:cs="Times New Roman"/>
                <w:color w:val="000000" w:themeColor="text1"/>
                <w:sz w:val="18"/>
                <w:szCs w:val="18"/>
                <w:lang w:val="en-US"/>
              </w:rPr>
              <w:t xml:space="preserve"> 59/1997 </w:t>
            </w:r>
            <w:r w:rsidRPr="005543A5">
              <w:rPr>
                <w:rFonts w:ascii="Garamond" w:hAnsi="Garamond" w:cs="Times New Roman"/>
                <w:color w:val="000000" w:themeColor="text1"/>
                <w:sz w:val="18"/>
                <w:szCs w:val="18"/>
                <w:lang w:val="en-US"/>
              </w:rPr>
              <w:t xml:space="preserve">Administrative Federalism </w:t>
            </w:r>
            <w:r w:rsidR="00592469" w:rsidRPr="005543A5">
              <w:rPr>
                <w:rFonts w:ascii="Garamond" w:hAnsi="Garamond" w:cs="Times New Roman"/>
                <w:color w:val="000000" w:themeColor="text1"/>
                <w:sz w:val="18"/>
                <w:szCs w:val="18"/>
                <w:lang w:val="en-US"/>
              </w:rPr>
              <w:t>(</w:t>
            </w:r>
            <w:proofErr w:type="spellStart"/>
            <w:r w:rsidR="00D9637B" w:rsidRPr="005543A5">
              <w:rPr>
                <w:rFonts w:ascii="Garamond" w:hAnsi="Garamond" w:cs="Times New Roman"/>
                <w:color w:val="000000" w:themeColor="text1"/>
                <w:sz w:val="18"/>
                <w:szCs w:val="18"/>
                <w:lang w:val="en-US"/>
              </w:rPr>
              <w:t>Bassanini</w:t>
            </w:r>
            <w:proofErr w:type="spellEnd"/>
            <w:r w:rsidR="00D9637B" w:rsidRPr="005543A5">
              <w:rPr>
                <w:rFonts w:ascii="Garamond" w:hAnsi="Garamond" w:cs="Times New Roman"/>
                <w:color w:val="000000" w:themeColor="text1"/>
                <w:sz w:val="18"/>
                <w:szCs w:val="18"/>
                <w:lang w:val="en-US"/>
              </w:rPr>
              <w:t xml:space="preserve"> I</w:t>
            </w:r>
            <w:r w:rsidR="00592469" w:rsidRPr="005543A5">
              <w:rPr>
                <w:rFonts w:ascii="Garamond" w:hAnsi="Garamond" w:cs="Times New Roman"/>
                <w:color w:val="000000" w:themeColor="text1"/>
                <w:sz w:val="18"/>
                <w:szCs w:val="18"/>
                <w:lang w:val="en-US"/>
              </w:rPr>
              <w:t>)</w:t>
            </w:r>
          </w:p>
          <w:p w14:paraId="60384E4B" w14:textId="6D7AAF4D" w:rsidR="00BF16B8" w:rsidRPr="005543A5" w:rsidRDefault="00BF16B8" w:rsidP="007F128F">
            <w:pPr>
              <w:pStyle w:val="Default"/>
              <w:jc w:val="both"/>
              <w:rPr>
                <w:rFonts w:ascii="Garamond" w:hAnsi="Garamond" w:cs="Times New Roman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="Calibri"/>
                <w:color w:val="000000" w:themeColor="text1"/>
                <w:sz w:val="18"/>
                <w:szCs w:val="18"/>
                <w:lang w:val="en-US"/>
              </w:rPr>
              <w:t>L.296/2006; L.24/2007</w:t>
            </w:r>
          </w:p>
        </w:tc>
      </w:tr>
      <w:tr w:rsidR="005543A5" w:rsidRPr="005543A5" w14:paraId="766D7789" w14:textId="77777777" w:rsidTr="00BF428E">
        <w:tc>
          <w:tcPr>
            <w:tcW w:w="6384" w:type="dxa"/>
            <w:vAlign w:val="center"/>
          </w:tcPr>
          <w:p w14:paraId="5B0A9CDB" w14:textId="77777777" w:rsidR="00974954" w:rsidRPr="005543A5" w:rsidRDefault="00974954" w:rsidP="007F128F">
            <w:pPr>
              <w:pStyle w:val="Default"/>
              <w:numPr>
                <w:ilvl w:val="0"/>
                <w:numId w:val="1"/>
              </w:numPr>
              <w:ind w:left="176" w:hanging="246"/>
              <w:jc w:val="both"/>
              <w:rPr>
                <w:rFonts w:ascii="Garamond" w:hAnsi="Garamond" w:cs="Times New Roman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="Times New Roman"/>
                <w:color w:val="000000" w:themeColor="text1"/>
                <w:sz w:val="18"/>
                <w:szCs w:val="18"/>
                <w:lang w:val="en-US"/>
              </w:rPr>
              <w:t>Direct election of mayors, provinces’ president (1993), and regional presidents (1999)</w:t>
            </w:r>
          </w:p>
        </w:tc>
        <w:tc>
          <w:tcPr>
            <w:tcW w:w="4106" w:type="dxa"/>
          </w:tcPr>
          <w:p w14:paraId="41305659" w14:textId="0D82C473" w:rsidR="008F3AF4" w:rsidRPr="005543A5" w:rsidRDefault="008F3AF4" w:rsidP="007F128F">
            <w:pPr>
              <w:pStyle w:val="Default"/>
              <w:jc w:val="both"/>
              <w:rPr>
                <w:rFonts w:ascii="Garamond" w:hAnsi="Garamond" w:cs="Times New Roman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="Times New Roman"/>
                <w:color w:val="000000" w:themeColor="text1"/>
                <w:sz w:val="18"/>
                <w:szCs w:val="18"/>
                <w:lang w:val="en-US"/>
              </w:rPr>
              <w:t>L.81/1993</w:t>
            </w:r>
            <w:r w:rsidR="00BB062A" w:rsidRPr="005543A5">
              <w:rPr>
                <w:rFonts w:ascii="Garamond" w:hAnsi="Garamond" w:cs="Times New Roman"/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r w:rsidRPr="005543A5">
              <w:rPr>
                <w:rFonts w:ascii="Garamond" w:hAnsi="Garamond" w:cs="Times New Roman"/>
                <w:color w:val="000000" w:themeColor="text1"/>
                <w:sz w:val="18"/>
                <w:szCs w:val="18"/>
                <w:lang w:val="en-US"/>
              </w:rPr>
              <w:t>Constitu</w:t>
            </w:r>
            <w:r w:rsidR="009F5A4D" w:rsidRPr="005543A5">
              <w:rPr>
                <w:rFonts w:ascii="Garamond" w:hAnsi="Garamond" w:cs="Times New Roman"/>
                <w:color w:val="000000" w:themeColor="text1"/>
                <w:sz w:val="18"/>
                <w:szCs w:val="18"/>
                <w:lang w:val="en-US"/>
              </w:rPr>
              <w:t>t</w:t>
            </w:r>
            <w:r w:rsidRPr="005543A5">
              <w:rPr>
                <w:rFonts w:ascii="Garamond" w:hAnsi="Garamond" w:cs="Times New Roman"/>
                <w:color w:val="000000" w:themeColor="text1"/>
                <w:sz w:val="18"/>
                <w:szCs w:val="18"/>
                <w:lang w:val="en-US"/>
              </w:rPr>
              <w:t xml:space="preserve">ional </w:t>
            </w:r>
            <w:r w:rsidR="00592469" w:rsidRPr="005543A5">
              <w:rPr>
                <w:rFonts w:ascii="Garamond" w:hAnsi="Garamond" w:cs="Times New Roman"/>
                <w:color w:val="000000" w:themeColor="text1"/>
                <w:sz w:val="18"/>
                <w:szCs w:val="18"/>
                <w:lang w:val="en-US"/>
              </w:rPr>
              <w:t>Law</w:t>
            </w:r>
            <w:r w:rsidRPr="005543A5">
              <w:rPr>
                <w:rFonts w:ascii="Garamond" w:hAnsi="Garamond" w:cs="Times New Roman"/>
                <w:color w:val="000000" w:themeColor="text1"/>
                <w:sz w:val="18"/>
                <w:szCs w:val="18"/>
                <w:lang w:val="en-US"/>
              </w:rPr>
              <w:t xml:space="preserve"> L.1/1999</w:t>
            </w:r>
          </w:p>
        </w:tc>
      </w:tr>
      <w:tr w:rsidR="005543A5" w:rsidRPr="005543A5" w14:paraId="256B599E" w14:textId="77777777" w:rsidTr="00BF428E">
        <w:tc>
          <w:tcPr>
            <w:tcW w:w="6384" w:type="dxa"/>
            <w:vAlign w:val="center"/>
          </w:tcPr>
          <w:p w14:paraId="7D4E87A2" w14:textId="77777777" w:rsidR="00974954" w:rsidRPr="005543A5" w:rsidRDefault="00974954" w:rsidP="007F128F">
            <w:pPr>
              <w:pStyle w:val="Paragrafoelenco"/>
              <w:numPr>
                <w:ilvl w:val="0"/>
                <w:numId w:val="1"/>
              </w:numPr>
              <w:ind w:left="176" w:hanging="246"/>
              <w:jc w:val="both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Concurrent law-making power on several policy areas (2001-2003)</w:t>
            </w:r>
          </w:p>
          <w:p w14:paraId="48B65640" w14:textId="1BA3799A" w:rsidR="00974954" w:rsidRPr="005543A5" w:rsidRDefault="00C525D3" w:rsidP="007F128F">
            <w:pPr>
              <w:pStyle w:val="Paragrafoelenco"/>
              <w:numPr>
                <w:ilvl w:val="0"/>
                <w:numId w:val="1"/>
              </w:numPr>
              <w:ind w:left="176" w:hanging="246"/>
              <w:jc w:val="both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Adaptation to EU rules</w:t>
            </w:r>
            <w:r w:rsidR="00974954"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 xml:space="preserve"> of Local Public Services</w:t>
            </w:r>
            <w:r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’ norms</w:t>
            </w:r>
            <w:r w:rsidR="00974954"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 xml:space="preserve"> (20</w:t>
            </w:r>
            <w:r w:rsidR="00835087"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09</w:t>
            </w:r>
            <w:r w:rsidR="00974954"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4106" w:type="dxa"/>
          </w:tcPr>
          <w:p w14:paraId="1617AD98" w14:textId="0F4152A5" w:rsidR="00974954" w:rsidRPr="005543A5" w:rsidRDefault="00592469" w:rsidP="007F128F">
            <w:pPr>
              <w:jc w:val="both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A</w:t>
            </w:r>
            <w:r w:rsidR="00974954"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boli</w:t>
            </w:r>
            <w:r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 xml:space="preserve">tion </w:t>
            </w:r>
            <w:r w:rsidR="00974954"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art.23bis L</w:t>
            </w:r>
            <w:r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.</w:t>
            </w:r>
            <w:r w:rsidR="00974954"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133/2008</w:t>
            </w:r>
            <w:r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; art</w:t>
            </w:r>
            <w:r w:rsidR="00974954"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.54 TU</w:t>
            </w:r>
            <w:r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974954"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152/2006</w:t>
            </w:r>
            <w:r w:rsidR="008F3AF4"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 xml:space="preserve">, L. </w:t>
            </w:r>
            <w:proofErr w:type="spellStart"/>
            <w:r w:rsidR="00BC178E" w:rsidRPr="005543A5">
              <w:rPr>
                <w:rFonts w:ascii="Garamond" w:hAnsi="Garamond" w:cs="Calibri"/>
                <w:color w:val="000000" w:themeColor="text1"/>
                <w:sz w:val="18"/>
                <w:szCs w:val="18"/>
                <w:lang w:val="en-US"/>
              </w:rPr>
              <w:t>Dlgs</w:t>
            </w:r>
            <w:proofErr w:type="spellEnd"/>
            <w:r w:rsidR="00BC178E" w:rsidRPr="005543A5">
              <w:rPr>
                <w:rFonts w:ascii="Garamond" w:hAnsi="Garamond" w:cs="Calibri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r w:rsidR="008F3AF4"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135/2009</w:t>
            </w:r>
          </w:p>
        </w:tc>
      </w:tr>
      <w:tr w:rsidR="005543A5" w:rsidRPr="005543A5" w14:paraId="563020D4" w14:textId="77777777" w:rsidTr="00BF428E">
        <w:tc>
          <w:tcPr>
            <w:tcW w:w="6384" w:type="dxa"/>
            <w:vAlign w:val="center"/>
          </w:tcPr>
          <w:p w14:paraId="2259BB1F" w14:textId="77777777" w:rsidR="00974954" w:rsidRPr="005543A5" w:rsidRDefault="00974954" w:rsidP="007F128F">
            <w:pPr>
              <w:pStyle w:val="Paragrafoelenco"/>
              <w:numPr>
                <w:ilvl w:val="0"/>
                <w:numId w:val="1"/>
              </w:numPr>
              <w:tabs>
                <w:tab w:val="left" w:pos="176"/>
              </w:tabs>
              <w:ind w:left="176" w:hanging="246"/>
              <w:jc w:val="both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Prefectures turned into centralized territorial coordination units (UTG) (1999, 2004)</w:t>
            </w:r>
          </w:p>
          <w:p w14:paraId="47E7B3E4" w14:textId="77777777" w:rsidR="00974954" w:rsidRPr="005543A5" w:rsidRDefault="00974954" w:rsidP="007F128F">
            <w:pPr>
              <w:pStyle w:val="Paragrafoelenco"/>
              <w:numPr>
                <w:ilvl w:val="0"/>
                <w:numId w:val="1"/>
              </w:numPr>
              <w:tabs>
                <w:tab w:val="left" w:pos="176"/>
              </w:tabs>
              <w:ind w:left="176" w:hanging="246"/>
              <w:jc w:val="both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 xml:space="preserve">Permanent State-LG Conference coordinated by Prefects </w:t>
            </w:r>
            <w:r w:rsidR="008F3AF4"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(2006)</w:t>
            </w:r>
          </w:p>
          <w:p w14:paraId="676C5AFE" w14:textId="1730CBE5" w:rsidR="00BB062A" w:rsidRPr="005543A5" w:rsidRDefault="00BB062A" w:rsidP="007F128F">
            <w:pPr>
              <w:pStyle w:val="Paragrafoelenco"/>
              <w:numPr>
                <w:ilvl w:val="0"/>
                <w:numId w:val="1"/>
              </w:numPr>
              <w:tabs>
                <w:tab w:val="left" w:pos="176"/>
              </w:tabs>
              <w:ind w:left="176" w:hanging="246"/>
              <w:jc w:val="both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State/Region Landscape regulation with LG involvement</w:t>
            </w:r>
            <w:r w:rsidR="00E97FA3"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 xml:space="preserve"> (2004)</w:t>
            </w:r>
          </w:p>
        </w:tc>
        <w:tc>
          <w:tcPr>
            <w:tcW w:w="4106" w:type="dxa"/>
          </w:tcPr>
          <w:p w14:paraId="42EBAE18" w14:textId="03D84A2C" w:rsidR="00974954" w:rsidRPr="005543A5" w:rsidRDefault="00974954" w:rsidP="007F128F">
            <w:pPr>
              <w:jc w:val="both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Dlgs</w:t>
            </w:r>
            <w:proofErr w:type="spellEnd"/>
            <w:r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 xml:space="preserve"> 300/1999</w:t>
            </w:r>
            <w:r w:rsidR="00835087"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="00835087"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Dlgs</w:t>
            </w:r>
            <w:proofErr w:type="spellEnd"/>
            <w:r w:rsidR="00835087"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 xml:space="preserve"> 29/2004</w:t>
            </w:r>
          </w:p>
          <w:p w14:paraId="54444097" w14:textId="77777777" w:rsidR="00974954" w:rsidRPr="005543A5" w:rsidRDefault="00974954" w:rsidP="007F128F">
            <w:pPr>
              <w:jc w:val="both"/>
              <w:rPr>
                <w:rFonts w:ascii="Garamond" w:hAnsi="Garamond" w:cstheme="maj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DPR 180/</w:t>
            </w:r>
            <w:r w:rsidRPr="005543A5">
              <w:rPr>
                <w:rFonts w:ascii="Garamond" w:hAnsi="Garamond" w:cstheme="majorHAnsi"/>
                <w:color w:val="000000" w:themeColor="text1"/>
                <w:sz w:val="18"/>
                <w:szCs w:val="18"/>
                <w:lang w:val="en-US"/>
              </w:rPr>
              <w:t>2006</w:t>
            </w:r>
          </w:p>
          <w:p w14:paraId="3FB9CE67" w14:textId="32E1A1F1" w:rsidR="00BB062A" w:rsidRPr="005543A5" w:rsidRDefault="0047608E" w:rsidP="007F128F">
            <w:pPr>
              <w:jc w:val="both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5543A5">
              <w:rPr>
                <w:rFonts w:ascii="Garamond" w:hAnsi="Garamond" w:cstheme="majorHAnsi"/>
                <w:color w:val="000000" w:themeColor="text1"/>
                <w:sz w:val="18"/>
                <w:szCs w:val="18"/>
                <w:lang w:val="en-US"/>
              </w:rPr>
              <w:t>D</w:t>
            </w:r>
            <w:r w:rsidR="00E97FA3" w:rsidRPr="005543A5">
              <w:rPr>
                <w:rFonts w:ascii="Garamond" w:hAnsi="Garamond" w:cstheme="majorHAnsi"/>
                <w:color w:val="000000" w:themeColor="text1"/>
                <w:sz w:val="18"/>
                <w:szCs w:val="18"/>
                <w:lang w:val="en-US"/>
              </w:rPr>
              <w:t>l</w:t>
            </w:r>
            <w:r w:rsidRPr="005543A5">
              <w:rPr>
                <w:rFonts w:ascii="Garamond" w:hAnsi="Garamond" w:cstheme="majorHAnsi"/>
                <w:color w:val="000000" w:themeColor="text1"/>
                <w:sz w:val="18"/>
                <w:szCs w:val="18"/>
                <w:lang w:val="en-US"/>
              </w:rPr>
              <w:t>gs</w:t>
            </w:r>
            <w:proofErr w:type="spellEnd"/>
            <w:r w:rsidRPr="005543A5">
              <w:rPr>
                <w:rFonts w:ascii="Garamond" w:hAnsi="Garamond" w:cstheme="majorHAnsi"/>
                <w:color w:val="000000" w:themeColor="text1"/>
                <w:sz w:val="18"/>
                <w:szCs w:val="18"/>
                <w:lang w:val="en-US"/>
              </w:rPr>
              <w:t>. 42/2004</w:t>
            </w:r>
          </w:p>
        </w:tc>
      </w:tr>
      <w:tr w:rsidR="005543A5" w:rsidRPr="005543A5" w14:paraId="1F1761AB" w14:textId="77777777" w:rsidTr="00BF428E">
        <w:tc>
          <w:tcPr>
            <w:tcW w:w="6384" w:type="dxa"/>
            <w:vAlign w:val="center"/>
          </w:tcPr>
          <w:p w14:paraId="20D14B5B" w14:textId="77777777" w:rsidR="00974954" w:rsidRPr="005543A5" w:rsidRDefault="00974954" w:rsidP="007F128F">
            <w:pPr>
              <w:pStyle w:val="Paragrafoelenco"/>
              <w:numPr>
                <w:ilvl w:val="0"/>
                <w:numId w:val="1"/>
              </w:numPr>
              <w:tabs>
                <w:tab w:val="left" w:pos="176"/>
              </w:tabs>
              <w:ind w:left="176" w:hanging="246"/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Performance assessment (since 1990) </w:t>
            </w:r>
          </w:p>
        </w:tc>
        <w:tc>
          <w:tcPr>
            <w:tcW w:w="4106" w:type="dxa"/>
          </w:tcPr>
          <w:p w14:paraId="1844B66E" w14:textId="3EFA67EE" w:rsidR="00974954" w:rsidRPr="005543A5" w:rsidRDefault="00974954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L.142</w:t>
            </w:r>
            <w:r w:rsidR="00445EFD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/1990; </w:t>
            </w:r>
            <w:proofErr w:type="spellStart"/>
            <w:r w:rsidR="00D62BFE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D</w:t>
            </w:r>
            <w:r w:rsidR="008F3AF4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lgs</w:t>
            </w:r>
            <w:proofErr w:type="spellEnd"/>
            <w:r w:rsidR="008F3AF4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 286/1997; TU 267/2000</w:t>
            </w:r>
          </w:p>
        </w:tc>
      </w:tr>
      <w:tr w:rsidR="005543A5" w:rsidRPr="005543A5" w14:paraId="52AFD7C9" w14:textId="77777777" w:rsidTr="00BF428E">
        <w:tc>
          <w:tcPr>
            <w:tcW w:w="6384" w:type="dxa"/>
            <w:vAlign w:val="center"/>
          </w:tcPr>
          <w:p w14:paraId="09841B47" w14:textId="77777777" w:rsidR="00C659CB" w:rsidRPr="005543A5" w:rsidRDefault="00C659CB" w:rsidP="007F128F">
            <w:pPr>
              <w:pStyle w:val="Paragrafoelenco"/>
              <w:numPr>
                <w:ilvl w:val="0"/>
                <w:numId w:val="1"/>
              </w:numPr>
              <w:tabs>
                <w:tab w:val="left" w:pos="176"/>
              </w:tabs>
              <w:ind w:left="176" w:hanging="246"/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 xml:space="preserve">Additional rules for LG accounting and planning (2006) </w:t>
            </w:r>
          </w:p>
          <w:p w14:paraId="13927244" w14:textId="77777777" w:rsidR="008D0C72" w:rsidRPr="005543A5" w:rsidRDefault="008D0C72" w:rsidP="007F128F">
            <w:pPr>
              <w:pStyle w:val="Paragrafoelenco"/>
              <w:numPr>
                <w:ilvl w:val="0"/>
                <w:numId w:val="1"/>
              </w:numPr>
              <w:tabs>
                <w:tab w:val="left" w:pos="176"/>
              </w:tabs>
              <w:ind w:left="176" w:hanging="246"/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State property federalism (2010)</w:t>
            </w:r>
          </w:p>
          <w:p w14:paraId="7CFE987A" w14:textId="77777777" w:rsidR="00A03757" w:rsidRPr="005543A5" w:rsidRDefault="006B0A15" w:rsidP="007F128F">
            <w:pPr>
              <w:pStyle w:val="Paragrafoelenco"/>
              <w:numPr>
                <w:ilvl w:val="0"/>
                <w:numId w:val="1"/>
              </w:numPr>
              <w:tabs>
                <w:tab w:val="left" w:pos="176"/>
              </w:tabs>
              <w:ind w:left="176" w:hanging="246"/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Municipal standard costs (fiscal federalism) (2010)</w:t>
            </w:r>
          </w:p>
          <w:p w14:paraId="63D007EC" w14:textId="0C1CE7EB" w:rsidR="00A03757" w:rsidRPr="005543A5" w:rsidRDefault="00A03757" w:rsidP="007F128F">
            <w:pPr>
              <w:pStyle w:val="Paragrafoelenco"/>
              <w:numPr>
                <w:ilvl w:val="0"/>
                <w:numId w:val="1"/>
              </w:numPr>
              <w:tabs>
                <w:tab w:val="left" w:pos="176"/>
              </w:tabs>
              <w:ind w:left="176" w:hanging="246"/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 xml:space="preserve">Harmonization of LG and regional ICT-accounting systems, balance and planning (fiscal federalism) (2011) </w:t>
            </w:r>
          </w:p>
        </w:tc>
        <w:tc>
          <w:tcPr>
            <w:tcW w:w="4106" w:type="dxa"/>
          </w:tcPr>
          <w:p w14:paraId="4CA1B3FB" w14:textId="13B65785" w:rsidR="00C659CB" w:rsidRPr="005543A5" w:rsidRDefault="00C659CB" w:rsidP="007F128F">
            <w:pPr>
              <w:jc w:val="both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Dlgs</w:t>
            </w:r>
            <w:proofErr w:type="spellEnd"/>
            <w:r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 xml:space="preserve"> 170/2006</w:t>
            </w:r>
          </w:p>
          <w:p w14:paraId="3ADAC12F" w14:textId="0D4C8BF3" w:rsidR="008D0C72" w:rsidRPr="005543A5" w:rsidRDefault="008D0C72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Dlgs</w:t>
            </w:r>
            <w:proofErr w:type="spellEnd"/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. 85/2010</w:t>
            </w:r>
          </w:p>
          <w:p w14:paraId="62574B85" w14:textId="77777777" w:rsidR="004F172A" w:rsidRPr="005543A5" w:rsidRDefault="004F172A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Dlgs</w:t>
            </w:r>
            <w:proofErr w:type="spellEnd"/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. 216/2010</w:t>
            </w:r>
          </w:p>
          <w:p w14:paraId="70DB988F" w14:textId="77777777" w:rsidR="00132BF7" w:rsidRPr="005543A5" w:rsidRDefault="00132BF7" w:rsidP="007F128F">
            <w:pPr>
              <w:jc w:val="both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  <w:p w14:paraId="3ECCD262" w14:textId="3378A208" w:rsidR="00132BF7" w:rsidRPr="005543A5" w:rsidRDefault="00132BF7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Dlgs</w:t>
            </w:r>
            <w:proofErr w:type="spellEnd"/>
            <w:r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 xml:space="preserve"> 118/2011</w:t>
            </w:r>
          </w:p>
        </w:tc>
      </w:tr>
      <w:tr w:rsidR="005543A5" w:rsidRPr="005543A5" w14:paraId="52F3556D" w14:textId="77777777" w:rsidTr="00BF428E">
        <w:tc>
          <w:tcPr>
            <w:tcW w:w="6384" w:type="dxa"/>
            <w:vAlign w:val="center"/>
          </w:tcPr>
          <w:p w14:paraId="30C7766F" w14:textId="29AFAE2D" w:rsidR="00974954" w:rsidRPr="005543A5" w:rsidRDefault="00974954" w:rsidP="007F128F">
            <w:pPr>
              <w:pStyle w:val="Paragrafoelenco"/>
              <w:numPr>
                <w:ilvl w:val="0"/>
                <w:numId w:val="1"/>
              </w:numPr>
              <w:ind w:left="208" w:hanging="284"/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Autonomous recruitment of top level managers/civil servants &amp; personnel hiring powers (1993)</w:t>
            </w:r>
          </w:p>
          <w:p w14:paraId="47A4D764" w14:textId="380CCEA6" w:rsidR="00974954" w:rsidRPr="005543A5" w:rsidRDefault="00974954" w:rsidP="007F128F">
            <w:pPr>
              <w:pStyle w:val="Paragrafoelenco"/>
              <w:numPr>
                <w:ilvl w:val="0"/>
                <w:numId w:val="1"/>
              </w:numPr>
              <w:ind w:left="208" w:hanging="284"/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Introduction of mayor-appointed municipal clerks (1997)</w:t>
            </w:r>
          </w:p>
          <w:p w14:paraId="5E60953D" w14:textId="3A4A2452" w:rsidR="00C659CB" w:rsidRPr="005543A5" w:rsidRDefault="00C659CB" w:rsidP="007F128F">
            <w:pPr>
              <w:pStyle w:val="Paragrafoelenco"/>
              <w:numPr>
                <w:ilvl w:val="0"/>
                <w:numId w:val="1"/>
              </w:numPr>
              <w:ind w:left="208" w:hanging="284"/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="Calibri"/>
                <w:color w:val="000000" w:themeColor="text1"/>
                <w:sz w:val="18"/>
                <w:szCs w:val="18"/>
                <w:lang w:val="en-US"/>
              </w:rPr>
              <w:t>Standardized general rules for Public Employment (2001)</w:t>
            </w:r>
          </w:p>
          <w:p w14:paraId="58141928" w14:textId="37ADD5C5" w:rsidR="00EB056B" w:rsidRPr="005543A5" w:rsidRDefault="00EB056B" w:rsidP="007F128F">
            <w:pPr>
              <w:pStyle w:val="Paragrafoelenco"/>
              <w:numPr>
                <w:ilvl w:val="0"/>
                <w:numId w:val="1"/>
              </w:numPr>
              <w:ind w:left="208" w:hanging="284"/>
              <w:jc w:val="both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State/municipalities shared professional register for municipal clerks (replacing </w:t>
            </w:r>
            <w:proofErr w:type="spellStart"/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mayorally</w:t>
            </w:r>
            <w:proofErr w:type="spellEnd"/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 xml:space="preserve">directly-appointed </w:t>
            </w: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top </w:t>
            </w:r>
            <w:r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managers) (2010)</w:t>
            </w:r>
          </w:p>
          <w:p w14:paraId="6F1741E2" w14:textId="063911B0" w:rsidR="00C5326B" w:rsidRPr="005543A5" w:rsidRDefault="00C659CB" w:rsidP="007F128F">
            <w:pPr>
              <w:pStyle w:val="Paragrafoelenco"/>
              <w:numPr>
                <w:ilvl w:val="0"/>
                <w:numId w:val="1"/>
              </w:numPr>
              <w:ind w:left="208" w:hanging="284"/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Ombudsman’s abolition (2010)</w:t>
            </w:r>
          </w:p>
        </w:tc>
        <w:tc>
          <w:tcPr>
            <w:tcW w:w="4106" w:type="dxa"/>
          </w:tcPr>
          <w:p w14:paraId="6C27AA6B" w14:textId="311C637D" w:rsidR="008F3AF4" w:rsidRPr="005543A5" w:rsidRDefault="008F3AF4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Dlgs</w:t>
            </w:r>
            <w:proofErr w:type="spellEnd"/>
            <w:r w:rsidR="000E2FEC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29/1993</w:t>
            </w:r>
          </w:p>
          <w:p w14:paraId="4A25F147" w14:textId="77777777" w:rsidR="008F3AF4" w:rsidRPr="005543A5" w:rsidRDefault="008F3AF4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66D57FB0" w14:textId="77777777" w:rsidR="008F3AF4" w:rsidRPr="005543A5" w:rsidRDefault="000E2FEC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L.127</w:t>
            </w:r>
            <w:r w:rsidR="008F3AF4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/1997</w:t>
            </w:r>
          </w:p>
          <w:p w14:paraId="691B365C" w14:textId="54015A36" w:rsidR="00C659CB" w:rsidRPr="005543A5" w:rsidRDefault="00C659CB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  <w:t>TU 165/2001</w:t>
            </w:r>
          </w:p>
          <w:p w14:paraId="5037B950" w14:textId="3FEC58E6" w:rsidR="00EB056B" w:rsidRPr="005543A5" w:rsidRDefault="00EB056B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L.122/2010</w:t>
            </w:r>
          </w:p>
          <w:p w14:paraId="494E8598" w14:textId="77777777" w:rsidR="00C5326B" w:rsidRPr="005543A5" w:rsidRDefault="00C5326B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6A4778D4" w14:textId="56684AAD" w:rsidR="00C5326B" w:rsidRPr="005543A5" w:rsidRDefault="00C659CB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L.191/2009 </w:t>
            </w:r>
            <w:r w:rsidRPr="005543A5">
              <w:rPr>
                <w:rFonts w:ascii="Garamond" w:hAnsi="Garamond" w:cs="Arial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(Annual budget law for 2010)</w:t>
            </w:r>
          </w:p>
        </w:tc>
      </w:tr>
      <w:tr w:rsidR="005543A5" w:rsidRPr="005543A5" w14:paraId="574CDAFF" w14:textId="77777777" w:rsidTr="00BF428E">
        <w:tc>
          <w:tcPr>
            <w:tcW w:w="6384" w:type="dxa"/>
            <w:vAlign w:val="center"/>
          </w:tcPr>
          <w:p w14:paraId="5705DF6D" w14:textId="77777777" w:rsidR="00974954" w:rsidRPr="005543A5" w:rsidRDefault="00974954" w:rsidP="007F128F">
            <w:pPr>
              <w:pStyle w:val="Paragrafoelenco"/>
              <w:numPr>
                <w:ilvl w:val="0"/>
                <w:numId w:val="1"/>
              </w:numPr>
              <w:ind w:left="208" w:hanging="284"/>
              <w:jc w:val="both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IGR institution of Unified and State/municipalities permanent conferences (1997)</w:t>
            </w:r>
          </w:p>
          <w:p w14:paraId="152D730B" w14:textId="2F1922E1" w:rsidR="00BF16B8" w:rsidRPr="005543A5" w:rsidRDefault="00BF16B8" w:rsidP="007F128F">
            <w:pPr>
              <w:pStyle w:val="Paragrafoelenco"/>
              <w:numPr>
                <w:ilvl w:val="0"/>
                <w:numId w:val="1"/>
              </w:numPr>
              <w:ind w:left="208" w:hanging="284"/>
              <w:jc w:val="both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="Calibri"/>
                <w:color w:val="000000" w:themeColor="text1"/>
                <w:sz w:val="18"/>
                <w:szCs w:val="18"/>
                <w:lang w:val="en-US"/>
              </w:rPr>
              <w:t xml:space="preserve">Municipal implementation of PA Digital Code </w:t>
            </w:r>
            <w:r w:rsidR="00BD5BB3" w:rsidRPr="005543A5">
              <w:rPr>
                <w:rFonts w:ascii="Garamond" w:hAnsi="Garamond" w:cs="Calibri"/>
                <w:color w:val="000000" w:themeColor="text1"/>
                <w:sz w:val="18"/>
                <w:szCs w:val="18"/>
                <w:lang w:val="en-US"/>
              </w:rPr>
              <w:t>(2005)</w:t>
            </w:r>
          </w:p>
        </w:tc>
        <w:tc>
          <w:tcPr>
            <w:tcW w:w="4106" w:type="dxa"/>
          </w:tcPr>
          <w:p w14:paraId="0BA33395" w14:textId="475D0987" w:rsidR="00974954" w:rsidRPr="005543A5" w:rsidRDefault="00D62BFE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Dlgs</w:t>
            </w:r>
            <w:proofErr w:type="spellEnd"/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974954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  <w:t>281/</w:t>
            </w:r>
            <w:r w:rsidR="00592469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  <w:t>19</w:t>
            </w:r>
            <w:r w:rsidR="00974954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  <w:t>97</w:t>
            </w:r>
            <w:r w:rsidR="00592469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  <w:t>;</w:t>
            </w:r>
            <w:r w:rsidR="00D9637B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  <w:t>D</w:t>
            </w:r>
            <w:r w:rsidR="00D9637B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  <w:t>lgs</w:t>
            </w:r>
            <w:proofErr w:type="spellEnd"/>
            <w:r w:rsidR="00D9637B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  <w:t xml:space="preserve"> 59/1997</w:t>
            </w:r>
          </w:p>
          <w:p w14:paraId="0EFE92A7" w14:textId="4964488B" w:rsidR="00974954" w:rsidRPr="005543A5" w:rsidRDefault="00BF16B8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543A5">
              <w:rPr>
                <w:rFonts w:ascii="Garamond" w:hAnsi="Garamond" w:cs="Calibri"/>
                <w:color w:val="000000" w:themeColor="text1"/>
                <w:sz w:val="18"/>
                <w:szCs w:val="18"/>
                <w:lang w:val="en-US"/>
              </w:rPr>
              <w:t>Dlgs</w:t>
            </w:r>
            <w:proofErr w:type="spellEnd"/>
            <w:r w:rsidRPr="005543A5">
              <w:rPr>
                <w:rFonts w:ascii="Garamond" w:hAnsi="Garamond" w:cs="Calibri"/>
                <w:color w:val="000000" w:themeColor="text1"/>
                <w:sz w:val="18"/>
                <w:szCs w:val="18"/>
                <w:lang w:val="en-US"/>
              </w:rPr>
              <w:t xml:space="preserve"> 82/2005</w:t>
            </w:r>
          </w:p>
        </w:tc>
      </w:tr>
      <w:tr w:rsidR="005543A5" w:rsidRPr="005543A5" w14:paraId="5854862A" w14:textId="77777777" w:rsidTr="00BF428E">
        <w:tc>
          <w:tcPr>
            <w:tcW w:w="6384" w:type="dxa"/>
            <w:vAlign w:val="center"/>
          </w:tcPr>
          <w:p w14:paraId="3A7A49AB" w14:textId="45200C4D" w:rsidR="00974954" w:rsidRPr="005543A5" w:rsidRDefault="00974954" w:rsidP="007F128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8" w:hanging="284"/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Central supervision on performance assessment (20</w:t>
            </w:r>
            <w:r w:rsidR="00BA0E70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10</w:t>
            </w: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4106" w:type="dxa"/>
          </w:tcPr>
          <w:p w14:paraId="00690795" w14:textId="5F9E63A0" w:rsidR="00974954" w:rsidRPr="005543A5" w:rsidRDefault="00B37C67" w:rsidP="007F128F">
            <w:pPr>
              <w:autoSpaceDE w:val="0"/>
              <w:autoSpaceDN w:val="0"/>
              <w:adjustRightInd w:val="0"/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L.15/2009</w:t>
            </w:r>
            <w:r w:rsidR="00BA0E70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BA0E70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Brunetta</w:t>
            </w:r>
            <w:proofErr w:type="spellEnd"/>
            <w:r w:rsidR="00BA0E70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</w:tr>
      <w:tr w:rsidR="005543A5" w:rsidRPr="005543A5" w14:paraId="1762E5E1" w14:textId="77777777" w:rsidTr="004819A7">
        <w:trPr>
          <w:trHeight w:val="915"/>
        </w:trPr>
        <w:tc>
          <w:tcPr>
            <w:tcW w:w="6384" w:type="dxa"/>
            <w:vAlign w:val="center"/>
          </w:tcPr>
          <w:p w14:paraId="1723DB20" w14:textId="76DD3DB1" w:rsidR="00974954" w:rsidRPr="005543A5" w:rsidRDefault="00974954" w:rsidP="007F128F">
            <w:pPr>
              <w:pStyle w:val="Paragrafoelenco"/>
              <w:numPr>
                <w:ilvl w:val="0"/>
                <w:numId w:val="1"/>
              </w:numPr>
              <w:ind w:left="208" w:hanging="284"/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Negotiated economic development planning: Territorial Agreements &amp;Pacts (1997)</w:t>
            </w:r>
          </w:p>
          <w:p w14:paraId="20949B33" w14:textId="0012BC96" w:rsidR="00BD5BB3" w:rsidRPr="005543A5" w:rsidRDefault="00BD5BB3" w:rsidP="007F128F">
            <w:pPr>
              <w:pStyle w:val="Paragrafoelenco"/>
              <w:numPr>
                <w:ilvl w:val="0"/>
                <w:numId w:val="1"/>
              </w:numPr>
              <w:ind w:left="208" w:hanging="284"/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Project financing on specific policies (1998)</w:t>
            </w:r>
          </w:p>
          <w:p w14:paraId="559A0CC0" w14:textId="6471ACC3" w:rsidR="00974954" w:rsidRPr="005543A5" w:rsidRDefault="00974954" w:rsidP="007F128F">
            <w:pPr>
              <w:pStyle w:val="Paragrafoelenco"/>
              <w:numPr>
                <w:ilvl w:val="0"/>
                <w:numId w:val="1"/>
              </w:numPr>
              <w:ind w:left="208" w:hanging="284"/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Social areas planning: LG-National Health Agencies cooperation</w:t>
            </w:r>
            <w:r w:rsidR="00A64CF6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 (2000)</w:t>
            </w:r>
          </w:p>
          <w:p w14:paraId="11E80F73" w14:textId="78693DF6" w:rsidR="00974954" w:rsidRPr="005543A5" w:rsidRDefault="00BD5BB3" w:rsidP="007F128F">
            <w:pPr>
              <w:pStyle w:val="Paragrafoelenco"/>
              <w:numPr>
                <w:ilvl w:val="0"/>
                <w:numId w:val="1"/>
              </w:numPr>
              <w:ind w:left="208" w:hanging="284"/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Reinforcement of the outsourcing tool (2001)</w:t>
            </w:r>
          </w:p>
        </w:tc>
        <w:tc>
          <w:tcPr>
            <w:tcW w:w="4106" w:type="dxa"/>
          </w:tcPr>
          <w:p w14:paraId="79442E74" w14:textId="725BEF9F" w:rsidR="00974954" w:rsidRPr="005543A5" w:rsidRDefault="00974954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  <w:t>L</w:t>
            </w:r>
            <w:r w:rsidR="00592469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  <w:t>.</w:t>
            </w: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  <w:t xml:space="preserve">662/1996 </w:t>
            </w:r>
          </w:p>
          <w:p w14:paraId="1CFA557B" w14:textId="77777777" w:rsidR="00BD5BB3" w:rsidRPr="005543A5" w:rsidRDefault="00BD5BB3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  <w:t>L.415/1998 (Merloni-ter)</w:t>
            </w:r>
          </w:p>
          <w:p w14:paraId="3DCF766C" w14:textId="39799F05" w:rsidR="00974954" w:rsidRPr="005543A5" w:rsidRDefault="00592469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  <w:t>L.</w:t>
            </w:r>
            <w:r w:rsidR="00974954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  <w:t>328/2000</w:t>
            </w:r>
          </w:p>
          <w:p w14:paraId="57D166D5" w14:textId="4AAE210E" w:rsidR="00BD5BB3" w:rsidRPr="005543A5" w:rsidRDefault="00BD5BB3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  <w:t>L.448/2001</w:t>
            </w:r>
          </w:p>
        </w:tc>
      </w:tr>
      <w:tr w:rsidR="005543A5" w:rsidRPr="005543A5" w14:paraId="535E0F2C" w14:textId="77777777" w:rsidTr="00BF428E">
        <w:tc>
          <w:tcPr>
            <w:tcW w:w="6384" w:type="dxa"/>
            <w:vAlign w:val="center"/>
          </w:tcPr>
          <w:p w14:paraId="48199CD0" w14:textId="27490B6E" w:rsidR="00974954" w:rsidRPr="005543A5" w:rsidRDefault="00974954" w:rsidP="007F128F">
            <w:pPr>
              <w:pStyle w:val="Paragrafoelenco"/>
              <w:numPr>
                <w:ilvl w:val="0"/>
                <w:numId w:val="1"/>
              </w:numPr>
              <w:ind w:left="208" w:hanging="284"/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Range of self-taxation on real estate (1992)</w:t>
            </w:r>
          </w:p>
          <w:p w14:paraId="19A1BA9F" w14:textId="45C93B09" w:rsidR="00974954" w:rsidRPr="005543A5" w:rsidRDefault="00974954" w:rsidP="007F128F">
            <w:pPr>
              <w:pStyle w:val="Paragrafoelenco"/>
              <w:numPr>
                <w:ilvl w:val="0"/>
                <w:numId w:val="1"/>
              </w:numPr>
              <w:ind w:left="208" w:hanging="284"/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Central cutbacks (selected &amp; across-the-board) (since 2008)</w:t>
            </w:r>
          </w:p>
          <w:p w14:paraId="6C811E2E" w14:textId="77777777" w:rsidR="00974954" w:rsidRPr="005543A5" w:rsidRDefault="00974954" w:rsidP="007F128F">
            <w:pPr>
              <w:pStyle w:val="Paragrafoelenco"/>
              <w:numPr>
                <w:ilvl w:val="0"/>
                <w:numId w:val="1"/>
              </w:numPr>
              <w:ind w:left="208" w:hanging="284"/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Fiscal constraints for municipalities (since 2008)</w:t>
            </w:r>
          </w:p>
          <w:p w14:paraId="306FC24C" w14:textId="77777777" w:rsidR="00974954" w:rsidRPr="005543A5" w:rsidRDefault="00974954" w:rsidP="007F128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8" w:hanging="284"/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Abolition on municipal self-taxation on real estate (2008)</w:t>
            </w:r>
          </w:p>
        </w:tc>
        <w:tc>
          <w:tcPr>
            <w:tcW w:w="4106" w:type="dxa"/>
          </w:tcPr>
          <w:p w14:paraId="1C2ACA00" w14:textId="6E248750" w:rsidR="00974954" w:rsidRPr="005543A5" w:rsidRDefault="001C7DE8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Dlgs</w:t>
            </w:r>
            <w:proofErr w:type="spellEnd"/>
            <w:r w:rsidR="00837C90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 50</w:t>
            </w: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4</w:t>
            </w:r>
            <w:r w:rsidR="00837C90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/1992</w:t>
            </w:r>
          </w:p>
          <w:p w14:paraId="349B93BB" w14:textId="77777777" w:rsidR="00837C90" w:rsidRPr="005543A5" w:rsidRDefault="0068616E" w:rsidP="007F128F">
            <w:pPr>
              <w:jc w:val="both"/>
              <w:rPr>
                <w:rFonts w:ascii="Garamond" w:eastAsiaTheme="minorHAnsi" w:hAnsi="Garamond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L. 296/2006</w:t>
            </w:r>
            <w:r w:rsidR="00FA133A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;</w:t>
            </w: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5543A5">
              <w:rPr>
                <w:rFonts w:ascii="Garamond" w:eastAsiaTheme="minorHAnsi" w:hAnsi="Garamond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L. 244/2007 </w:t>
            </w:r>
          </w:p>
          <w:p w14:paraId="69964B07" w14:textId="77777777" w:rsidR="00FA133A" w:rsidRPr="005543A5" w:rsidRDefault="00FA133A" w:rsidP="007F128F">
            <w:pPr>
              <w:jc w:val="both"/>
              <w:rPr>
                <w:rFonts w:ascii="Garamond" w:eastAsiaTheme="minorHAnsi" w:hAnsi="Garamond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L. 296/2006; </w:t>
            </w:r>
            <w:r w:rsidRPr="005543A5">
              <w:rPr>
                <w:rFonts w:ascii="Garamond" w:eastAsiaTheme="minorHAnsi" w:hAnsi="Garamond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L. 244/2007 </w:t>
            </w:r>
          </w:p>
          <w:p w14:paraId="4A7DB38D" w14:textId="36511422" w:rsidR="00FA133A" w:rsidRPr="005543A5" w:rsidRDefault="00FA133A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L.126/2008</w:t>
            </w:r>
          </w:p>
        </w:tc>
      </w:tr>
      <w:tr w:rsidR="005543A5" w:rsidRPr="005543A5" w14:paraId="03997E7B" w14:textId="77777777" w:rsidTr="00BD5BB3">
        <w:trPr>
          <w:trHeight w:val="1881"/>
        </w:trPr>
        <w:tc>
          <w:tcPr>
            <w:tcW w:w="6384" w:type="dxa"/>
            <w:vAlign w:val="center"/>
          </w:tcPr>
          <w:p w14:paraId="359C6DBA" w14:textId="6177A1E9" w:rsidR="00753FCB" w:rsidRPr="005543A5" w:rsidRDefault="00753FCB" w:rsidP="007F128F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napToGrid w:val="0"/>
              <w:ind w:left="208" w:hanging="284"/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="Calibri"/>
                <w:color w:val="000000" w:themeColor="text1"/>
                <w:sz w:val="18"/>
                <w:szCs w:val="18"/>
                <w:lang w:val="en-US"/>
              </w:rPr>
              <w:t>Water management &amp;delivery and sanitation services; waste collection &amp;disposal; local public transports (1994-1999)</w:t>
            </w:r>
          </w:p>
          <w:p w14:paraId="5A78FADA" w14:textId="636505CD" w:rsidR="00974954" w:rsidRPr="005543A5" w:rsidRDefault="00974954" w:rsidP="007F128F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</w:tabs>
              <w:ind w:left="208" w:hanging="284"/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Power to create Private companies owned by municipalities (corporatization till 100%) and to create PPP for managing and delivering public services (</w:t>
            </w:r>
            <w:r w:rsidR="001058FD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2000</w:t>
            </w: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)</w:t>
            </w:r>
          </w:p>
          <w:p w14:paraId="1860C391" w14:textId="77777777" w:rsidR="00FC5DAF" w:rsidRPr="005543A5" w:rsidRDefault="002C6B31" w:rsidP="007F128F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</w:tabs>
              <w:ind w:left="208" w:hanging="284"/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Reshaping </w:t>
            </w:r>
            <w:r w:rsidR="00CE1C0B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of Optimal territorial districts (ATOs) for water and waste management </w:t>
            </w:r>
            <w:r w:rsidR="00BF428E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&amp;</w:t>
            </w:r>
            <w:r w:rsidR="00CE1C0B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 delivery</w:t>
            </w:r>
            <w:r w:rsidR="00B579C7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 (2006)</w:t>
            </w:r>
          </w:p>
          <w:p w14:paraId="19819A39" w14:textId="77777777" w:rsidR="00BD5BB3" w:rsidRPr="005543A5" w:rsidRDefault="00BD5BB3" w:rsidP="007F128F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</w:tabs>
              <w:ind w:left="208" w:hanging="284"/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Compulsory joint management (CJM) of </w:t>
            </w:r>
            <w:proofErr w:type="spellStart"/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munic</w:t>
            </w:r>
            <w:proofErr w:type="spellEnd"/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. tasks for small-sized </w:t>
            </w:r>
            <w:proofErr w:type="spellStart"/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municip</w:t>
            </w:r>
            <w:proofErr w:type="spellEnd"/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. (2010)</w:t>
            </w:r>
          </w:p>
          <w:p w14:paraId="683E3AC9" w14:textId="0D3731E3" w:rsidR="00FC5DAF" w:rsidRPr="005543A5" w:rsidRDefault="00FC5DAF" w:rsidP="007F128F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</w:tabs>
              <w:ind w:left="208" w:hanging="284"/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Regulation on accounting and ownership of PPP </w:t>
            </w:r>
            <w:r w:rsidR="008A4EFB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(2011)</w:t>
            </w:r>
          </w:p>
          <w:p w14:paraId="6E3C5E4D" w14:textId="7A2D3651" w:rsidR="00974954" w:rsidRPr="005543A5" w:rsidRDefault="00FC5DAF" w:rsidP="007F128F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</w:tabs>
              <w:ind w:left="208" w:hanging="284"/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Abolition of  ATOs and re-allocation of their functions (since 2011)</w:t>
            </w:r>
          </w:p>
        </w:tc>
        <w:tc>
          <w:tcPr>
            <w:tcW w:w="4106" w:type="dxa"/>
          </w:tcPr>
          <w:p w14:paraId="1CFA9966" w14:textId="5A1E667D" w:rsidR="00974954" w:rsidRPr="005543A5" w:rsidRDefault="00F3643A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</w:pPr>
            <w:r w:rsidRPr="005543A5">
              <w:rPr>
                <w:rFonts w:ascii="Garamond" w:hAnsi="Garamond" w:cs="Calibri"/>
                <w:color w:val="000000" w:themeColor="text1"/>
                <w:sz w:val="18"/>
                <w:szCs w:val="18"/>
              </w:rPr>
              <w:t>L.</w:t>
            </w:r>
            <w:r w:rsidR="00753FCB" w:rsidRPr="005543A5">
              <w:rPr>
                <w:rFonts w:ascii="Garamond" w:hAnsi="Garamond" w:cs="Calibri"/>
                <w:color w:val="000000" w:themeColor="text1"/>
                <w:sz w:val="18"/>
                <w:szCs w:val="18"/>
              </w:rPr>
              <w:t>36/</w:t>
            </w:r>
            <w:r w:rsidRPr="005543A5">
              <w:rPr>
                <w:rFonts w:ascii="Garamond" w:hAnsi="Garamond" w:cs="Calibri"/>
                <w:color w:val="000000" w:themeColor="text1"/>
                <w:sz w:val="18"/>
                <w:szCs w:val="18"/>
              </w:rPr>
              <w:t>19</w:t>
            </w:r>
            <w:r w:rsidR="00753FCB" w:rsidRPr="005543A5">
              <w:rPr>
                <w:rFonts w:ascii="Garamond" w:hAnsi="Garamond" w:cs="Calibri"/>
                <w:color w:val="000000" w:themeColor="text1"/>
                <w:sz w:val="18"/>
                <w:szCs w:val="18"/>
              </w:rPr>
              <w:t>94</w:t>
            </w:r>
            <w:r w:rsidRPr="005543A5">
              <w:rPr>
                <w:rFonts w:ascii="Garamond" w:hAnsi="Garamond" w:cs="Calibri"/>
                <w:color w:val="000000" w:themeColor="text1"/>
                <w:sz w:val="18"/>
                <w:szCs w:val="18"/>
              </w:rPr>
              <w:t xml:space="preserve"> (Galli)</w:t>
            </w:r>
            <w:r w:rsidR="00753FCB" w:rsidRPr="005543A5">
              <w:rPr>
                <w:rFonts w:ascii="Garamond" w:hAnsi="Garamond" w:cs="Calibri"/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="0047608E" w:rsidRPr="005543A5">
              <w:rPr>
                <w:rFonts w:ascii="Garamond" w:hAnsi="Garamond" w:cs="Calibri"/>
                <w:color w:val="000000" w:themeColor="text1"/>
                <w:sz w:val="18"/>
                <w:szCs w:val="18"/>
              </w:rPr>
              <w:t>D.Lgs</w:t>
            </w:r>
            <w:proofErr w:type="spellEnd"/>
            <w:r w:rsidR="0047608E" w:rsidRPr="005543A5">
              <w:rPr>
                <w:rFonts w:ascii="Garamond" w:hAnsi="Garamond" w:cs="Calibri"/>
                <w:color w:val="000000" w:themeColor="text1"/>
                <w:sz w:val="18"/>
                <w:szCs w:val="18"/>
              </w:rPr>
              <w:t>,</w:t>
            </w:r>
            <w:r w:rsidR="00B579C7" w:rsidRPr="005543A5">
              <w:rPr>
                <w:rFonts w:ascii="Garamond" w:hAnsi="Garamond" w:cs="Calibri"/>
                <w:color w:val="000000" w:themeColor="text1"/>
                <w:sz w:val="18"/>
                <w:szCs w:val="18"/>
              </w:rPr>
              <w:t xml:space="preserve"> </w:t>
            </w:r>
            <w:r w:rsidR="00753FCB" w:rsidRPr="005543A5">
              <w:rPr>
                <w:rFonts w:ascii="Garamond" w:hAnsi="Garamond" w:cs="Calibri"/>
                <w:color w:val="000000" w:themeColor="text1"/>
                <w:sz w:val="18"/>
                <w:szCs w:val="18"/>
              </w:rPr>
              <w:t>22/</w:t>
            </w:r>
            <w:r w:rsidR="000178CB" w:rsidRPr="005543A5">
              <w:rPr>
                <w:rFonts w:ascii="Garamond" w:hAnsi="Garamond" w:cs="Calibri"/>
                <w:color w:val="000000" w:themeColor="text1"/>
                <w:sz w:val="18"/>
                <w:szCs w:val="18"/>
              </w:rPr>
              <w:t>19</w:t>
            </w:r>
            <w:r w:rsidR="00753FCB" w:rsidRPr="005543A5">
              <w:rPr>
                <w:rFonts w:ascii="Garamond" w:hAnsi="Garamond" w:cs="Calibri"/>
                <w:color w:val="000000" w:themeColor="text1"/>
                <w:sz w:val="18"/>
                <w:szCs w:val="18"/>
              </w:rPr>
              <w:t>97</w:t>
            </w:r>
            <w:r w:rsidR="0047608E" w:rsidRPr="005543A5">
              <w:rPr>
                <w:rFonts w:ascii="Garamond" w:hAnsi="Garamond" w:cs="Calibri"/>
                <w:color w:val="000000" w:themeColor="text1"/>
                <w:sz w:val="18"/>
                <w:szCs w:val="18"/>
              </w:rPr>
              <w:t xml:space="preserve"> (Ronchi)</w:t>
            </w:r>
            <w:r w:rsidR="00753FCB" w:rsidRPr="005543A5">
              <w:rPr>
                <w:rFonts w:ascii="Garamond" w:hAnsi="Garamond" w:cs="Calibri"/>
                <w:color w:val="000000" w:themeColor="text1"/>
                <w:sz w:val="18"/>
                <w:szCs w:val="18"/>
              </w:rPr>
              <w:t>; /</w:t>
            </w:r>
            <w:proofErr w:type="spellStart"/>
            <w:r w:rsidR="00F52C27" w:rsidRPr="005543A5">
              <w:rPr>
                <w:rFonts w:ascii="Garamond" w:hAnsi="Garamond" w:cs="Calibri"/>
                <w:color w:val="000000" w:themeColor="text1"/>
                <w:sz w:val="18"/>
                <w:szCs w:val="18"/>
              </w:rPr>
              <w:t>D.Lgs</w:t>
            </w:r>
            <w:proofErr w:type="spellEnd"/>
            <w:r w:rsidR="00F52C27" w:rsidRPr="005543A5">
              <w:rPr>
                <w:rFonts w:ascii="Garamond" w:hAnsi="Garamond" w:cs="Calibri"/>
                <w:color w:val="000000" w:themeColor="text1"/>
                <w:sz w:val="18"/>
                <w:szCs w:val="18"/>
              </w:rPr>
              <w:t xml:space="preserve"> 42/1999</w:t>
            </w:r>
            <w:r w:rsidR="00753FCB" w:rsidRPr="005543A5">
              <w:rPr>
                <w:rFonts w:ascii="Garamond" w:hAnsi="Garamond" w:cs="Calibri"/>
                <w:color w:val="000000" w:themeColor="text1"/>
                <w:sz w:val="18"/>
                <w:szCs w:val="18"/>
              </w:rPr>
              <w:t xml:space="preserve"> (Burlando)</w:t>
            </w:r>
          </w:p>
          <w:p w14:paraId="0A428638" w14:textId="77777777" w:rsidR="00753FCB" w:rsidRPr="005543A5" w:rsidRDefault="00753FCB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</w:pPr>
          </w:p>
          <w:p w14:paraId="54DBA769" w14:textId="13038CF0" w:rsidR="00974954" w:rsidRPr="005543A5" w:rsidRDefault="00096092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  <w:t xml:space="preserve">TU 267/2000 </w:t>
            </w:r>
          </w:p>
          <w:p w14:paraId="09B23A52" w14:textId="77777777" w:rsidR="00974954" w:rsidRPr="005543A5" w:rsidRDefault="00974954" w:rsidP="007F128F">
            <w:pPr>
              <w:ind w:left="360"/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</w:pPr>
          </w:p>
          <w:p w14:paraId="157400BB" w14:textId="44621FF4" w:rsidR="00974954" w:rsidRPr="005543A5" w:rsidRDefault="00CE1C0B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  <w:t>Dlgs</w:t>
            </w:r>
            <w:proofErr w:type="spellEnd"/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  <w:t xml:space="preserve"> 152/2006</w:t>
            </w:r>
          </w:p>
          <w:p w14:paraId="4F01B750" w14:textId="116C6A1E" w:rsidR="00BD5BB3" w:rsidRPr="005543A5" w:rsidRDefault="00BD5BB3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  <w:t>L.122/2010</w:t>
            </w:r>
          </w:p>
          <w:p w14:paraId="2ECD5A20" w14:textId="0E68B0C7" w:rsidR="00F52C27" w:rsidRPr="005543A5" w:rsidRDefault="00F52C27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  <w:t>L.42/2010</w:t>
            </w:r>
          </w:p>
          <w:p w14:paraId="1E4CCE77" w14:textId="2E272543" w:rsidR="00974954" w:rsidRPr="005543A5" w:rsidRDefault="008A4EFB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  <w:t>Dlgs</w:t>
            </w:r>
            <w:proofErr w:type="spellEnd"/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  <w:t xml:space="preserve"> 118/</w:t>
            </w:r>
            <w:r w:rsidR="00FC5DAF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  <w:t>2011</w:t>
            </w:r>
          </w:p>
        </w:tc>
      </w:tr>
      <w:tr w:rsidR="005543A5" w:rsidRPr="005543A5" w14:paraId="4ACEB4A1" w14:textId="77777777" w:rsidTr="00BF428E">
        <w:tc>
          <w:tcPr>
            <w:tcW w:w="6384" w:type="dxa"/>
            <w:vAlign w:val="center"/>
          </w:tcPr>
          <w:p w14:paraId="233534A7" w14:textId="5FD12DDD" w:rsidR="00974954" w:rsidRPr="005543A5" w:rsidRDefault="00FC5DAF" w:rsidP="007F128F">
            <w:pPr>
              <w:ind w:hanging="70"/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lastRenderedPageBreak/>
              <w:t xml:space="preserve">38. </w:t>
            </w:r>
            <w:r w:rsidR="00974954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Central supervision on local expenditure (since 2008)</w:t>
            </w:r>
          </w:p>
        </w:tc>
        <w:tc>
          <w:tcPr>
            <w:tcW w:w="4106" w:type="dxa"/>
          </w:tcPr>
          <w:p w14:paraId="4B31A689" w14:textId="6D7932A7" w:rsidR="00974954" w:rsidRPr="005543A5" w:rsidRDefault="001F4A52" w:rsidP="007F128F">
            <w:pPr>
              <w:jc w:val="both"/>
              <w:rPr>
                <w:rFonts w:ascii="Garamond" w:eastAsiaTheme="minorHAnsi" w:hAnsi="Garamond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L. 296/2006</w:t>
            </w:r>
            <w:r w:rsidR="00160C5E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 (</w:t>
            </w:r>
            <w:r w:rsidR="00160C5E" w:rsidRPr="005543A5">
              <w:rPr>
                <w:rFonts w:ascii="Garamond" w:hAnsi="Garamond" w:cs="Arial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Annual budget law for</w:t>
            </w:r>
            <w:r w:rsidR="00160C5E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 2007);</w:t>
            </w:r>
            <w:r w:rsidR="00160C5E" w:rsidRPr="005543A5">
              <w:rPr>
                <w:rFonts w:ascii="Garamond" w:eastAsiaTheme="minorHAnsi" w:hAnsi="Garamond" w:cstheme="minorHAnsi"/>
                <w:color w:val="000000" w:themeColor="text1"/>
                <w:sz w:val="18"/>
                <w:szCs w:val="18"/>
                <w:lang w:val="en-US" w:eastAsia="en-US"/>
              </w:rPr>
              <w:br/>
              <w:t xml:space="preserve">L. 244/2007 </w:t>
            </w:r>
            <w:r w:rsidR="00160C5E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(</w:t>
            </w:r>
            <w:r w:rsidR="00160C5E" w:rsidRPr="005543A5">
              <w:rPr>
                <w:rFonts w:ascii="Garamond" w:hAnsi="Garamond" w:cs="Arial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Annual budget law for</w:t>
            </w:r>
            <w:r w:rsidR="00160C5E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 2008)</w:t>
            </w:r>
          </w:p>
        </w:tc>
      </w:tr>
      <w:tr w:rsidR="005543A5" w:rsidRPr="005543A5" w14:paraId="4DCB889A" w14:textId="77777777" w:rsidTr="00BF428E">
        <w:tc>
          <w:tcPr>
            <w:tcW w:w="6384" w:type="dxa"/>
            <w:vAlign w:val="center"/>
          </w:tcPr>
          <w:p w14:paraId="2ABB7E05" w14:textId="2458BC23" w:rsidR="00B06C7E" w:rsidRPr="005543A5" w:rsidRDefault="00B06C7E" w:rsidP="007F128F">
            <w:pPr>
              <w:pStyle w:val="Paragrafoelenco"/>
              <w:numPr>
                <w:ilvl w:val="0"/>
                <w:numId w:val="9"/>
              </w:numPr>
              <w:ind w:left="214" w:hanging="290"/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Weakening of party patronage (since 1992, mostly with NHS’s reform)</w:t>
            </w:r>
          </w:p>
          <w:p w14:paraId="1E0563E2" w14:textId="075A4C0D" w:rsidR="00974954" w:rsidRPr="005543A5" w:rsidRDefault="00974954" w:rsidP="007F128F">
            <w:pPr>
              <w:pStyle w:val="Paragrafoelenco"/>
              <w:numPr>
                <w:ilvl w:val="0"/>
                <w:numId w:val="9"/>
              </w:numPr>
              <w:ind w:left="214" w:hanging="290"/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Reinforcement of executive leadership (both local and regional) (since 1993)</w:t>
            </w:r>
          </w:p>
        </w:tc>
        <w:tc>
          <w:tcPr>
            <w:tcW w:w="4106" w:type="dxa"/>
          </w:tcPr>
          <w:p w14:paraId="38C829EF" w14:textId="77777777" w:rsidR="00096092" w:rsidRPr="005543A5" w:rsidRDefault="00FA133A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D</w:t>
            </w:r>
            <w:r w:rsidR="00096092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lgs</w:t>
            </w:r>
            <w:proofErr w:type="spellEnd"/>
            <w:r w:rsidR="00096092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 502/1992</w:t>
            </w: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4FD587E7" w14:textId="2604AF60" w:rsidR="00B06C7E" w:rsidRPr="005543A5" w:rsidRDefault="00B06C7E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  <w:t>L.81/1993</w:t>
            </w:r>
          </w:p>
        </w:tc>
      </w:tr>
      <w:tr w:rsidR="005543A5" w:rsidRPr="005543A5" w14:paraId="6C4BA799" w14:textId="77777777" w:rsidTr="00BF428E">
        <w:tc>
          <w:tcPr>
            <w:tcW w:w="6384" w:type="dxa"/>
            <w:vAlign w:val="center"/>
          </w:tcPr>
          <w:p w14:paraId="7BF63E69" w14:textId="77777777" w:rsidR="00974954" w:rsidRPr="005543A5" w:rsidRDefault="00974954" w:rsidP="007F128F">
            <w:pPr>
              <w:pStyle w:val="Paragrafoelenco"/>
              <w:numPr>
                <w:ilvl w:val="0"/>
                <w:numId w:val="9"/>
              </w:numPr>
              <w:ind w:left="176" w:hanging="246"/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Municipal autonomy empowering mayor political influence at national level (1990s) </w:t>
            </w:r>
          </w:p>
          <w:p w14:paraId="30C53D08" w14:textId="77777777" w:rsidR="00974954" w:rsidRPr="005543A5" w:rsidRDefault="00974954" w:rsidP="007F128F">
            <w:pPr>
              <w:pStyle w:val="Paragrafoelenco"/>
              <w:numPr>
                <w:ilvl w:val="0"/>
                <w:numId w:val="9"/>
              </w:numPr>
              <w:ind w:left="176" w:hanging="246"/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Political parties’ weakening (since 1993) </w:t>
            </w:r>
          </w:p>
        </w:tc>
        <w:tc>
          <w:tcPr>
            <w:tcW w:w="4106" w:type="dxa"/>
          </w:tcPr>
          <w:p w14:paraId="2EF8DF30" w14:textId="3F26F11D" w:rsidR="00974954" w:rsidRPr="005543A5" w:rsidRDefault="00D62BFE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L.8</w:t>
            </w:r>
            <w:r w:rsidR="00837C90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1/1993</w:t>
            </w: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r w:rsidR="00FD78AA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L</w:t>
            </w:r>
            <w:r w:rsidR="00837C90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.56/1997</w:t>
            </w:r>
          </w:p>
          <w:p w14:paraId="19C316BA" w14:textId="714715DD" w:rsidR="00397EC7" w:rsidRPr="005543A5" w:rsidRDefault="00397EC7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L.81/1993</w:t>
            </w:r>
            <w:r w:rsidR="00BB062A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; Const.L.1/1999</w:t>
            </w:r>
          </w:p>
        </w:tc>
      </w:tr>
    </w:tbl>
    <w:p w14:paraId="690FD57C" w14:textId="3EF00E1B" w:rsidR="00CF6170" w:rsidRPr="005543A5" w:rsidRDefault="00941BF4" w:rsidP="007F128F">
      <w:pPr>
        <w:jc w:val="both"/>
        <w:rPr>
          <w:rFonts w:ascii="Garamond" w:hAnsi="Garamond"/>
          <w:color w:val="000000" w:themeColor="text1"/>
          <w:sz w:val="18"/>
          <w:szCs w:val="18"/>
          <w:lang w:val="en-US"/>
        </w:rPr>
      </w:pPr>
      <w:r w:rsidRPr="005543A5">
        <w:rPr>
          <w:rFonts w:ascii="Garamond" w:hAnsi="Garamond"/>
          <w:color w:val="000000" w:themeColor="text1"/>
          <w:sz w:val="18"/>
          <w:szCs w:val="18"/>
          <w:lang w:val="en-US"/>
        </w:rPr>
        <w:t xml:space="preserve">Source: </w:t>
      </w:r>
      <w:r w:rsidR="008123B3" w:rsidRPr="005543A5">
        <w:rPr>
          <w:rFonts w:ascii="Garamond" w:hAnsi="Garamond"/>
          <w:color w:val="000000" w:themeColor="text1"/>
          <w:sz w:val="18"/>
          <w:szCs w:val="18"/>
          <w:lang w:val="en-US"/>
        </w:rPr>
        <w:t>Authors’ compilation from parliamentary sources</w:t>
      </w:r>
      <w:r w:rsidR="001110BD" w:rsidRPr="005543A5">
        <w:rPr>
          <w:rFonts w:ascii="Garamond" w:hAnsi="Garamond"/>
          <w:color w:val="000000" w:themeColor="text1"/>
          <w:sz w:val="18"/>
          <w:szCs w:val="18"/>
          <w:lang w:val="en-US"/>
        </w:rPr>
        <w:t>.</w:t>
      </w:r>
    </w:p>
    <w:p w14:paraId="4246FC17" w14:textId="50E9CB37" w:rsidR="00941BF4" w:rsidRPr="005543A5" w:rsidRDefault="00941BF4" w:rsidP="007F128F">
      <w:pPr>
        <w:jc w:val="both"/>
        <w:rPr>
          <w:rFonts w:ascii="Garamond" w:hAnsi="Garamond"/>
          <w:color w:val="000000" w:themeColor="text1"/>
          <w:sz w:val="18"/>
          <w:szCs w:val="18"/>
          <w:lang w:val="en-US"/>
        </w:rPr>
      </w:pPr>
    </w:p>
    <w:p w14:paraId="2BFB3740" w14:textId="4DCE81CC" w:rsidR="00941BF4" w:rsidRPr="005543A5" w:rsidRDefault="00941BF4" w:rsidP="007F128F">
      <w:pPr>
        <w:jc w:val="both"/>
        <w:rPr>
          <w:rFonts w:ascii="Garamond" w:hAnsi="Garamond"/>
          <w:color w:val="000000" w:themeColor="text1"/>
          <w:sz w:val="18"/>
          <w:szCs w:val="18"/>
          <w:lang w:val="en-US"/>
        </w:rPr>
      </w:pPr>
      <w:r w:rsidRPr="005543A5">
        <w:rPr>
          <w:rFonts w:ascii="Garamond" w:hAnsi="Garamond"/>
          <w:color w:val="000000" w:themeColor="text1"/>
          <w:sz w:val="18"/>
          <w:szCs w:val="18"/>
          <w:lang w:val="en-US"/>
        </w:rPr>
        <w:t xml:space="preserve">Table A2. </w:t>
      </w:r>
      <w:r w:rsidR="00CB321E" w:rsidRPr="005543A5">
        <w:rPr>
          <w:rFonts w:ascii="Garamond" w:hAnsi="Garamond"/>
          <w:color w:val="000000" w:themeColor="text1"/>
          <w:sz w:val="18"/>
          <w:szCs w:val="18"/>
          <w:lang w:val="en-US"/>
        </w:rPr>
        <w:t>List of selected provisions for the After-2012 period. Main content and normative reference.</w:t>
      </w:r>
    </w:p>
    <w:p w14:paraId="593370F5" w14:textId="2581433E" w:rsidR="00941BF4" w:rsidRPr="005543A5" w:rsidRDefault="00941BF4" w:rsidP="007F128F">
      <w:pPr>
        <w:jc w:val="both"/>
        <w:rPr>
          <w:rFonts w:ascii="Garamond" w:hAnsi="Garamond"/>
          <w:color w:val="000000" w:themeColor="text1"/>
          <w:sz w:val="18"/>
          <w:szCs w:val="18"/>
          <w:lang w:val="en-US"/>
        </w:rPr>
      </w:pPr>
    </w:p>
    <w:tbl>
      <w:tblPr>
        <w:tblStyle w:val="Grigliatabella1"/>
        <w:tblW w:w="5452" w:type="pct"/>
        <w:tblInd w:w="-431" w:type="dxa"/>
        <w:tblLook w:val="04A0" w:firstRow="1" w:lastRow="0" w:firstColumn="1" w:lastColumn="0" w:noHBand="0" w:noVBand="1"/>
      </w:tblPr>
      <w:tblGrid>
        <w:gridCol w:w="6381"/>
        <w:gridCol w:w="4111"/>
      </w:tblGrid>
      <w:tr w:rsidR="005543A5" w:rsidRPr="005543A5" w14:paraId="5B0EF2B8" w14:textId="77777777" w:rsidTr="00AC1B7A">
        <w:trPr>
          <w:trHeight w:val="258"/>
        </w:trPr>
        <w:tc>
          <w:tcPr>
            <w:tcW w:w="3041" w:type="pct"/>
          </w:tcPr>
          <w:p w14:paraId="17252AF9" w14:textId="6F38E0DE" w:rsidR="00941BF4" w:rsidRPr="005543A5" w:rsidRDefault="00941BF4" w:rsidP="007F128F">
            <w:pPr>
              <w:pStyle w:val="Default"/>
              <w:tabs>
                <w:tab w:val="left" w:pos="0"/>
                <w:tab w:val="left" w:pos="37"/>
                <w:tab w:val="left" w:pos="321"/>
              </w:tabs>
              <w:jc w:val="both"/>
              <w:rPr>
                <w:rFonts w:ascii="Garamond" w:hAnsi="Garamond" w:cs="Times New Roman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="Times New Roman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Content of Provisions </w:t>
            </w:r>
          </w:p>
        </w:tc>
        <w:tc>
          <w:tcPr>
            <w:tcW w:w="1959" w:type="pct"/>
            <w:vAlign w:val="center"/>
          </w:tcPr>
          <w:p w14:paraId="07EE4663" w14:textId="77777777" w:rsidR="00941BF4" w:rsidRPr="005543A5" w:rsidRDefault="00941BF4" w:rsidP="007F128F">
            <w:pPr>
              <w:pStyle w:val="Default"/>
              <w:ind w:left="720"/>
              <w:jc w:val="both"/>
              <w:rPr>
                <w:rFonts w:ascii="Garamond" w:hAnsi="Garamond" w:cs="Times New Roman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="Times New Roman"/>
                <w:i/>
                <w:iCs/>
                <w:color w:val="000000" w:themeColor="text1"/>
                <w:sz w:val="18"/>
                <w:szCs w:val="18"/>
                <w:lang w:val="en-US"/>
              </w:rPr>
              <w:t>Normative Reference</w:t>
            </w:r>
          </w:p>
        </w:tc>
      </w:tr>
      <w:tr w:rsidR="005543A5" w:rsidRPr="005543A5" w14:paraId="36918D83" w14:textId="77777777" w:rsidTr="00AC1B7A">
        <w:tc>
          <w:tcPr>
            <w:tcW w:w="3041" w:type="pct"/>
          </w:tcPr>
          <w:p w14:paraId="678263DE" w14:textId="77777777" w:rsidR="00941BF4" w:rsidRPr="005543A5" w:rsidRDefault="00941BF4" w:rsidP="007F128F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  <w:tab w:val="left" w:pos="37"/>
                <w:tab w:val="left" w:pos="321"/>
              </w:tabs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Shrinking of provinces’ room of </w:t>
            </w:r>
            <w:proofErr w:type="spellStart"/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manoeuvre</w:t>
            </w:r>
            <w:proofErr w:type="spellEnd"/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 (2014)</w:t>
            </w:r>
          </w:p>
          <w:p w14:paraId="103E327D" w14:textId="77777777" w:rsidR="00941BF4" w:rsidRPr="005543A5" w:rsidRDefault="00941BF4" w:rsidP="007F128F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  <w:tab w:val="left" w:pos="37"/>
                <w:tab w:val="left" w:pos="321"/>
              </w:tabs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Abolition of CJM for municipalities (2019)</w:t>
            </w:r>
          </w:p>
        </w:tc>
        <w:tc>
          <w:tcPr>
            <w:tcW w:w="1959" w:type="pct"/>
            <w:vAlign w:val="center"/>
          </w:tcPr>
          <w:p w14:paraId="3D239C09" w14:textId="77777777" w:rsidR="00941BF4" w:rsidRPr="005543A5" w:rsidRDefault="00941BF4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L.56/2014 (</w:t>
            </w:r>
            <w:proofErr w:type="spellStart"/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Delrio</w:t>
            </w:r>
            <w:proofErr w:type="spellEnd"/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)</w:t>
            </w:r>
          </w:p>
          <w:p w14:paraId="1A25C8B5" w14:textId="77777777" w:rsidR="00941BF4" w:rsidRPr="005543A5" w:rsidRDefault="00941BF4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Const. Court Sentence 33/2019</w:t>
            </w:r>
          </w:p>
        </w:tc>
      </w:tr>
      <w:tr w:rsidR="005543A5" w:rsidRPr="005543A5" w14:paraId="771C23CB" w14:textId="77777777" w:rsidTr="00AC1B7A">
        <w:tc>
          <w:tcPr>
            <w:tcW w:w="3041" w:type="pct"/>
          </w:tcPr>
          <w:p w14:paraId="5DC3A3C2" w14:textId="356E2E2E" w:rsidR="005B611E" w:rsidRPr="005543A5" w:rsidRDefault="005B611E" w:rsidP="007F128F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  <w:tab w:val="left" w:pos="37"/>
                <w:tab w:val="left" w:pos="321"/>
              </w:tabs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Definitive abolition for LG to employ financial derivatives (2013)</w:t>
            </w:r>
          </w:p>
          <w:p w14:paraId="08EEB88E" w14:textId="31672A04" w:rsidR="00941BF4" w:rsidRPr="005543A5" w:rsidRDefault="00941BF4" w:rsidP="007F128F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  <w:tab w:val="left" w:pos="37"/>
                <w:tab w:val="left" w:pos="321"/>
              </w:tabs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Hollowing out of provinces’ competences (financial aspects) (2014)</w:t>
            </w:r>
          </w:p>
          <w:p w14:paraId="492ACA85" w14:textId="3BB0DCFC" w:rsidR="00500DFA" w:rsidRPr="005543A5" w:rsidRDefault="00941BF4" w:rsidP="007F128F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  <w:tab w:val="left" w:pos="37"/>
                <w:tab w:val="left" w:pos="321"/>
              </w:tabs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Extension of Internal Stability Pact to all local authorities (2013-2016)</w:t>
            </w:r>
          </w:p>
        </w:tc>
        <w:tc>
          <w:tcPr>
            <w:tcW w:w="1959" w:type="pct"/>
            <w:vAlign w:val="center"/>
          </w:tcPr>
          <w:p w14:paraId="350C007F" w14:textId="33346A05" w:rsidR="005B611E" w:rsidRPr="005543A5" w:rsidRDefault="005B611E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="Calibri"/>
                <w:color w:val="000000" w:themeColor="text1"/>
                <w:sz w:val="18"/>
                <w:szCs w:val="18"/>
                <w:lang w:val="en-US"/>
              </w:rPr>
              <w:t>L.147/2013</w:t>
            </w:r>
          </w:p>
          <w:p w14:paraId="09A82D3B" w14:textId="4156ABDC" w:rsidR="00941BF4" w:rsidRPr="005543A5" w:rsidRDefault="00941BF4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L.56/2014 </w:t>
            </w:r>
          </w:p>
          <w:p w14:paraId="13DBECE7" w14:textId="287BDF5B" w:rsidR="00941BF4" w:rsidRPr="005543A5" w:rsidRDefault="00941BF4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L.228/2012; L.228/2015 (Stability Laws)</w:t>
            </w:r>
          </w:p>
        </w:tc>
      </w:tr>
      <w:tr w:rsidR="005543A5" w:rsidRPr="005543A5" w14:paraId="1A94AC9C" w14:textId="77777777" w:rsidTr="00AC1B7A">
        <w:tc>
          <w:tcPr>
            <w:tcW w:w="3041" w:type="pct"/>
          </w:tcPr>
          <w:p w14:paraId="0D9626B3" w14:textId="77777777" w:rsidR="00941BF4" w:rsidRPr="005543A5" w:rsidRDefault="00941BF4" w:rsidP="007F128F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  <w:tab w:val="left" w:pos="37"/>
                <w:tab w:val="left" w:pos="321"/>
              </w:tabs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Indirect election mechanism for provinces (2014)</w:t>
            </w:r>
          </w:p>
          <w:p w14:paraId="54574F8F" w14:textId="77777777" w:rsidR="00941BF4" w:rsidRPr="005543A5" w:rsidRDefault="00941BF4" w:rsidP="007F128F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  <w:tab w:val="left" w:pos="37"/>
                <w:tab w:val="left" w:pos="321"/>
              </w:tabs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Indirect election of the provincial executives (2014)</w:t>
            </w:r>
          </w:p>
          <w:p w14:paraId="3493F312" w14:textId="77777777" w:rsidR="00941BF4" w:rsidRPr="005543A5" w:rsidRDefault="00941BF4" w:rsidP="007F128F">
            <w:pPr>
              <w:pStyle w:val="Default"/>
              <w:numPr>
                <w:ilvl w:val="0"/>
                <w:numId w:val="2"/>
              </w:numPr>
              <w:tabs>
                <w:tab w:val="left" w:pos="0"/>
                <w:tab w:val="left" w:pos="37"/>
                <w:tab w:val="left" w:pos="321"/>
              </w:tabs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Indirect election of representative assemblies of metropolitan cities (2014)</w:t>
            </w:r>
          </w:p>
          <w:p w14:paraId="2AE0D660" w14:textId="77777777" w:rsidR="00941BF4" w:rsidRPr="005543A5" w:rsidRDefault="00941BF4" w:rsidP="007F128F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  <w:tab w:val="left" w:pos="37"/>
                <w:tab w:val="left" w:pos="321"/>
              </w:tabs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Implementation of Metropolitan Cities (2014)</w:t>
            </w:r>
          </w:p>
        </w:tc>
        <w:tc>
          <w:tcPr>
            <w:tcW w:w="1959" w:type="pct"/>
            <w:vAlign w:val="center"/>
          </w:tcPr>
          <w:p w14:paraId="0E8CFCBE" w14:textId="02D0977E" w:rsidR="00941BF4" w:rsidRPr="005543A5" w:rsidRDefault="00941BF4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L.56/2014</w:t>
            </w:r>
          </w:p>
          <w:p w14:paraId="51C8ACA9" w14:textId="77777777" w:rsidR="00941BF4" w:rsidRPr="005543A5" w:rsidRDefault="00941BF4" w:rsidP="007F128F">
            <w:pPr>
              <w:ind w:left="360"/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5543A5" w:rsidRPr="005543A5" w14:paraId="338F784A" w14:textId="77777777" w:rsidTr="008123B3">
        <w:trPr>
          <w:trHeight w:val="162"/>
        </w:trPr>
        <w:tc>
          <w:tcPr>
            <w:tcW w:w="3041" w:type="pct"/>
          </w:tcPr>
          <w:p w14:paraId="54AE8EA6" w14:textId="77777777" w:rsidR="00941BF4" w:rsidRPr="005543A5" w:rsidRDefault="00941BF4" w:rsidP="007F128F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  <w:tab w:val="left" w:pos="37"/>
                <w:tab w:val="left" w:pos="321"/>
              </w:tabs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Reallocation of legal competences between regions and local authorities (2014)</w:t>
            </w:r>
          </w:p>
        </w:tc>
        <w:tc>
          <w:tcPr>
            <w:tcW w:w="1959" w:type="pct"/>
            <w:vAlign w:val="center"/>
          </w:tcPr>
          <w:p w14:paraId="602982E5" w14:textId="1A211934" w:rsidR="00941BF4" w:rsidRPr="005543A5" w:rsidRDefault="00941BF4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L.56/2014</w:t>
            </w:r>
          </w:p>
        </w:tc>
      </w:tr>
      <w:tr w:rsidR="005543A5" w:rsidRPr="005543A5" w14:paraId="7EE9D880" w14:textId="77777777" w:rsidTr="0085142A">
        <w:trPr>
          <w:trHeight w:val="360"/>
        </w:trPr>
        <w:tc>
          <w:tcPr>
            <w:tcW w:w="3041" w:type="pct"/>
          </w:tcPr>
          <w:p w14:paraId="3FFE3338" w14:textId="77777777" w:rsidR="0085142A" w:rsidRPr="005543A5" w:rsidRDefault="0085142A" w:rsidP="007F128F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  <w:tab w:val="left" w:pos="37"/>
                <w:tab w:val="left" w:pos="321"/>
              </w:tabs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Incentives, limits and restrictions for IMC and amalgamations (since 2012)</w:t>
            </w:r>
          </w:p>
          <w:p w14:paraId="15FFB0F4" w14:textId="77777777" w:rsidR="0085142A" w:rsidRPr="005543A5" w:rsidRDefault="0085142A" w:rsidP="007F128F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  <w:tab w:val="left" w:pos="37"/>
                <w:tab w:val="left" w:pos="321"/>
              </w:tabs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Regional rationalization of health districts (2012)</w:t>
            </w:r>
          </w:p>
          <w:p w14:paraId="748B856C" w14:textId="7E6C029D" w:rsidR="0085142A" w:rsidRPr="005543A5" w:rsidRDefault="0085142A" w:rsidP="007F128F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  <w:tab w:val="left" w:pos="37"/>
                <w:tab w:val="left" w:pos="321"/>
              </w:tabs>
              <w:jc w:val="both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Limitation to municipal control; increased corporatization (2015)</w:t>
            </w:r>
          </w:p>
        </w:tc>
        <w:tc>
          <w:tcPr>
            <w:tcW w:w="1959" w:type="pct"/>
          </w:tcPr>
          <w:p w14:paraId="76843822" w14:textId="2AF42DBD" w:rsidR="0085142A" w:rsidRPr="005543A5" w:rsidRDefault="0085142A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  <w:t>L.135/2012</w:t>
            </w:r>
          </w:p>
          <w:p w14:paraId="496A683D" w14:textId="77777777" w:rsidR="0085142A" w:rsidRPr="005543A5" w:rsidRDefault="0085142A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  <w:t>d.l.</w:t>
            </w:r>
            <w:proofErr w:type="spellEnd"/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  <w:t xml:space="preserve"> 158/2012 (Balduzzi)</w:t>
            </w:r>
          </w:p>
          <w:p w14:paraId="122DB79E" w14:textId="47D238B1" w:rsidR="0085142A" w:rsidRPr="005543A5" w:rsidRDefault="0085142A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  <w:t>L.124/2015 (Madia)</w:t>
            </w:r>
          </w:p>
        </w:tc>
      </w:tr>
      <w:tr w:rsidR="005543A5" w:rsidRPr="005543A5" w14:paraId="09BC7A07" w14:textId="77777777" w:rsidTr="0085142A">
        <w:trPr>
          <w:trHeight w:val="262"/>
        </w:trPr>
        <w:tc>
          <w:tcPr>
            <w:tcW w:w="3041" w:type="pct"/>
          </w:tcPr>
          <w:p w14:paraId="58277318" w14:textId="77777777" w:rsidR="0085142A" w:rsidRPr="005543A5" w:rsidRDefault="0085142A" w:rsidP="007F128F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  <w:tab w:val="left" w:pos="37"/>
                <w:tab w:val="left" w:pos="321"/>
              </w:tabs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Strengthening of ICT-accounting systems (2014)</w:t>
            </w:r>
          </w:p>
          <w:p w14:paraId="10A87DF1" w14:textId="70595AAF" w:rsidR="0016447E" w:rsidRPr="005543A5" w:rsidRDefault="0016447E" w:rsidP="007F128F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  <w:tab w:val="left" w:pos="37"/>
                <w:tab w:val="left" w:pos="321"/>
              </w:tabs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Limit to hiring in PA bound to financial sustainability (2016-2019)</w:t>
            </w:r>
          </w:p>
        </w:tc>
        <w:tc>
          <w:tcPr>
            <w:tcW w:w="1959" w:type="pct"/>
          </w:tcPr>
          <w:p w14:paraId="5B142C6A" w14:textId="77777777" w:rsidR="0085142A" w:rsidRPr="005543A5" w:rsidRDefault="0085142A" w:rsidP="007F128F">
            <w:pPr>
              <w:tabs>
                <w:tab w:val="left" w:pos="0"/>
                <w:tab w:val="left" w:pos="37"/>
                <w:tab w:val="left" w:pos="321"/>
              </w:tabs>
              <w:contextualSpacing/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Dlgs</w:t>
            </w:r>
            <w:proofErr w:type="spellEnd"/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 126/2014 (fiscal federalism)</w:t>
            </w:r>
          </w:p>
          <w:p w14:paraId="378BD022" w14:textId="0ECDD1EF" w:rsidR="0016447E" w:rsidRPr="005543A5" w:rsidRDefault="0016447E" w:rsidP="007F128F">
            <w:pPr>
              <w:tabs>
                <w:tab w:val="left" w:pos="0"/>
                <w:tab w:val="left" w:pos="37"/>
                <w:tab w:val="left" w:pos="321"/>
              </w:tabs>
              <w:contextualSpacing/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L.232/2016; L.160/2019</w:t>
            </w:r>
          </w:p>
        </w:tc>
      </w:tr>
      <w:tr w:rsidR="005543A5" w:rsidRPr="005543A5" w14:paraId="232DFAAF" w14:textId="77777777" w:rsidTr="00AC1B7A">
        <w:tc>
          <w:tcPr>
            <w:tcW w:w="3041" w:type="pct"/>
          </w:tcPr>
          <w:p w14:paraId="4EC3D209" w14:textId="5B4140C4" w:rsidR="002B29B1" w:rsidRPr="005543A5" w:rsidRDefault="002B29B1" w:rsidP="007F128F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  <w:tab w:val="left" w:pos="37"/>
                <w:tab w:val="left" w:pos="321"/>
              </w:tabs>
              <w:autoSpaceDE w:val="0"/>
              <w:autoSpaceDN w:val="0"/>
              <w:adjustRightInd w:val="0"/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Personnel transfer among local levels (201</w:t>
            </w:r>
            <w:r w:rsidR="00A1468C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2</w:t>
            </w: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)</w:t>
            </w:r>
          </w:p>
          <w:p w14:paraId="6C2397DD" w14:textId="6ED8B075" w:rsidR="00941BF4" w:rsidRPr="005543A5" w:rsidRDefault="00941BF4" w:rsidP="007F128F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  <w:tab w:val="left" w:pos="37"/>
                <w:tab w:val="left" w:pos="321"/>
              </w:tabs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Reallocation and reduction of municipal and provincial personnel (2014)</w:t>
            </w:r>
          </w:p>
          <w:p w14:paraId="7F669F28" w14:textId="1EF4C21C" w:rsidR="002B29B1" w:rsidRPr="005543A5" w:rsidRDefault="002B29B1" w:rsidP="007F128F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  <w:tab w:val="left" w:pos="37"/>
              </w:tabs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Additional General Rules for Public Employment (2015-2017)</w:t>
            </w:r>
          </w:p>
          <w:p w14:paraId="2C85F2BF" w14:textId="477839C7" w:rsidR="00204395" w:rsidRPr="005543A5" w:rsidRDefault="0016447E" w:rsidP="007F128F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  <w:tab w:val="left" w:pos="37"/>
              </w:tabs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Additional rules for HR (2019) </w:t>
            </w:r>
          </w:p>
        </w:tc>
        <w:tc>
          <w:tcPr>
            <w:tcW w:w="1959" w:type="pct"/>
            <w:vAlign w:val="center"/>
          </w:tcPr>
          <w:p w14:paraId="415BEB7A" w14:textId="7C7C887F" w:rsidR="002B29B1" w:rsidRPr="005543A5" w:rsidRDefault="002B29B1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L.183/2011</w:t>
            </w:r>
            <w:r w:rsidR="00A1468C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(Stability Law for 2012)</w:t>
            </w:r>
          </w:p>
          <w:p w14:paraId="29BE4DCC" w14:textId="0CEED487" w:rsidR="00941BF4" w:rsidRPr="005543A5" w:rsidRDefault="00941BF4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L.56/2014; L. 190/2014 (Stability Law for 2015)</w:t>
            </w:r>
          </w:p>
          <w:p w14:paraId="20FDFE8A" w14:textId="77777777" w:rsidR="00204395" w:rsidRPr="005543A5" w:rsidRDefault="00204395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Dlgs</w:t>
            </w:r>
            <w:proofErr w:type="spellEnd"/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 81/2015; </w:t>
            </w:r>
            <w:proofErr w:type="spellStart"/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Dlgs</w:t>
            </w:r>
            <w:proofErr w:type="spellEnd"/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 75/2017</w:t>
            </w:r>
          </w:p>
          <w:p w14:paraId="04BB5EBC" w14:textId="58E1DA3D" w:rsidR="002B29B1" w:rsidRPr="005543A5" w:rsidRDefault="002B29B1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L.26/2019; L.56/2019</w:t>
            </w:r>
          </w:p>
        </w:tc>
      </w:tr>
      <w:tr w:rsidR="005543A5" w:rsidRPr="005543A5" w14:paraId="12AA0729" w14:textId="77777777" w:rsidTr="00AC1B7A">
        <w:tc>
          <w:tcPr>
            <w:tcW w:w="3041" w:type="pct"/>
          </w:tcPr>
          <w:p w14:paraId="35F6E1BE" w14:textId="730D2458" w:rsidR="00941BF4" w:rsidRPr="005543A5" w:rsidRDefault="00941BF4" w:rsidP="007F128F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  <w:tab w:val="left" w:pos="37"/>
                <w:tab w:val="left" w:pos="321"/>
              </w:tabs>
              <w:autoSpaceDE w:val="0"/>
              <w:autoSpaceDN w:val="0"/>
              <w:adjustRightInd w:val="0"/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Central supervision on performance with judicial powers (2012-2014)</w:t>
            </w:r>
          </w:p>
          <w:p w14:paraId="5B3F0B84" w14:textId="0FAF4262" w:rsidR="00BB062A" w:rsidRPr="005543A5" w:rsidRDefault="00941BF4" w:rsidP="007F128F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  <w:tab w:val="left" w:pos="37"/>
                <w:tab w:val="left" w:pos="321"/>
              </w:tabs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Rationalization of municipal corporation (2016)</w:t>
            </w:r>
          </w:p>
        </w:tc>
        <w:tc>
          <w:tcPr>
            <w:tcW w:w="1959" w:type="pct"/>
            <w:vAlign w:val="center"/>
          </w:tcPr>
          <w:p w14:paraId="1CA9AA76" w14:textId="495502ED" w:rsidR="00941BF4" w:rsidRPr="005543A5" w:rsidRDefault="00941BF4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L.190/2012; L.114/2014</w:t>
            </w:r>
          </w:p>
          <w:p w14:paraId="33FD2CBC" w14:textId="536127AE" w:rsidR="00BB062A" w:rsidRPr="005543A5" w:rsidRDefault="00941BF4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Dlgs</w:t>
            </w:r>
            <w:proofErr w:type="spellEnd"/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 175/2016; </w:t>
            </w:r>
            <w:proofErr w:type="spellStart"/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Dlgs</w:t>
            </w:r>
            <w:proofErr w:type="spellEnd"/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 100/2017</w:t>
            </w:r>
          </w:p>
        </w:tc>
      </w:tr>
      <w:tr w:rsidR="005543A5" w:rsidRPr="005543A5" w14:paraId="48FC9BDE" w14:textId="77777777" w:rsidTr="00AC1B7A">
        <w:tc>
          <w:tcPr>
            <w:tcW w:w="3041" w:type="pct"/>
          </w:tcPr>
          <w:p w14:paraId="1FE161B9" w14:textId="77777777" w:rsidR="00941BF4" w:rsidRPr="005543A5" w:rsidRDefault="00941BF4" w:rsidP="007F128F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  <w:tab w:val="left" w:pos="37"/>
                <w:tab w:val="left" w:pos="321"/>
              </w:tabs>
              <w:autoSpaceDE w:val="0"/>
              <w:autoSpaceDN w:val="0"/>
              <w:adjustRightInd w:val="0"/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Reallocation of provincial administrative functions/tasks (2014)</w:t>
            </w:r>
          </w:p>
        </w:tc>
        <w:tc>
          <w:tcPr>
            <w:tcW w:w="1959" w:type="pct"/>
            <w:vAlign w:val="center"/>
          </w:tcPr>
          <w:p w14:paraId="246EC808" w14:textId="77777777" w:rsidR="00941BF4" w:rsidRPr="005543A5" w:rsidRDefault="00941BF4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L.56/2014</w:t>
            </w:r>
          </w:p>
        </w:tc>
      </w:tr>
      <w:tr w:rsidR="005543A5" w:rsidRPr="005543A5" w14:paraId="2A256920" w14:textId="77777777" w:rsidTr="00AC1B7A">
        <w:tc>
          <w:tcPr>
            <w:tcW w:w="3041" w:type="pct"/>
          </w:tcPr>
          <w:p w14:paraId="1DF47FFF" w14:textId="77777777" w:rsidR="00941BF4" w:rsidRPr="005543A5" w:rsidRDefault="00941BF4" w:rsidP="007F128F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  <w:tab w:val="left" w:pos="37"/>
                <w:tab w:val="left" w:pos="321"/>
              </w:tabs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Joint State-municipalities fiscal drawing on real estate (municipal fiscal federalism)(2012)</w:t>
            </w:r>
          </w:p>
        </w:tc>
        <w:tc>
          <w:tcPr>
            <w:tcW w:w="1959" w:type="pct"/>
            <w:vAlign w:val="center"/>
          </w:tcPr>
          <w:p w14:paraId="47DF2623" w14:textId="77777777" w:rsidR="00941BF4" w:rsidRPr="005543A5" w:rsidRDefault="00941BF4" w:rsidP="007F128F">
            <w:pPr>
              <w:jc w:val="both"/>
              <w:rPr>
                <w:rFonts w:ascii="Garamond" w:hAnsi="Garamond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  <w:t>L.214/2011 (Salva Italia)</w:t>
            </w:r>
          </w:p>
          <w:p w14:paraId="56C6F803" w14:textId="77777777" w:rsidR="00941BF4" w:rsidRPr="005543A5" w:rsidRDefault="00941BF4" w:rsidP="007F128F">
            <w:pPr>
              <w:jc w:val="both"/>
              <w:rPr>
                <w:rFonts w:ascii="Garamond" w:hAnsi="Garamond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5543A5" w:rsidRPr="005543A5" w14:paraId="32F79C6B" w14:textId="77777777" w:rsidTr="00AC1B7A">
        <w:tc>
          <w:tcPr>
            <w:tcW w:w="3041" w:type="pct"/>
          </w:tcPr>
          <w:p w14:paraId="783EC8E3" w14:textId="77777777" w:rsidR="00941BF4" w:rsidRPr="005543A5" w:rsidRDefault="00941BF4" w:rsidP="007F128F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  <w:tab w:val="left" w:pos="37"/>
                <w:tab w:val="left" w:pos="321"/>
              </w:tabs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Geographical reconfiguration of provinces and functional areas (</w:t>
            </w:r>
            <w:proofErr w:type="spellStart"/>
            <w:r w:rsidRPr="005543A5">
              <w:rPr>
                <w:rFonts w:ascii="Garamond" w:hAnsi="Garamond" w:cstheme="minorHAnsi"/>
                <w:i/>
                <w:iCs/>
                <w:color w:val="000000" w:themeColor="text1"/>
                <w:sz w:val="18"/>
                <w:szCs w:val="18"/>
                <w:lang w:val="en-US"/>
              </w:rPr>
              <w:t>aree</w:t>
            </w:r>
            <w:proofErr w:type="spellEnd"/>
            <w:r w:rsidRPr="005543A5">
              <w:rPr>
                <w:rFonts w:ascii="Garamond" w:hAnsi="Garamond" w:cstheme="minorHAnsi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43A5">
              <w:rPr>
                <w:rFonts w:ascii="Garamond" w:hAnsi="Garamond" w:cstheme="minorHAnsi"/>
                <w:i/>
                <w:iCs/>
                <w:color w:val="000000" w:themeColor="text1"/>
                <w:sz w:val="18"/>
                <w:szCs w:val="18"/>
                <w:lang w:val="en-US"/>
              </w:rPr>
              <w:t>vaste</w:t>
            </w:r>
            <w:proofErr w:type="spellEnd"/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) (2014)</w:t>
            </w:r>
          </w:p>
          <w:p w14:paraId="1BADAB9F" w14:textId="23CCC991" w:rsidR="00941BF4" w:rsidRPr="005543A5" w:rsidRDefault="00941BF4" w:rsidP="007F128F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  <w:tab w:val="left" w:pos="37"/>
                <w:tab w:val="left" w:pos="321"/>
              </w:tabs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  <w:t>Procurement</w:t>
            </w:r>
            <w:proofErr w:type="spellEnd"/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  <w:t xml:space="preserve"> Code</w:t>
            </w:r>
            <w:r w:rsidR="000427BC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  <w:t xml:space="preserve"> (2016)</w:t>
            </w:r>
          </w:p>
        </w:tc>
        <w:tc>
          <w:tcPr>
            <w:tcW w:w="1959" w:type="pct"/>
            <w:vAlign w:val="center"/>
          </w:tcPr>
          <w:p w14:paraId="709DAFAD" w14:textId="77777777" w:rsidR="00941BF4" w:rsidRPr="005543A5" w:rsidRDefault="00941BF4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L.56/2014</w:t>
            </w:r>
          </w:p>
          <w:p w14:paraId="248239FE" w14:textId="77777777" w:rsidR="00941BF4" w:rsidRPr="005543A5" w:rsidRDefault="00941BF4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5543A5">
              <w:rPr>
                <w:rFonts w:ascii="Garamond" w:hAnsi="Garamond" w:cs="Calibri"/>
                <w:color w:val="000000" w:themeColor="text1"/>
                <w:sz w:val="18"/>
                <w:szCs w:val="18"/>
              </w:rPr>
              <w:t>Dlgs</w:t>
            </w:r>
            <w:proofErr w:type="spellEnd"/>
            <w:r w:rsidRPr="005543A5">
              <w:rPr>
                <w:rFonts w:ascii="Garamond" w:hAnsi="Garamond" w:cs="Calibri"/>
                <w:color w:val="000000" w:themeColor="text1"/>
                <w:sz w:val="18"/>
                <w:szCs w:val="18"/>
              </w:rPr>
              <w:t xml:space="preserve"> 50/2016</w:t>
            </w:r>
          </w:p>
        </w:tc>
      </w:tr>
      <w:tr w:rsidR="005543A5" w:rsidRPr="005543A5" w14:paraId="39C82639" w14:textId="77777777" w:rsidTr="00AC1B7A">
        <w:tc>
          <w:tcPr>
            <w:tcW w:w="3041" w:type="pct"/>
          </w:tcPr>
          <w:p w14:paraId="603871DC" w14:textId="77777777" w:rsidR="00941BF4" w:rsidRPr="005543A5" w:rsidRDefault="00941BF4" w:rsidP="007F128F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  <w:tab w:val="left" w:pos="37"/>
                <w:tab w:val="left" w:pos="321"/>
              </w:tabs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Differentiated regionalism (increased functions allocated to 3 OSRs by State/regions agreements 2018 – in stalemate)</w:t>
            </w:r>
          </w:p>
        </w:tc>
        <w:tc>
          <w:tcPr>
            <w:tcW w:w="1959" w:type="pct"/>
            <w:vAlign w:val="center"/>
          </w:tcPr>
          <w:p w14:paraId="7074FF94" w14:textId="77777777" w:rsidR="00941BF4" w:rsidRPr="005543A5" w:rsidRDefault="00941BF4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2017 Approval by Region Emilia Romagna Assembly</w:t>
            </w:r>
          </w:p>
          <w:p w14:paraId="537DB7DE" w14:textId="77777777" w:rsidR="00941BF4" w:rsidRPr="005543A5" w:rsidRDefault="00941BF4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2017 Popular referenda in Veneto and Lombardy;</w:t>
            </w:r>
          </w:p>
          <w:p w14:paraId="19039718" w14:textId="65A0A8AF" w:rsidR="00941BF4" w:rsidRPr="005543A5" w:rsidRDefault="00941BF4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2018-2019: preliminary agreements </w:t>
            </w:r>
          </w:p>
        </w:tc>
      </w:tr>
      <w:tr w:rsidR="005543A5" w:rsidRPr="005543A5" w14:paraId="510AFCF1" w14:textId="77777777" w:rsidTr="00AC1B7A">
        <w:tc>
          <w:tcPr>
            <w:tcW w:w="3041" w:type="pct"/>
          </w:tcPr>
          <w:p w14:paraId="4E6F1C84" w14:textId="77777777" w:rsidR="00941BF4" w:rsidRPr="005543A5" w:rsidRDefault="00941BF4" w:rsidP="007F128F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  <w:tab w:val="left" w:pos="37"/>
                <w:tab w:val="left" w:pos="321"/>
              </w:tabs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Exacerbating central supervision on local expenditure (since 2012)</w:t>
            </w:r>
          </w:p>
        </w:tc>
        <w:tc>
          <w:tcPr>
            <w:tcW w:w="1959" w:type="pct"/>
            <w:vAlign w:val="center"/>
          </w:tcPr>
          <w:p w14:paraId="17A5DC8E" w14:textId="77777777" w:rsidR="00941BF4" w:rsidRPr="005543A5" w:rsidRDefault="00941BF4" w:rsidP="007F128F">
            <w:pPr>
              <w:jc w:val="both"/>
              <w:rPr>
                <w:rFonts w:ascii="Garamond" w:hAnsi="Garamond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  <w:t xml:space="preserve">L.135/2012 </w:t>
            </w:r>
            <w:proofErr w:type="spellStart"/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  <w:t>spending</w:t>
            </w:r>
            <w:proofErr w:type="spellEnd"/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  <w:t>review</w:t>
            </w:r>
            <w:proofErr w:type="spellEnd"/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</w:rPr>
              <w:t>; L.214/2011 (Salva Italia)</w:t>
            </w:r>
          </w:p>
        </w:tc>
      </w:tr>
      <w:tr w:rsidR="005543A5" w:rsidRPr="005543A5" w14:paraId="7B199888" w14:textId="77777777" w:rsidTr="00AC1B7A">
        <w:tc>
          <w:tcPr>
            <w:tcW w:w="3041" w:type="pct"/>
          </w:tcPr>
          <w:p w14:paraId="2D967CB9" w14:textId="7DA7A0C7" w:rsidR="00941BF4" w:rsidRPr="005543A5" w:rsidRDefault="00941BF4" w:rsidP="007F128F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  <w:tab w:val="left" w:pos="37"/>
                <w:tab w:val="left" w:pos="321"/>
              </w:tabs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Mayors/municipal political class in charge in the provinces as council members</w:t>
            </w:r>
            <w:r w:rsidR="00CF7A91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013B9084" w14:textId="77777777" w:rsidR="00941BF4" w:rsidRPr="005543A5" w:rsidRDefault="00941BF4" w:rsidP="007F128F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  <w:tab w:val="left" w:pos="37"/>
                <w:tab w:val="left" w:pos="321"/>
              </w:tabs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Mayors’ political access to national cabinet</w:t>
            </w:r>
          </w:p>
          <w:p w14:paraId="6523BA1E" w14:textId="77777777" w:rsidR="00941BF4" w:rsidRPr="005543A5" w:rsidRDefault="00941BF4" w:rsidP="007F128F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  <w:tab w:val="left" w:pos="37"/>
                <w:tab w:val="left" w:pos="321"/>
              </w:tabs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Increased regional presidents’ personal leadership</w:t>
            </w:r>
          </w:p>
          <w:p w14:paraId="26A80A83" w14:textId="77777777" w:rsidR="00941BF4" w:rsidRPr="005543A5" w:rsidRDefault="00941BF4" w:rsidP="007F128F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  <w:tab w:val="left" w:pos="37"/>
                <w:tab w:val="left" w:pos="321"/>
              </w:tabs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Deinstitutionalization/politicization of institutional regional-municipal relations </w:t>
            </w:r>
          </w:p>
          <w:p w14:paraId="17A7FAF7" w14:textId="77777777" w:rsidR="00941BF4" w:rsidRPr="005543A5" w:rsidRDefault="00941BF4" w:rsidP="007F128F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  <w:tab w:val="left" w:pos="37"/>
                <w:tab w:val="left" w:pos="321"/>
              </w:tabs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Increased representation of institutional local authorities’ interest groups</w:t>
            </w:r>
          </w:p>
        </w:tc>
        <w:tc>
          <w:tcPr>
            <w:tcW w:w="1959" w:type="pct"/>
            <w:vAlign w:val="center"/>
          </w:tcPr>
          <w:p w14:paraId="1ED3A4F0" w14:textId="62F4782C" w:rsidR="00CF7A91" w:rsidRPr="005543A5" w:rsidRDefault="002F4EA3" w:rsidP="007F128F">
            <w:pPr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No specific provisions but: </w:t>
            </w: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br/>
              <w:t xml:space="preserve">- Delayed effects </w:t>
            </w:r>
            <w:r w:rsidR="00BA5AC1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and or s</w:t>
            </w: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ymbolic effects of some crucial norms such as the</w:t>
            </w:r>
            <w:r w:rsidR="00BA5AC1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A5AC1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Bassanini</w:t>
            </w:r>
            <w:proofErr w:type="spellEnd"/>
            <w:r w:rsidR="00BA5AC1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 Laws, </w:t>
            </w: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Fiscal</w:t>
            </w:r>
            <w:r w:rsidR="00BA5AC1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CF7A91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Federalism </w:t>
            </w: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and the 2011 </w:t>
            </w:r>
            <w:r w:rsidR="00CF7A91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referend</w:t>
            </w: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um on LPS</w:t>
            </w:r>
          </w:p>
          <w:p w14:paraId="22539220" w14:textId="078EBA82" w:rsidR="00CF7A91" w:rsidRPr="005543A5" w:rsidRDefault="00570DA7" w:rsidP="007F128F">
            <w:pPr>
              <w:pStyle w:val="Paragrafoelenco"/>
              <w:numPr>
                <w:ilvl w:val="0"/>
                <w:numId w:val="5"/>
              </w:numPr>
              <w:ind w:left="174" w:hanging="141"/>
              <w:jc w:val="both"/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</w:pPr>
            <w:r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>Consequences of the austerity norms since 2012 and of the L.56/2014</w:t>
            </w:r>
            <w:r w:rsidR="00CF7A91" w:rsidRPr="005543A5">
              <w:rPr>
                <w:rFonts w:ascii="Garamond" w:hAnsi="Garamond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220AADD8" w14:textId="77777777" w:rsidR="00564DA5" w:rsidRDefault="008123B3" w:rsidP="007F128F">
      <w:pPr>
        <w:jc w:val="both"/>
        <w:rPr>
          <w:rFonts w:ascii="Garamond" w:hAnsi="Garamond"/>
          <w:color w:val="000000" w:themeColor="text1"/>
          <w:sz w:val="18"/>
          <w:szCs w:val="18"/>
          <w:lang w:val="en-US"/>
        </w:rPr>
      </w:pPr>
      <w:r w:rsidRPr="005543A5">
        <w:rPr>
          <w:rFonts w:ascii="Garamond" w:hAnsi="Garamond"/>
          <w:i/>
          <w:iCs/>
          <w:color w:val="000000" w:themeColor="text1"/>
          <w:sz w:val="18"/>
          <w:szCs w:val="18"/>
          <w:lang w:val="en-US"/>
        </w:rPr>
        <w:t>Source</w:t>
      </w:r>
      <w:r w:rsidRPr="005543A5">
        <w:rPr>
          <w:rFonts w:ascii="Garamond" w:hAnsi="Garamond"/>
          <w:color w:val="000000" w:themeColor="text1"/>
          <w:sz w:val="18"/>
          <w:szCs w:val="18"/>
          <w:lang w:val="en-US"/>
        </w:rPr>
        <w:t>: Authors’ compilation from parliamentary sources</w:t>
      </w:r>
      <w:r w:rsidR="001110BD" w:rsidRPr="005543A5">
        <w:rPr>
          <w:rFonts w:ascii="Garamond" w:hAnsi="Garamond"/>
          <w:color w:val="000000" w:themeColor="text1"/>
          <w:sz w:val="18"/>
          <w:szCs w:val="18"/>
          <w:lang w:val="en-US"/>
        </w:rPr>
        <w:t>.</w:t>
      </w:r>
    </w:p>
    <w:p w14:paraId="5A25981A" w14:textId="27283720" w:rsidR="00564DA5" w:rsidRDefault="00564DA5" w:rsidP="007F128F">
      <w:pPr>
        <w:jc w:val="both"/>
        <w:rPr>
          <w:rFonts w:ascii="Garamond" w:hAnsi="Garamond"/>
          <w:color w:val="000000" w:themeColor="text1"/>
          <w:sz w:val="18"/>
          <w:szCs w:val="18"/>
          <w:lang w:val="en-US"/>
        </w:rPr>
      </w:pPr>
    </w:p>
    <w:p w14:paraId="4CD795F9" w14:textId="77777777" w:rsidR="00564DA5" w:rsidRDefault="00564DA5" w:rsidP="007F128F">
      <w:pPr>
        <w:jc w:val="both"/>
        <w:rPr>
          <w:rFonts w:ascii="Garamond" w:hAnsi="Garamond"/>
          <w:color w:val="000000" w:themeColor="text1"/>
          <w:sz w:val="18"/>
          <w:szCs w:val="18"/>
          <w:lang w:val="en-US"/>
        </w:rPr>
      </w:pPr>
    </w:p>
    <w:p w14:paraId="233A2CC2" w14:textId="77777777" w:rsidR="00564DA5" w:rsidRPr="00564DA5" w:rsidRDefault="00564DA5" w:rsidP="00564DA5">
      <w:pPr>
        <w:ind w:left="-426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564DA5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Additional comments: </w:t>
      </w:r>
    </w:p>
    <w:p w14:paraId="1BCD1EED" w14:textId="77777777" w:rsidR="00564DA5" w:rsidRPr="00564DA5" w:rsidRDefault="00564DA5" w:rsidP="00564DA5">
      <w:pPr>
        <w:ind w:left="-426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</w:p>
    <w:p w14:paraId="25AD4FE6" w14:textId="09D3C22E" w:rsidR="00CF6170" w:rsidRPr="00564DA5" w:rsidRDefault="00C86BCA" w:rsidP="00564DA5">
      <w:pPr>
        <w:ind w:left="-426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564DA5">
        <w:rPr>
          <w:rFonts w:ascii="Garamond" w:hAnsi="Garamond"/>
          <w:color w:val="000000" w:themeColor="text1"/>
          <w:sz w:val="22"/>
          <w:szCs w:val="22"/>
          <w:lang w:val="en-US"/>
        </w:rPr>
        <w:t>T</w:t>
      </w:r>
      <w:r w:rsidR="001D21F0" w:rsidRPr="00564DA5">
        <w:rPr>
          <w:rFonts w:ascii="Garamond" w:hAnsi="Garamond" w:cstheme="minorHAnsi"/>
          <w:color w:val="000000" w:themeColor="text1"/>
          <w:sz w:val="22"/>
          <w:szCs w:val="22"/>
          <w:lang w:val="en-US"/>
        </w:rPr>
        <w:t xml:space="preserve">he legislative path to the </w:t>
      </w:r>
      <w:proofErr w:type="spellStart"/>
      <w:r w:rsidR="001D21F0" w:rsidRPr="00564DA5">
        <w:rPr>
          <w:rFonts w:ascii="Garamond" w:hAnsi="Garamond" w:cstheme="minorHAnsi"/>
          <w:color w:val="000000" w:themeColor="text1"/>
          <w:sz w:val="22"/>
          <w:szCs w:val="22"/>
          <w:lang w:val="en-US"/>
        </w:rPr>
        <w:t>Delrio</w:t>
      </w:r>
      <w:proofErr w:type="spellEnd"/>
      <w:r w:rsidR="001D21F0" w:rsidRPr="00564DA5">
        <w:rPr>
          <w:rFonts w:ascii="Garamond" w:hAnsi="Garamond" w:cstheme="minorHAnsi"/>
          <w:color w:val="000000" w:themeColor="text1"/>
          <w:sz w:val="22"/>
          <w:szCs w:val="22"/>
          <w:lang w:val="en-US"/>
        </w:rPr>
        <w:t xml:space="preserve"> Law 56/2014 started some years before with several provisions such as</w:t>
      </w:r>
      <w:r w:rsidR="00CF6170" w:rsidRPr="00564DA5">
        <w:rPr>
          <w:rFonts w:ascii="Garamond" w:hAnsi="Garamond" w:cstheme="minorHAnsi"/>
          <w:color w:val="000000" w:themeColor="text1"/>
          <w:sz w:val="22"/>
          <w:szCs w:val="22"/>
          <w:lang w:val="en-US"/>
        </w:rPr>
        <w:t xml:space="preserve"> </w:t>
      </w:r>
      <w:r w:rsidR="001D21F0" w:rsidRPr="00564DA5">
        <w:rPr>
          <w:rFonts w:ascii="Garamond" w:hAnsi="Garamond" w:cstheme="minorHAnsi"/>
          <w:color w:val="000000" w:themeColor="text1"/>
          <w:sz w:val="22"/>
          <w:szCs w:val="22"/>
          <w:lang w:val="en-US"/>
        </w:rPr>
        <w:t xml:space="preserve">L. </w:t>
      </w:r>
      <w:r w:rsidR="00CF6170" w:rsidRPr="00564DA5">
        <w:rPr>
          <w:rFonts w:ascii="Garamond" w:hAnsi="Garamond" w:cstheme="minorHAnsi"/>
          <w:color w:val="000000" w:themeColor="text1"/>
          <w:sz w:val="22"/>
          <w:szCs w:val="22"/>
          <w:lang w:val="en-US"/>
        </w:rPr>
        <w:t>135/2012</w:t>
      </w:r>
      <w:r w:rsidRPr="00564DA5">
        <w:rPr>
          <w:rFonts w:ascii="Garamond" w:hAnsi="Garamond" w:cstheme="minorHAnsi"/>
          <w:color w:val="000000" w:themeColor="text1"/>
          <w:sz w:val="22"/>
          <w:szCs w:val="22"/>
          <w:lang w:val="en-US"/>
        </w:rPr>
        <w:t>, which foresaw to heavily reduce the number of provinces. The</w:t>
      </w:r>
      <w:r w:rsidR="00CF6170" w:rsidRPr="00564DA5">
        <w:rPr>
          <w:rFonts w:ascii="Garamond" w:hAnsi="Garamond" w:cstheme="minorHAnsi"/>
          <w:color w:val="000000" w:themeColor="text1"/>
          <w:sz w:val="22"/>
          <w:szCs w:val="22"/>
          <w:lang w:val="en-US"/>
        </w:rPr>
        <w:t xml:space="preserve"> </w:t>
      </w:r>
      <w:r w:rsidRPr="00564DA5">
        <w:rPr>
          <w:rFonts w:ascii="Garamond" w:hAnsi="Garamond" w:cstheme="minorHAnsi"/>
          <w:color w:val="000000" w:themeColor="text1"/>
          <w:sz w:val="22"/>
          <w:szCs w:val="22"/>
          <w:lang w:val="en-US"/>
        </w:rPr>
        <w:t xml:space="preserve">following </w:t>
      </w:r>
      <w:r w:rsidR="00CF6170" w:rsidRPr="00564DA5">
        <w:rPr>
          <w:rFonts w:ascii="Garamond" w:hAnsi="Garamond" w:cstheme="minorHAnsi"/>
          <w:color w:val="000000" w:themeColor="text1"/>
          <w:sz w:val="22"/>
          <w:szCs w:val="22"/>
          <w:lang w:val="en-US"/>
        </w:rPr>
        <w:t>C</w:t>
      </w:r>
      <w:r w:rsidRPr="00564DA5">
        <w:rPr>
          <w:rFonts w:ascii="Garamond" w:hAnsi="Garamond" w:cstheme="minorHAnsi"/>
          <w:color w:val="000000" w:themeColor="text1"/>
          <w:sz w:val="22"/>
          <w:szCs w:val="22"/>
          <w:lang w:val="en-US"/>
        </w:rPr>
        <w:t xml:space="preserve">onstitutional </w:t>
      </w:r>
      <w:r w:rsidR="00CF6170" w:rsidRPr="00564DA5">
        <w:rPr>
          <w:rFonts w:ascii="Garamond" w:hAnsi="Garamond" w:cstheme="minorHAnsi"/>
          <w:color w:val="000000" w:themeColor="text1"/>
          <w:sz w:val="22"/>
          <w:szCs w:val="22"/>
          <w:lang w:val="en-US"/>
        </w:rPr>
        <w:t>C</w:t>
      </w:r>
      <w:r w:rsidRPr="00564DA5">
        <w:rPr>
          <w:rFonts w:ascii="Garamond" w:hAnsi="Garamond" w:cstheme="minorHAnsi"/>
          <w:color w:val="000000" w:themeColor="text1"/>
          <w:sz w:val="22"/>
          <w:szCs w:val="22"/>
          <w:lang w:val="en-US"/>
        </w:rPr>
        <w:t>ourt sentence n.</w:t>
      </w:r>
      <w:r w:rsidR="00CF6170" w:rsidRPr="00564DA5">
        <w:rPr>
          <w:rFonts w:ascii="Garamond" w:hAnsi="Garamond" w:cstheme="minorHAnsi"/>
          <w:color w:val="000000" w:themeColor="text1"/>
          <w:sz w:val="22"/>
          <w:szCs w:val="22"/>
          <w:lang w:val="en-US"/>
        </w:rPr>
        <w:t>220/2013</w:t>
      </w:r>
      <w:r w:rsidRPr="00564DA5">
        <w:rPr>
          <w:rFonts w:ascii="Garamond" w:hAnsi="Garamond" w:cstheme="minorHAnsi"/>
          <w:color w:val="000000" w:themeColor="text1"/>
          <w:sz w:val="22"/>
          <w:szCs w:val="22"/>
          <w:lang w:val="en-US"/>
        </w:rPr>
        <w:t xml:space="preserve"> blocked this first reform attempt.</w:t>
      </w:r>
      <w:r w:rsidR="001D21F0" w:rsidRPr="00564DA5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 </w:t>
      </w:r>
    </w:p>
    <w:p w14:paraId="1C93ACFF" w14:textId="77777777" w:rsidR="00C86BCA" w:rsidRPr="00564DA5" w:rsidRDefault="00C86BCA" w:rsidP="00564DA5">
      <w:pPr>
        <w:ind w:left="-426"/>
        <w:jc w:val="both"/>
        <w:rPr>
          <w:rFonts w:ascii="Garamond" w:hAnsi="Garamond"/>
          <w:color w:val="000000" w:themeColor="text1"/>
          <w:sz w:val="22"/>
          <w:szCs w:val="22"/>
          <w:vertAlign w:val="superscript"/>
          <w:lang w:val="en-US"/>
        </w:rPr>
      </w:pPr>
    </w:p>
    <w:p w14:paraId="58A1A4A3" w14:textId="52D2438C" w:rsidR="00CF6170" w:rsidRPr="00564DA5" w:rsidRDefault="00C86BCA" w:rsidP="00564DA5">
      <w:pPr>
        <w:ind w:left="-426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564DA5">
        <w:rPr>
          <w:rFonts w:ascii="Garamond" w:hAnsi="Garamond"/>
          <w:color w:val="000000" w:themeColor="text1"/>
          <w:sz w:val="22"/>
          <w:szCs w:val="22"/>
          <w:lang w:val="en-US"/>
        </w:rPr>
        <w:t>In both periods a Constitutional reform</w:t>
      </w:r>
      <w:r w:rsidR="00A3435B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 (t</w:t>
      </w:r>
      <w:r w:rsidR="00A3435B" w:rsidRPr="00564DA5">
        <w:rPr>
          <w:rFonts w:ascii="Garamond" w:hAnsi="Garamond"/>
          <w:color w:val="000000" w:themeColor="text1"/>
          <w:sz w:val="22"/>
          <w:szCs w:val="22"/>
          <w:lang w:val="en-US"/>
        </w:rPr>
        <w:t>he first in 2006, the second</w:t>
      </w:r>
      <w:r w:rsidR="00A3435B">
        <w:rPr>
          <w:rFonts w:ascii="Garamond" w:hAnsi="Garamond"/>
          <w:color w:val="000000" w:themeColor="text1"/>
          <w:sz w:val="22"/>
          <w:szCs w:val="22"/>
          <w:lang w:val="en-US"/>
        </w:rPr>
        <w:t>, as said,</w:t>
      </w:r>
      <w:r w:rsidR="00A3435B" w:rsidRPr="00564DA5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 in 2016</w:t>
      </w:r>
      <w:r w:rsidR="00A3435B">
        <w:rPr>
          <w:rFonts w:ascii="Garamond" w:hAnsi="Garamond"/>
          <w:color w:val="000000" w:themeColor="text1"/>
          <w:sz w:val="22"/>
          <w:szCs w:val="22"/>
          <w:lang w:val="en-US"/>
        </w:rPr>
        <w:t>)</w:t>
      </w:r>
      <w:r w:rsidR="00A3435B" w:rsidRPr="00A3435B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 </w:t>
      </w:r>
      <w:r w:rsidR="00A3435B" w:rsidRPr="00564DA5">
        <w:rPr>
          <w:rFonts w:ascii="Garamond" w:hAnsi="Garamond"/>
          <w:color w:val="000000" w:themeColor="text1"/>
          <w:sz w:val="22"/>
          <w:szCs w:val="22"/>
          <w:lang w:val="en-US"/>
        </w:rPr>
        <w:t>was attempted</w:t>
      </w:r>
      <w:r w:rsidR="00A3435B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. Both would </w:t>
      </w:r>
      <w:r w:rsidR="00564DA5" w:rsidRPr="00564DA5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have </w:t>
      </w:r>
      <w:r w:rsidR="00A3435B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been important </w:t>
      </w:r>
      <w:r w:rsidRPr="00564DA5">
        <w:rPr>
          <w:rFonts w:ascii="Garamond" w:hAnsi="Garamond"/>
          <w:color w:val="000000" w:themeColor="text1"/>
          <w:sz w:val="22"/>
          <w:szCs w:val="22"/>
          <w:lang w:val="en-US"/>
        </w:rPr>
        <w:t>SP</w:t>
      </w:r>
      <w:r w:rsidR="00A3435B">
        <w:rPr>
          <w:rFonts w:ascii="Garamond" w:hAnsi="Garamond"/>
          <w:color w:val="000000" w:themeColor="text1"/>
          <w:sz w:val="22"/>
          <w:szCs w:val="22"/>
          <w:lang w:val="en-US"/>
        </w:rPr>
        <w:t>s</w:t>
      </w:r>
      <w:r w:rsidR="00564DA5" w:rsidRPr="00564DA5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 for Italian LG. In both cases a popular referendum rejected them. </w:t>
      </w:r>
    </w:p>
    <w:p w14:paraId="06B23009" w14:textId="04DEE467" w:rsidR="00CF6170" w:rsidRPr="00564DA5" w:rsidRDefault="00CF6170" w:rsidP="00564DA5">
      <w:pPr>
        <w:ind w:left="-426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</w:p>
    <w:p w14:paraId="6D0E3576" w14:textId="6771DEC8" w:rsidR="005543A5" w:rsidRPr="00564DA5" w:rsidRDefault="005543A5" w:rsidP="00564DA5">
      <w:pPr>
        <w:pStyle w:val="Titolo3"/>
        <w:keepNext w:val="0"/>
        <w:keepLines w:val="0"/>
        <w:shd w:val="clear" w:color="auto" w:fill="FFFFFF"/>
        <w:spacing w:before="0" w:line="312" w:lineRule="atLeast"/>
        <w:ind w:left="-426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  <w:lang w:val="en-US"/>
        </w:rPr>
      </w:pPr>
      <w:r w:rsidRPr="00564DA5">
        <w:rPr>
          <w:rFonts w:ascii="Garamond" w:hAnsi="Garamond" w:cstheme="minorHAnsi"/>
          <w:color w:val="000000" w:themeColor="text1"/>
          <w:sz w:val="22"/>
          <w:szCs w:val="22"/>
          <w:lang w:val="en-US"/>
        </w:rPr>
        <w:t xml:space="preserve">A number of additional provisions (among others D.L. 78/2010; D.L. 95/2012; D.L. 101/2013; D.L. 90/2014; L. 208/2015; D.L. 50/2017;  </w:t>
      </w:r>
      <w:proofErr w:type="spellStart"/>
      <w:r w:rsidRPr="00564DA5">
        <w:rPr>
          <w:rFonts w:ascii="Garamond" w:hAnsi="Garamond" w:cstheme="minorHAnsi"/>
          <w:color w:val="000000" w:themeColor="text1"/>
          <w:sz w:val="22"/>
          <w:szCs w:val="22"/>
          <w:lang w:val="en-US"/>
        </w:rPr>
        <w:t>D.lgs</w:t>
      </w:r>
      <w:proofErr w:type="spellEnd"/>
      <w:r w:rsidRPr="00564DA5">
        <w:rPr>
          <w:rFonts w:ascii="Garamond" w:hAnsi="Garamond" w:cstheme="minorHAnsi"/>
          <w:color w:val="000000" w:themeColor="text1"/>
          <w:sz w:val="22"/>
          <w:szCs w:val="22"/>
          <w:lang w:val="en-US"/>
        </w:rPr>
        <w:t xml:space="preserve"> 75/2017; DL 4/2019; DL 34/2019) regulated the austerity measures on budgetary and employment aspects from 2006 to 2019. All these measures can be gathered under the same umbrella of austerity provisions.</w:t>
      </w:r>
    </w:p>
    <w:p w14:paraId="1A046771" w14:textId="5525EC06" w:rsidR="001747FB" w:rsidRPr="00564DA5" w:rsidRDefault="001747FB" w:rsidP="00564DA5">
      <w:pPr>
        <w:shd w:val="clear" w:color="auto" w:fill="FFFFFF"/>
        <w:ind w:left="-426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  <w:lang w:val="en-US"/>
        </w:rPr>
      </w:pPr>
    </w:p>
    <w:p w14:paraId="7C0E80A8" w14:textId="77777777" w:rsidR="005543A5" w:rsidRPr="00564DA5" w:rsidRDefault="005543A5" w:rsidP="00564DA5">
      <w:pPr>
        <w:ind w:left="-426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</w:p>
    <w:p w14:paraId="0C0CB729" w14:textId="18B53DBF" w:rsidR="005543A5" w:rsidRPr="005543A5" w:rsidRDefault="005543A5" w:rsidP="00564DA5">
      <w:pPr>
        <w:ind w:left="-426"/>
        <w:jc w:val="both"/>
        <w:rPr>
          <w:rFonts w:ascii="Garamond" w:hAnsi="Garamond"/>
          <w:color w:val="000000" w:themeColor="text1"/>
          <w:sz w:val="18"/>
          <w:szCs w:val="18"/>
          <w:lang w:val="en-US"/>
        </w:rPr>
      </w:pPr>
      <w:r w:rsidRPr="005543A5">
        <w:rPr>
          <w:rFonts w:ascii="Garamond" w:hAnsi="Garamond"/>
          <w:color w:val="000000" w:themeColor="text1"/>
          <w:sz w:val="18"/>
          <w:szCs w:val="18"/>
          <w:lang w:val="en-US"/>
        </w:rPr>
        <w:t xml:space="preserve">Legal Acronyms: </w:t>
      </w:r>
    </w:p>
    <w:p w14:paraId="5EDB4E20" w14:textId="77777777" w:rsidR="005543A5" w:rsidRDefault="005543A5" w:rsidP="00187057">
      <w:pPr>
        <w:ind w:left="-426" w:firstLine="426"/>
        <w:jc w:val="both"/>
        <w:rPr>
          <w:rFonts w:ascii="Garamond" w:hAnsi="Garamond"/>
          <w:color w:val="000000" w:themeColor="text1"/>
          <w:sz w:val="18"/>
          <w:szCs w:val="18"/>
          <w:lang w:val="en-US"/>
        </w:rPr>
      </w:pPr>
      <w:proofErr w:type="spellStart"/>
      <w:r w:rsidRPr="005543A5">
        <w:rPr>
          <w:rFonts w:ascii="Garamond" w:hAnsi="Garamond"/>
          <w:color w:val="000000" w:themeColor="text1"/>
          <w:sz w:val="18"/>
          <w:szCs w:val="18"/>
          <w:lang w:val="en-US"/>
        </w:rPr>
        <w:t>Dlgs</w:t>
      </w:r>
      <w:proofErr w:type="spellEnd"/>
      <w:r w:rsidRPr="005543A5">
        <w:rPr>
          <w:rFonts w:ascii="Garamond" w:hAnsi="Garamond"/>
          <w:color w:val="000000" w:themeColor="text1"/>
          <w:sz w:val="18"/>
          <w:szCs w:val="18"/>
          <w:lang w:val="en-US"/>
        </w:rPr>
        <w:t>= Legislative Decree</w:t>
      </w:r>
    </w:p>
    <w:p w14:paraId="1E50FE3D" w14:textId="77777777" w:rsidR="005543A5" w:rsidRPr="005543A5" w:rsidRDefault="005543A5" w:rsidP="005543A5">
      <w:pPr>
        <w:jc w:val="both"/>
        <w:rPr>
          <w:rFonts w:ascii="Garamond" w:hAnsi="Garamond"/>
          <w:color w:val="000000" w:themeColor="text1"/>
          <w:sz w:val="18"/>
          <w:szCs w:val="18"/>
          <w:lang w:val="en-US"/>
        </w:rPr>
      </w:pPr>
      <w:r>
        <w:rPr>
          <w:rFonts w:ascii="Garamond" w:hAnsi="Garamond"/>
          <w:color w:val="000000" w:themeColor="text1"/>
          <w:sz w:val="18"/>
          <w:szCs w:val="18"/>
          <w:lang w:val="en-US"/>
        </w:rPr>
        <w:t>DL= Law Decree</w:t>
      </w:r>
    </w:p>
    <w:p w14:paraId="2436311F" w14:textId="77777777" w:rsidR="005543A5" w:rsidRPr="005543A5" w:rsidRDefault="005543A5" w:rsidP="005543A5">
      <w:pPr>
        <w:jc w:val="both"/>
        <w:rPr>
          <w:rFonts w:ascii="Garamond" w:hAnsi="Garamond"/>
          <w:color w:val="000000" w:themeColor="text1"/>
          <w:sz w:val="18"/>
          <w:szCs w:val="18"/>
          <w:lang w:val="en-US"/>
        </w:rPr>
      </w:pPr>
      <w:r w:rsidRPr="005543A5">
        <w:rPr>
          <w:rFonts w:ascii="Garamond" w:hAnsi="Garamond"/>
          <w:color w:val="000000" w:themeColor="text1"/>
          <w:sz w:val="18"/>
          <w:szCs w:val="18"/>
          <w:lang w:val="en-US"/>
        </w:rPr>
        <w:t>L.= Law</w:t>
      </w:r>
    </w:p>
    <w:p w14:paraId="70183EAC" w14:textId="77777777" w:rsidR="00187057" w:rsidRDefault="005543A5" w:rsidP="005543A5">
      <w:pPr>
        <w:jc w:val="both"/>
        <w:rPr>
          <w:rFonts w:ascii="Garamond" w:hAnsi="Garamond"/>
          <w:color w:val="000000" w:themeColor="text1"/>
          <w:sz w:val="18"/>
          <w:szCs w:val="18"/>
          <w:lang w:val="en-US"/>
        </w:rPr>
      </w:pPr>
      <w:r w:rsidRPr="005543A5">
        <w:rPr>
          <w:rFonts w:ascii="Garamond" w:hAnsi="Garamond"/>
          <w:color w:val="000000" w:themeColor="text1"/>
          <w:sz w:val="18"/>
          <w:szCs w:val="18"/>
          <w:lang w:val="en-US"/>
        </w:rPr>
        <w:t>TU= Consolidated Act</w:t>
      </w:r>
    </w:p>
    <w:p w14:paraId="627024B4" w14:textId="77777777" w:rsidR="00187057" w:rsidRDefault="00187057" w:rsidP="005543A5">
      <w:pPr>
        <w:jc w:val="both"/>
        <w:rPr>
          <w:rFonts w:ascii="Garamond" w:hAnsi="Garamond"/>
          <w:color w:val="000000" w:themeColor="text1"/>
          <w:sz w:val="18"/>
          <w:szCs w:val="18"/>
          <w:lang w:val="en-US"/>
        </w:rPr>
      </w:pPr>
    </w:p>
    <w:p w14:paraId="3D3D9C81" w14:textId="6D293F59" w:rsidR="005543A5" w:rsidRPr="005543A5" w:rsidRDefault="005543A5" w:rsidP="00187057">
      <w:pPr>
        <w:ind w:hanging="426"/>
        <w:jc w:val="both"/>
        <w:rPr>
          <w:rFonts w:ascii="Garamond" w:hAnsi="Garamond"/>
          <w:color w:val="000000" w:themeColor="text1"/>
          <w:sz w:val="18"/>
          <w:szCs w:val="18"/>
          <w:lang w:val="en-US"/>
        </w:rPr>
      </w:pPr>
      <w:r w:rsidRPr="005543A5">
        <w:rPr>
          <w:rFonts w:ascii="Garamond" w:hAnsi="Garamond"/>
          <w:color w:val="000000" w:themeColor="text1"/>
          <w:sz w:val="18"/>
          <w:szCs w:val="18"/>
          <w:lang w:val="en-US"/>
        </w:rPr>
        <w:t xml:space="preserve">Other acronyms: </w:t>
      </w:r>
    </w:p>
    <w:p w14:paraId="7FA9D1B6" w14:textId="77777777" w:rsidR="005543A5" w:rsidRPr="005543A5" w:rsidRDefault="005543A5" w:rsidP="005543A5">
      <w:pPr>
        <w:jc w:val="both"/>
        <w:rPr>
          <w:rFonts w:ascii="Garamond" w:hAnsi="Garamond"/>
          <w:color w:val="000000" w:themeColor="text1"/>
          <w:sz w:val="18"/>
          <w:szCs w:val="18"/>
        </w:rPr>
      </w:pPr>
      <w:r w:rsidRPr="005543A5">
        <w:rPr>
          <w:rFonts w:ascii="Garamond" w:hAnsi="Garamond"/>
          <w:color w:val="000000" w:themeColor="text1"/>
          <w:sz w:val="18"/>
          <w:szCs w:val="18"/>
        </w:rPr>
        <w:t>ATO=Ambiti territoriali ottimali (</w:t>
      </w:r>
      <w:proofErr w:type="spellStart"/>
      <w:r w:rsidRPr="005543A5">
        <w:rPr>
          <w:rFonts w:ascii="Garamond" w:hAnsi="Garamond"/>
          <w:color w:val="000000" w:themeColor="text1"/>
          <w:sz w:val="18"/>
          <w:szCs w:val="18"/>
        </w:rPr>
        <w:t>Optimal</w:t>
      </w:r>
      <w:proofErr w:type="spellEnd"/>
      <w:r w:rsidRPr="005543A5">
        <w:rPr>
          <w:rFonts w:ascii="Garamond" w:hAnsi="Garamond"/>
          <w:color w:val="000000" w:themeColor="text1"/>
          <w:sz w:val="18"/>
          <w:szCs w:val="18"/>
        </w:rPr>
        <w:t xml:space="preserve"> </w:t>
      </w:r>
      <w:proofErr w:type="spellStart"/>
      <w:r w:rsidRPr="005543A5">
        <w:rPr>
          <w:rFonts w:ascii="Garamond" w:hAnsi="Garamond"/>
          <w:color w:val="000000" w:themeColor="text1"/>
          <w:sz w:val="18"/>
          <w:szCs w:val="18"/>
        </w:rPr>
        <w:t>Territorial</w:t>
      </w:r>
      <w:proofErr w:type="spellEnd"/>
      <w:r w:rsidRPr="005543A5">
        <w:rPr>
          <w:rFonts w:ascii="Garamond" w:hAnsi="Garamond"/>
          <w:color w:val="000000" w:themeColor="text1"/>
          <w:sz w:val="18"/>
          <w:szCs w:val="18"/>
        </w:rPr>
        <w:t xml:space="preserve"> </w:t>
      </w:r>
      <w:proofErr w:type="spellStart"/>
      <w:r w:rsidRPr="005543A5">
        <w:rPr>
          <w:rFonts w:ascii="Garamond" w:hAnsi="Garamond"/>
          <w:color w:val="000000" w:themeColor="text1"/>
          <w:sz w:val="18"/>
          <w:szCs w:val="18"/>
        </w:rPr>
        <w:t>Areas</w:t>
      </w:r>
      <w:proofErr w:type="spellEnd"/>
      <w:r w:rsidRPr="005543A5">
        <w:rPr>
          <w:rFonts w:ascii="Garamond" w:hAnsi="Garamond"/>
          <w:color w:val="000000" w:themeColor="text1"/>
          <w:sz w:val="18"/>
          <w:szCs w:val="18"/>
        </w:rPr>
        <w:t>)</w:t>
      </w:r>
    </w:p>
    <w:p w14:paraId="30DF2396" w14:textId="77777777" w:rsidR="005543A5" w:rsidRPr="005543A5" w:rsidRDefault="005543A5" w:rsidP="005543A5">
      <w:pPr>
        <w:jc w:val="both"/>
        <w:rPr>
          <w:rFonts w:ascii="Garamond" w:hAnsi="Garamond"/>
          <w:color w:val="000000" w:themeColor="text1"/>
          <w:sz w:val="18"/>
          <w:szCs w:val="18"/>
          <w:lang w:val="en-US"/>
        </w:rPr>
      </w:pPr>
      <w:r w:rsidRPr="005543A5">
        <w:rPr>
          <w:rFonts w:ascii="Garamond" w:hAnsi="Garamond"/>
          <w:color w:val="000000" w:themeColor="text1"/>
          <w:sz w:val="18"/>
          <w:szCs w:val="18"/>
          <w:lang w:val="en-US"/>
        </w:rPr>
        <w:t>CJM= Compulsory Joint management of municipal basic tasks</w:t>
      </w:r>
    </w:p>
    <w:p w14:paraId="7B64FDB1" w14:textId="77777777" w:rsidR="005543A5" w:rsidRPr="005543A5" w:rsidRDefault="005543A5" w:rsidP="005543A5">
      <w:pPr>
        <w:jc w:val="both"/>
        <w:rPr>
          <w:rFonts w:ascii="Garamond" w:hAnsi="Garamond"/>
          <w:color w:val="000000" w:themeColor="text1"/>
          <w:sz w:val="18"/>
          <w:szCs w:val="18"/>
          <w:lang w:val="en-US"/>
        </w:rPr>
      </w:pPr>
      <w:r w:rsidRPr="005543A5">
        <w:rPr>
          <w:rFonts w:ascii="Garamond" w:hAnsi="Garamond"/>
          <w:color w:val="000000" w:themeColor="text1"/>
          <w:sz w:val="18"/>
          <w:szCs w:val="18"/>
          <w:lang w:val="en-US"/>
        </w:rPr>
        <w:t>HR= Human Resources</w:t>
      </w:r>
    </w:p>
    <w:p w14:paraId="6C656516" w14:textId="77777777" w:rsidR="005543A5" w:rsidRPr="005543A5" w:rsidRDefault="005543A5" w:rsidP="005543A5">
      <w:pPr>
        <w:jc w:val="both"/>
        <w:rPr>
          <w:rFonts w:ascii="Garamond" w:hAnsi="Garamond"/>
          <w:color w:val="000000" w:themeColor="text1"/>
          <w:sz w:val="18"/>
          <w:szCs w:val="18"/>
          <w:lang w:val="en-US"/>
        </w:rPr>
      </w:pPr>
      <w:r w:rsidRPr="005543A5">
        <w:rPr>
          <w:rFonts w:ascii="Garamond" w:hAnsi="Garamond"/>
          <w:color w:val="000000" w:themeColor="text1"/>
          <w:sz w:val="18"/>
          <w:szCs w:val="18"/>
          <w:lang w:val="en-US"/>
        </w:rPr>
        <w:t>ICT= Information &amp; Communication Technology</w:t>
      </w:r>
    </w:p>
    <w:p w14:paraId="08E3EB84" w14:textId="77777777" w:rsidR="005543A5" w:rsidRPr="005543A5" w:rsidRDefault="005543A5" w:rsidP="005543A5">
      <w:pPr>
        <w:jc w:val="both"/>
        <w:rPr>
          <w:rFonts w:ascii="Garamond" w:hAnsi="Garamond"/>
          <w:color w:val="000000" w:themeColor="text1"/>
          <w:sz w:val="18"/>
          <w:szCs w:val="18"/>
          <w:lang w:val="en-US"/>
        </w:rPr>
      </w:pPr>
      <w:r w:rsidRPr="005543A5">
        <w:rPr>
          <w:rFonts w:ascii="Garamond" w:hAnsi="Garamond"/>
          <w:color w:val="000000" w:themeColor="text1"/>
          <w:sz w:val="18"/>
          <w:szCs w:val="18"/>
          <w:lang w:val="en-US"/>
        </w:rPr>
        <w:t>IMC= Inter-municipal cooperation</w:t>
      </w:r>
    </w:p>
    <w:p w14:paraId="2ACED76F" w14:textId="77777777" w:rsidR="005543A5" w:rsidRPr="005543A5" w:rsidRDefault="005543A5" w:rsidP="005543A5">
      <w:pPr>
        <w:jc w:val="both"/>
        <w:rPr>
          <w:rFonts w:ascii="Garamond" w:hAnsi="Garamond"/>
          <w:color w:val="000000" w:themeColor="text1"/>
          <w:sz w:val="18"/>
          <w:szCs w:val="18"/>
          <w:lang w:val="en-US"/>
        </w:rPr>
      </w:pPr>
      <w:r w:rsidRPr="005543A5">
        <w:rPr>
          <w:rFonts w:ascii="Garamond" w:hAnsi="Garamond"/>
          <w:color w:val="000000" w:themeColor="text1"/>
          <w:sz w:val="18"/>
          <w:szCs w:val="18"/>
          <w:lang w:val="en-US"/>
        </w:rPr>
        <w:t>LPS= Local public services</w:t>
      </w:r>
    </w:p>
    <w:p w14:paraId="5C2B84CE" w14:textId="77777777" w:rsidR="005543A5" w:rsidRPr="005543A5" w:rsidRDefault="005543A5" w:rsidP="005543A5">
      <w:pPr>
        <w:jc w:val="both"/>
        <w:rPr>
          <w:rFonts w:ascii="Garamond" w:hAnsi="Garamond"/>
          <w:color w:val="000000" w:themeColor="text1"/>
          <w:sz w:val="18"/>
          <w:szCs w:val="18"/>
          <w:lang w:val="en-US"/>
        </w:rPr>
      </w:pPr>
      <w:r w:rsidRPr="005543A5">
        <w:rPr>
          <w:rFonts w:ascii="Garamond" w:hAnsi="Garamond"/>
          <w:color w:val="000000" w:themeColor="text1"/>
          <w:sz w:val="18"/>
          <w:szCs w:val="18"/>
          <w:lang w:val="en-US"/>
        </w:rPr>
        <w:t>ORS= Ordinary Status Region</w:t>
      </w:r>
    </w:p>
    <w:p w14:paraId="0C92B79E" w14:textId="77777777" w:rsidR="005543A5" w:rsidRPr="005543A5" w:rsidRDefault="005543A5" w:rsidP="005543A5">
      <w:pPr>
        <w:jc w:val="both"/>
        <w:rPr>
          <w:rFonts w:ascii="Garamond" w:hAnsi="Garamond"/>
          <w:color w:val="000000" w:themeColor="text1"/>
          <w:sz w:val="18"/>
          <w:szCs w:val="18"/>
          <w:lang w:val="en-US"/>
        </w:rPr>
      </w:pPr>
      <w:r w:rsidRPr="005543A5">
        <w:rPr>
          <w:rFonts w:ascii="Garamond" w:hAnsi="Garamond"/>
          <w:color w:val="000000" w:themeColor="text1"/>
          <w:sz w:val="18"/>
          <w:szCs w:val="18"/>
          <w:lang w:val="en-US"/>
        </w:rPr>
        <w:t>PA= Public Administration</w:t>
      </w:r>
    </w:p>
    <w:p w14:paraId="739AE7A3" w14:textId="77777777" w:rsidR="005543A5" w:rsidRPr="005543A5" w:rsidRDefault="005543A5" w:rsidP="005543A5">
      <w:pPr>
        <w:jc w:val="both"/>
        <w:rPr>
          <w:rFonts w:ascii="Garamond" w:hAnsi="Garamond"/>
          <w:color w:val="000000" w:themeColor="text1"/>
          <w:sz w:val="18"/>
          <w:szCs w:val="18"/>
          <w:lang w:val="en-US"/>
        </w:rPr>
      </w:pPr>
      <w:r w:rsidRPr="005543A5">
        <w:rPr>
          <w:rFonts w:ascii="Garamond" w:hAnsi="Garamond"/>
          <w:color w:val="000000" w:themeColor="text1"/>
          <w:sz w:val="18"/>
          <w:szCs w:val="18"/>
          <w:lang w:val="en-US"/>
        </w:rPr>
        <w:t>PPP=Public-Private Partnership</w:t>
      </w:r>
    </w:p>
    <w:p w14:paraId="0D5EFDF5" w14:textId="77777777" w:rsidR="00CB321E" w:rsidRPr="005543A5" w:rsidRDefault="00CB321E" w:rsidP="007F128F">
      <w:pPr>
        <w:shd w:val="clear" w:color="auto" w:fill="FFFFFF"/>
        <w:jc w:val="both"/>
        <w:rPr>
          <w:rFonts w:ascii="Garamond" w:hAnsi="Garamond" w:cs="Calibri"/>
          <w:color w:val="000000" w:themeColor="text1"/>
          <w:sz w:val="18"/>
          <w:szCs w:val="18"/>
          <w:lang w:val="en-US"/>
        </w:rPr>
      </w:pPr>
    </w:p>
    <w:sectPr w:rsidR="00CB321E" w:rsidRPr="005543A5" w:rsidSect="0029214A">
      <w:pgSz w:w="11900" w:h="16840"/>
      <w:pgMar w:top="141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B3EA1"/>
    <w:multiLevelType w:val="hybridMultilevel"/>
    <w:tmpl w:val="AF76B39C"/>
    <w:lvl w:ilvl="0" w:tplc="0410000F">
      <w:start w:val="1"/>
      <w:numFmt w:val="decimal"/>
      <w:lvlText w:val="%1."/>
      <w:lvlJc w:val="left"/>
      <w:pPr>
        <w:ind w:left="650" w:hanging="360"/>
      </w:pPr>
    </w:lvl>
    <w:lvl w:ilvl="1" w:tplc="04100019" w:tentative="1">
      <w:start w:val="1"/>
      <w:numFmt w:val="lowerLetter"/>
      <w:lvlText w:val="%2."/>
      <w:lvlJc w:val="left"/>
      <w:pPr>
        <w:ind w:left="1370" w:hanging="360"/>
      </w:pPr>
    </w:lvl>
    <w:lvl w:ilvl="2" w:tplc="0410001B" w:tentative="1">
      <w:start w:val="1"/>
      <w:numFmt w:val="lowerRoman"/>
      <w:lvlText w:val="%3."/>
      <w:lvlJc w:val="right"/>
      <w:pPr>
        <w:ind w:left="2090" w:hanging="180"/>
      </w:pPr>
    </w:lvl>
    <w:lvl w:ilvl="3" w:tplc="0410000F" w:tentative="1">
      <w:start w:val="1"/>
      <w:numFmt w:val="decimal"/>
      <w:lvlText w:val="%4."/>
      <w:lvlJc w:val="left"/>
      <w:pPr>
        <w:ind w:left="2810" w:hanging="360"/>
      </w:pPr>
    </w:lvl>
    <w:lvl w:ilvl="4" w:tplc="04100019" w:tentative="1">
      <w:start w:val="1"/>
      <w:numFmt w:val="lowerLetter"/>
      <w:lvlText w:val="%5."/>
      <w:lvlJc w:val="left"/>
      <w:pPr>
        <w:ind w:left="3530" w:hanging="360"/>
      </w:pPr>
    </w:lvl>
    <w:lvl w:ilvl="5" w:tplc="0410001B" w:tentative="1">
      <w:start w:val="1"/>
      <w:numFmt w:val="lowerRoman"/>
      <w:lvlText w:val="%6."/>
      <w:lvlJc w:val="right"/>
      <w:pPr>
        <w:ind w:left="4250" w:hanging="180"/>
      </w:pPr>
    </w:lvl>
    <w:lvl w:ilvl="6" w:tplc="0410000F" w:tentative="1">
      <w:start w:val="1"/>
      <w:numFmt w:val="decimal"/>
      <w:lvlText w:val="%7."/>
      <w:lvlJc w:val="left"/>
      <w:pPr>
        <w:ind w:left="4970" w:hanging="360"/>
      </w:pPr>
    </w:lvl>
    <w:lvl w:ilvl="7" w:tplc="04100019" w:tentative="1">
      <w:start w:val="1"/>
      <w:numFmt w:val="lowerLetter"/>
      <w:lvlText w:val="%8."/>
      <w:lvlJc w:val="left"/>
      <w:pPr>
        <w:ind w:left="5690" w:hanging="360"/>
      </w:pPr>
    </w:lvl>
    <w:lvl w:ilvl="8" w:tplc="0410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" w15:restartNumberingAfterBreak="0">
    <w:nsid w:val="0AAD46A8"/>
    <w:multiLevelType w:val="hybridMultilevel"/>
    <w:tmpl w:val="1512D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9019C"/>
    <w:multiLevelType w:val="hybridMultilevel"/>
    <w:tmpl w:val="18886246"/>
    <w:lvl w:ilvl="0" w:tplc="EA462AE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E0749"/>
    <w:multiLevelType w:val="hybridMultilevel"/>
    <w:tmpl w:val="5420DA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33576"/>
    <w:multiLevelType w:val="hybridMultilevel"/>
    <w:tmpl w:val="4A809840"/>
    <w:lvl w:ilvl="0" w:tplc="0410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A98"/>
    <w:multiLevelType w:val="hybridMultilevel"/>
    <w:tmpl w:val="68F4ED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86050"/>
    <w:multiLevelType w:val="hybridMultilevel"/>
    <w:tmpl w:val="B8809D8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B49AE"/>
    <w:multiLevelType w:val="hybridMultilevel"/>
    <w:tmpl w:val="A2947B1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262A9A"/>
    <w:multiLevelType w:val="hybridMultilevel"/>
    <w:tmpl w:val="5DD08F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42A69"/>
    <w:multiLevelType w:val="hybridMultilevel"/>
    <w:tmpl w:val="64741CF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4D227A"/>
    <w:multiLevelType w:val="hybridMultilevel"/>
    <w:tmpl w:val="5420DA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D34C0"/>
    <w:multiLevelType w:val="hybridMultilevel"/>
    <w:tmpl w:val="DE760ED4"/>
    <w:lvl w:ilvl="0" w:tplc="0410000F">
      <w:start w:val="1"/>
      <w:numFmt w:val="decimal"/>
      <w:lvlText w:val="%1."/>
      <w:lvlJc w:val="left"/>
      <w:pPr>
        <w:ind w:left="650" w:hanging="360"/>
      </w:pPr>
    </w:lvl>
    <w:lvl w:ilvl="1" w:tplc="04100019" w:tentative="1">
      <w:start w:val="1"/>
      <w:numFmt w:val="lowerLetter"/>
      <w:lvlText w:val="%2."/>
      <w:lvlJc w:val="left"/>
      <w:pPr>
        <w:ind w:left="1370" w:hanging="360"/>
      </w:pPr>
    </w:lvl>
    <w:lvl w:ilvl="2" w:tplc="0410001B" w:tentative="1">
      <w:start w:val="1"/>
      <w:numFmt w:val="lowerRoman"/>
      <w:lvlText w:val="%3."/>
      <w:lvlJc w:val="right"/>
      <w:pPr>
        <w:ind w:left="2090" w:hanging="180"/>
      </w:pPr>
    </w:lvl>
    <w:lvl w:ilvl="3" w:tplc="0410000F" w:tentative="1">
      <w:start w:val="1"/>
      <w:numFmt w:val="decimal"/>
      <w:lvlText w:val="%4."/>
      <w:lvlJc w:val="left"/>
      <w:pPr>
        <w:ind w:left="2810" w:hanging="360"/>
      </w:pPr>
    </w:lvl>
    <w:lvl w:ilvl="4" w:tplc="04100019" w:tentative="1">
      <w:start w:val="1"/>
      <w:numFmt w:val="lowerLetter"/>
      <w:lvlText w:val="%5."/>
      <w:lvlJc w:val="left"/>
      <w:pPr>
        <w:ind w:left="3530" w:hanging="360"/>
      </w:pPr>
    </w:lvl>
    <w:lvl w:ilvl="5" w:tplc="0410001B" w:tentative="1">
      <w:start w:val="1"/>
      <w:numFmt w:val="lowerRoman"/>
      <w:lvlText w:val="%6."/>
      <w:lvlJc w:val="right"/>
      <w:pPr>
        <w:ind w:left="4250" w:hanging="180"/>
      </w:pPr>
    </w:lvl>
    <w:lvl w:ilvl="6" w:tplc="0410000F" w:tentative="1">
      <w:start w:val="1"/>
      <w:numFmt w:val="decimal"/>
      <w:lvlText w:val="%7."/>
      <w:lvlJc w:val="left"/>
      <w:pPr>
        <w:ind w:left="4970" w:hanging="360"/>
      </w:pPr>
    </w:lvl>
    <w:lvl w:ilvl="7" w:tplc="04100019" w:tentative="1">
      <w:start w:val="1"/>
      <w:numFmt w:val="lowerLetter"/>
      <w:lvlText w:val="%8."/>
      <w:lvlJc w:val="left"/>
      <w:pPr>
        <w:ind w:left="5690" w:hanging="360"/>
      </w:pPr>
    </w:lvl>
    <w:lvl w:ilvl="8" w:tplc="0410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2" w15:restartNumberingAfterBreak="0">
    <w:nsid w:val="6F2F3A9F"/>
    <w:multiLevelType w:val="hybridMultilevel"/>
    <w:tmpl w:val="5F9663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22959"/>
    <w:multiLevelType w:val="hybridMultilevel"/>
    <w:tmpl w:val="5DD08F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B5C32"/>
    <w:multiLevelType w:val="hybridMultilevel"/>
    <w:tmpl w:val="6706E94A"/>
    <w:lvl w:ilvl="0" w:tplc="844CBB64">
      <w:start w:val="12"/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14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50"/>
    <w:rsid w:val="00000363"/>
    <w:rsid w:val="00011498"/>
    <w:rsid w:val="000145F9"/>
    <w:rsid w:val="00015050"/>
    <w:rsid w:val="000178CB"/>
    <w:rsid w:val="00020221"/>
    <w:rsid w:val="000204B8"/>
    <w:rsid w:val="00031114"/>
    <w:rsid w:val="000427BC"/>
    <w:rsid w:val="000708A1"/>
    <w:rsid w:val="00073FFF"/>
    <w:rsid w:val="00096092"/>
    <w:rsid w:val="000E2FEC"/>
    <w:rsid w:val="000F7F3D"/>
    <w:rsid w:val="001058FD"/>
    <w:rsid w:val="001110BD"/>
    <w:rsid w:val="00112A23"/>
    <w:rsid w:val="0012058A"/>
    <w:rsid w:val="00132BF7"/>
    <w:rsid w:val="0015320B"/>
    <w:rsid w:val="00160C5E"/>
    <w:rsid w:val="0016447E"/>
    <w:rsid w:val="001747FB"/>
    <w:rsid w:val="00187057"/>
    <w:rsid w:val="001A49BD"/>
    <w:rsid w:val="001C7DE8"/>
    <w:rsid w:val="001D21F0"/>
    <w:rsid w:val="001F38C5"/>
    <w:rsid w:val="001F4A52"/>
    <w:rsid w:val="00204395"/>
    <w:rsid w:val="00223250"/>
    <w:rsid w:val="002502CD"/>
    <w:rsid w:val="0029214A"/>
    <w:rsid w:val="002B29B1"/>
    <w:rsid w:val="002B3C16"/>
    <w:rsid w:val="002B5E27"/>
    <w:rsid w:val="002C6B31"/>
    <w:rsid w:val="002C72EB"/>
    <w:rsid w:val="002E0461"/>
    <w:rsid w:val="002F0EE3"/>
    <w:rsid w:val="002F324B"/>
    <w:rsid w:val="002F4EA3"/>
    <w:rsid w:val="00315F90"/>
    <w:rsid w:val="0033393F"/>
    <w:rsid w:val="00355795"/>
    <w:rsid w:val="00382A7A"/>
    <w:rsid w:val="00386271"/>
    <w:rsid w:val="0039469E"/>
    <w:rsid w:val="00397EC7"/>
    <w:rsid w:val="003B3F01"/>
    <w:rsid w:val="003D555F"/>
    <w:rsid w:val="00404B5B"/>
    <w:rsid w:val="00413DB2"/>
    <w:rsid w:val="004247F3"/>
    <w:rsid w:val="00445EFD"/>
    <w:rsid w:val="0047608E"/>
    <w:rsid w:val="004819A7"/>
    <w:rsid w:val="004B7FC5"/>
    <w:rsid w:val="004C3432"/>
    <w:rsid w:val="004E317E"/>
    <w:rsid w:val="004E45D5"/>
    <w:rsid w:val="004F172A"/>
    <w:rsid w:val="00500DFA"/>
    <w:rsid w:val="00534E50"/>
    <w:rsid w:val="005543A5"/>
    <w:rsid w:val="00564DA5"/>
    <w:rsid w:val="00570DA7"/>
    <w:rsid w:val="005804C5"/>
    <w:rsid w:val="00592469"/>
    <w:rsid w:val="005B166A"/>
    <w:rsid w:val="005B611E"/>
    <w:rsid w:val="005C2866"/>
    <w:rsid w:val="005F7C10"/>
    <w:rsid w:val="0068616E"/>
    <w:rsid w:val="006B0A15"/>
    <w:rsid w:val="006D30E0"/>
    <w:rsid w:val="006E0158"/>
    <w:rsid w:val="00753FCB"/>
    <w:rsid w:val="007618BC"/>
    <w:rsid w:val="00785C5E"/>
    <w:rsid w:val="007A43C1"/>
    <w:rsid w:val="007B2DCE"/>
    <w:rsid w:val="007E18BB"/>
    <w:rsid w:val="007F128F"/>
    <w:rsid w:val="007F3CC8"/>
    <w:rsid w:val="007F7E0B"/>
    <w:rsid w:val="00805C03"/>
    <w:rsid w:val="008111B0"/>
    <w:rsid w:val="00811268"/>
    <w:rsid w:val="00811824"/>
    <w:rsid w:val="008123B3"/>
    <w:rsid w:val="00835087"/>
    <w:rsid w:val="00837C90"/>
    <w:rsid w:val="0085142A"/>
    <w:rsid w:val="0088219D"/>
    <w:rsid w:val="00885372"/>
    <w:rsid w:val="008905B5"/>
    <w:rsid w:val="008A4EFB"/>
    <w:rsid w:val="008D0C72"/>
    <w:rsid w:val="008D1128"/>
    <w:rsid w:val="008F3AF4"/>
    <w:rsid w:val="00941BF4"/>
    <w:rsid w:val="00956D9F"/>
    <w:rsid w:val="00974954"/>
    <w:rsid w:val="00982398"/>
    <w:rsid w:val="00992233"/>
    <w:rsid w:val="009B1C73"/>
    <w:rsid w:val="009D1B8C"/>
    <w:rsid w:val="009F5A4D"/>
    <w:rsid w:val="00A03757"/>
    <w:rsid w:val="00A1209D"/>
    <w:rsid w:val="00A136E3"/>
    <w:rsid w:val="00A1468C"/>
    <w:rsid w:val="00A25632"/>
    <w:rsid w:val="00A33896"/>
    <w:rsid w:val="00A3435B"/>
    <w:rsid w:val="00A36598"/>
    <w:rsid w:val="00A43F56"/>
    <w:rsid w:val="00A64CF6"/>
    <w:rsid w:val="00AD3EA2"/>
    <w:rsid w:val="00AF1152"/>
    <w:rsid w:val="00B011C2"/>
    <w:rsid w:val="00B02944"/>
    <w:rsid w:val="00B06C7E"/>
    <w:rsid w:val="00B077B7"/>
    <w:rsid w:val="00B16859"/>
    <w:rsid w:val="00B37C67"/>
    <w:rsid w:val="00B579C7"/>
    <w:rsid w:val="00B57C03"/>
    <w:rsid w:val="00B8336D"/>
    <w:rsid w:val="00BA0E70"/>
    <w:rsid w:val="00BA5AC1"/>
    <w:rsid w:val="00BB062A"/>
    <w:rsid w:val="00BC178E"/>
    <w:rsid w:val="00BD5BB3"/>
    <w:rsid w:val="00BE264C"/>
    <w:rsid w:val="00BE6A02"/>
    <w:rsid w:val="00BF16B8"/>
    <w:rsid w:val="00BF428E"/>
    <w:rsid w:val="00C30354"/>
    <w:rsid w:val="00C525D3"/>
    <w:rsid w:val="00C5326B"/>
    <w:rsid w:val="00C5333D"/>
    <w:rsid w:val="00C659CB"/>
    <w:rsid w:val="00C8096B"/>
    <w:rsid w:val="00C86BCA"/>
    <w:rsid w:val="00C9475C"/>
    <w:rsid w:val="00CB321E"/>
    <w:rsid w:val="00CB7480"/>
    <w:rsid w:val="00CC2496"/>
    <w:rsid w:val="00CC5049"/>
    <w:rsid w:val="00CE04B8"/>
    <w:rsid w:val="00CE1C0B"/>
    <w:rsid w:val="00CE6DC6"/>
    <w:rsid w:val="00CF6170"/>
    <w:rsid w:val="00CF7A91"/>
    <w:rsid w:val="00D05A3D"/>
    <w:rsid w:val="00D257AA"/>
    <w:rsid w:val="00D62BFE"/>
    <w:rsid w:val="00D71C7D"/>
    <w:rsid w:val="00D8658E"/>
    <w:rsid w:val="00D9637B"/>
    <w:rsid w:val="00DA047B"/>
    <w:rsid w:val="00DD71D5"/>
    <w:rsid w:val="00E024BA"/>
    <w:rsid w:val="00E27FFE"/>
    <w:rsid w:val="00E6286E"/>
    <w:rsid w:val="00E969DA"/>
    <w:rsid w:val="00E97FA3"/>
    <w:rsid w:val="00EA05A6"/>
    <w:rsid w:val="00EB056B"/>
    <w:rsid w:val="00F026B3"/>
    <w:rsid w:val="00F3643A"/>
    <w:rsid w:val="00F36569"/>
    <w:rsid w:val="00F371AB"/>
    <w:rsid w:val="00F469FF"/>
    <w:rsid w:val="00F51DC2"/>
    <w:rsid w:val="00F52C27"/>
    <w:rsid w:val="00F66EC1"/>
    <w:rsid w:val="00F942BC"/>
    <w:rsid w:val="00FA133A"/>
    <w:rsid w:val="00FC5DAF"/>
    <w:rsid w:val="00FD463D"/>
    <w:rsid w:val="00FD78AA"/>
    <w:rsid w:val="00FF259C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7905"/>
  <w14:defaultImageDpi w14:val="32767"/>
  <w15:chartTrackingRefBased/>
  <w15:docId w15:val="{C74462D3-10ED-FF48-B435-D279A703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33393F"/>
    <w:rPr>
      <w:rFonts w:ascii="Times New Roman" w:eastAsia="Times New Roman" w:hAnsi="Times New Roman" w:cs="Times New Roman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04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23250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table" w:styleId="Grigliatabella">
    <w:name w:val="Table Grid"/>
    <w:basedOn w:val="Tabellanormale"/>
    <w:uiPriority w:val="59"/>
    <w:rsid w:val="00223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233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2233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E45D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76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809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8096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8096B"/>
    <w:rPr>
      <w:sz w:val="20"/>
      <w:szCs w:val="20"/>
    </w:rPr>
  </w:style>
  <w:style w:type="character" w:customStyle="1" w:styleId="msoins0">
    <w:name w:val="msoins"/>
    <w:basedOn w:val="Carpredefinitoparagrafo"/>
    <w:rsid w:val="00031114"/>
  </w:style>
  <w:style w:type="character" w:customStyle="1" w:styleId="apple-converted-space">
    <w:name w:val="apple-converted-space"/>
    <w:basedOn w:val="Carpredefinitoparagrafo"/>
    <w:rsid w:val="0033393F"/>
  </w:style>
  <w:style w:type="character" w:styleId="Collegamentoipertestuale">
    <w:name w:val="Hyperlink"/>
    <w:basedOn w:val="Carpredefinitoparagrafo"/>
    <w:uiPriority w:val="99"/>
    <w:unhideWhenUsed/>
    <w:rsid w:val="0033393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393F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5804C5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0461"/>
    <w:rPr>
      <w:rFonts w:asciiTheme="majorHAnsi" w:eastAsiaTheme="majorEastAsia" w:hAnsiTheme="majorHAnsi" w:cstheme="majorBidi"/>
      <w:color w:val="1F3763" w:themeColor="accent1" w:themeShade="7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Bolgherini</dc:creator>
  <cp:keywords/>
  <dc:description/>
  <cp:lastModifiedBy>Silvia Bolgherini</cp:lastModifiedBy>
  <cp:revision>13</cp:revision>
  <dcterms:created xsi:type="dcterms:W3CDTF">2020-06-20T08:49:00Z</dcterms:created>
  <dcterms:modified xsi:type="dcterms:W3CDTF">2020-06-24T16:13:00Z</dcterms:modified>
</cp:coreProperties>
</file>