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4720" w14:textId="111D0946" w:rsidR="00844A05" w:rsidRDefault="00844A05" w:rsidP="00844A05">
      <w:pPr>
        <w:pStyle w:val="Heading1"/>
      </w:pPr>
      <w:r>
        <w:t>Appendix A: Details of manual thematic analysis of free text responses</w:t>
      </w:r>
    </w:p>
    <w:p w14:paraId="7AA5D185" w14:textId="2A255982" w:rsidR="00844A05" w:rsidRDefault="00B00699" w:rsidP="00844A05">
      <w:r>
        <w:t xml:space="preserve">We manually reviewed responses to identify the individual themes respondents raised. Responses were reviewed until topic saturation. This process yielded a total of 18 individual themes which were used as the basis of </w:t>
      </w:r>
      <w:r w:rsidR="00463F47">
        <w:t>our</w:t>
      </w:r>
      <w:r>
        <w:t xml:space="preserve"> coding scheme.</w:t>
      </w:r>
      <w:r w:rsidR="00463F47">
        <w:t xml:space="preserve"> Fourteen </w:t>
      </w:r>
      <w:r>
        <w:t>of these themes were designated as ‘sub-themes’ under three higher-order themes (</w:t>
      </w:r>
      <w:r>
        <w:rPr>
          <w:b/>
          <w:bCs/>
          <w:i/>
          <w:iCs/>
        </w:rPr>
        <w:t>blame/control</w:t>
      </w:r>
      <w:r>
        <w:t xml:space="preserve">, </w:t>
      </w:r>
      <w:r>
        <w:rPr>
          <w:b/>
          <w:bCs/>
          <w:i/>
          <w:iCs/>
        </w:rPr>
        <w:t>need</w:t>
      </w:r>
      <w:r>
        <w:t xml:space="preserve">, </w:t>
      </w:r>
      <w:r>
        <w:rPr>
          <w:b/>
          <w:bCs/>
          <w:i/>
          <w:iCs/>
        </w:rPr>
        <w:t>claimant characteristics</w:t>
      </w:r>
      <w:r>
        <w:t>)</w:t>
      </w:r>
      <w:r w:rsidR="00840A74">
        <w:t>.</w:t>
      </w:r>
      <w:r w:rsidR="002E748A">
        <w:t xml:space="preserve"> Table A1</w:t>
      </w:r>
      <w:r w:rsidR="00E94255">
        <w:t xml:space="preserve"> below</w:t>
      </w:r>
      <w:r w:rsidR="002E748A">
        <w:t xml:space="preserve"> describes all 18 codes and gives example responses</w:t>
      </w:r>
      <w:r w:rsidR="00841357">
        <w:t>:</w:t>
      </w:r>
    </w:p>
    <w:p w14:paraId="27338F7E" w14:textId="77777777" w:rsidR="005F4AE6" w:rsidRDefault="005F4AE6" w:rsidP="00844A05">
      <w:pPr>
        <w:sectPr w:rsidR="005F4AE6">
          <w:pgSz w:w="11906" w:h="16838"/>
          <w:pgMar w:top="1440" w:right="1440" w:bottom="1440" w:left="1440" w:header="708" w:footer="708" w:gutter="0"/>
          <w:cols w:space="708"/>
          <w:docGrid w:linePitch="360"/>
        </w:sectPr>
      </w:pPr>
    </w:p>
    <w:p w14:paraId="4C347FA8" w14:textId="38EF8BE2" w:rsidR="00841357" w:rsidRDefault="005F4AE6" w:rsidP="00844A05">
      <w:r>
        <w:lastRenderedPageBreak/>
        <w:t xml:space="preserve">TABLE A1. </w:t>
      </w:r>
      <w:r>
        <w:rPr>
          <w:i/>
          <w:iCs/>
        </w:rPr>
        <w:t>Manual thematic analysis coding scheme</w:t>
      </w:r>
      <w:r>
        <w:t>.</w:t>
      </w:r>
    </w:p>
    <w:tbl>
      <w:tblPr>
        <w:tblStyle w:val="TableGrid"/>
        <w:tblW w:w="0" w:type="auto"/>
        <w:tblLook w:val="04A0" w:firstRow="1" w:lastRow="0" w:firstColumn="1" w:lastColumn="0" w:noHBand="0" w:noVBand="1"/>
      </w:tblPr>
      <w:tblGrid>
        <w:gridCol w:w="2783"/>
        <w:gridCol w:w="6184"/>
        <w:gridCol w:w="4981"/>
      </w:tblGrid>
      <w:tr w:rsidR="005F4AE6" w14:paraId="27F54225" w14:textId="77777777" w:rsidTr="005F4AE6">
        <w:trPr>
          <w:cantSplit/>
        </w:trPr>
        <w:tc>
          <w:tcPr>
            <w:tcW w:w="2783" w:type="dxa"/>
          </w:tcPr>
          <w:p w14:paraId="12998F1B" w14:textId="77777777" w:rsidR="005F4AE6" w:rsidRPr="00C53FBC" w:rsidRDefault="005F4AE6" w:rsidP="00A51CDD">
            <w:pPr>
              <w:rPr>
                <w:b/>
                <w:bCs/>
              </w:rPr>
            </w:pPr>
            <w:r w:rsidRPr="00C53FBC">
              <w:rPr>
                <w:b/>
                <w:bCs/>
              </w:rPr>
              <w:t>Code name</w:t>
            </w:r>
          </w:p>
        </w:tc>
        <w:tc>
          <w:tcPr>
            <w:tcW w:w="6184" w:type="dxa"/>
          </w:tcPr>
          <w:p w14:paraId="2813B043" w14:textId="77777777" w:rsidR="005F4AE6" w:rsidRPr="00C53FBC" w:rsidRDefault="005F4AE6" w:rsidP="00A51CDD">
            <w:pPr>
              <w:rPr>
                <w:b/>
                <w:bCs/>
              </w:rPr>
            </w:pPr>
            <w:r w:rsidRPr="00C53FBC">
              <w:rPr>
                <w:b/>
                <w:bCs/>
              </w:rPr>
              <w:t>Code description</w:t>
            </w:r>
          </w:p>
        </w:tc>
        <w:tc>
          <w:tcPr>
            <w:tcW w:w="4981" w:type="dxa"/>
          </w:tcPr>
          <w:p w14:paraId="165DCFB0" w14:textId="77777777" w:rsidR="005F4AE6" w:rsidRPr="00C53FBC" w:rsidRDefault="005F4AE6" w:rsidP="00A51CDD">
            <w:pPr>
              <w:rPr>
                <w:b/>
                <w:bCs/>
              </w:rPr>
            </w:pPr>
            <w:r w:rsidRPr="00C53FBC">
              <w:rPr>
                <w:b/>
                <w:bCs/>
              </w:rPr>
              <w:t>Example responses</w:t>
            </w:r>
          </w:p>
        </w:tc>
      </w:tr>
      <w:tr w:rsidR="007A1DB7" w14:paraId="3B52590D" w14:textId="77777777" w:rsidTr="00E165A4">
        <w:trPr>
          <w:cantSplit/>
        </w:trPr>
        <w:tc>
          <w:tcPr>
            <w:tcW w:w="13948" w:type="dxa"/>
            <w:gridSpan w:val="3"/>
          </w:tcPr>
          <w:p w14:paraId="25514F0C" w14:textId="00245AF3" w:rsidR="007A1DB7" w:rsidRDefault="007A1DB7" w:rsidP="00A51CDD">
            <w:r>
              <w:rPr>
                <w:b/>
                <w:bCs/>
                <w:i/>
                <w:iCs/>
              </w:rPr>
              <w:t>Blame/Control</w:t>
            </w:r>
          </w:p>
        </w:tc>
      </w:tr>
      <w:tr w:rsidR="005F4AE6" w14:paraId="15DED91B" w14:textId="77777777" w:rsidTr="005F4AE6">
        <w:trPr>
          <w:cantSplit/>
        </w:trPr>
        <w:tc>
          <w:tcPr>
            <w:tcW w:w="2783" w:type="dxa"/>
          </w:tcPr>
          <w:p w14:paraId="2B10F799" w14:textId="082AAB9F" w:rsidR="005F4AE6" w:rsidRDefault="005F4AE6" w:rsidP="005F4AE6">
            <w:r>
              <w:t>COVID claimants: Less control</w:t>
            </w:r>
          </w:p>
        </w:tc>
        <w:tc>
          <w:tcPr>
            <w:tcW w:w="6184" w:type="dxa"/>
          </w:tcPr>
          <w:p w14:paraId="44F77768" w14:textId="4ED91C2A" w:rsidR="005F4AE6" w:rsidRDefault="00430299" w:rsidP="00A51CDD">
            <w:r>
              <w:t xml:space="preserve">Responses suggesting that </w:t>
            </w:r>
            <w:r w:rsidR="005F4AE6">
              <w:t>COVID claimants had no or less control over their situation. Includes responses which:</w:t>
            </w:r>
          </w:p>
          <w:p w14:paraId="64ACADEA" w14:textId="2A8E2AFA" w:rsidR="005F4AE6" w:rsidRDefault="005F4AE6" w:rsidP="005F4AE6">
            <w:pPr>
              <w:pStyle w:val="ListParagraph"/>
              <w:numPr>
                <w:ilvl w:val="0"/>
                <w:numId w:val="3"/>
              </w:numPr>
              <w:spacing w:after="0"/>
            </w:pPr>
            <w:r>
              <w:t xml:space="preserve">Claim that COVID claimants lost jobs/hours </w:t>
            </w:r>
            <w:r>
              <w:rPr>
                <w:i/>
                <w:iCs/>
              </w:rPr>
              <w:t xml:space="preserve">due </w:t>
            </w:r>
            <w:r w:rsidRPr="005F4AE6">
              <w:rPr>
                <w:i/>
                <w:iCs/>
              </w:rPr>
              <w:t>to</w:t>
            </w:r>
            <w:r>
              <w:t xml:space="preserve"> COVID (</w:t>
            </w:r>
            <w:proofErr w:type="gramStart"/>
            <w:r>
              <w:t>e.g.</w:t>
            </w:r>
            <w:proofErr w:type="gramEnd"/>
            <w:r>
              <w:t xml:space="preserve"> due to illness, lockdowns, business closure)</w:t>
            </w:r>
          </w:p>
          <w:p w14:paraId="4F98E1BE" w14:textId="54FF9F24" w:rsidR="005F4AE6" w:rsidRDefault="005F4AE6" w:rsidP="005F4AE6">
            <w:pPr>
              <w:pStyle w:val="ListParagraph"/>
              <w:numPr>
                <w:ilvl w:val="0"/>
                <w:numId w:val="3"/>
              </w:numPr>
              <w:spacing w:after="0"/>
            </w:pPr>
            <w:r>
              <w:t>Imply lack of control by mentioning mention business closures, job shortages etc.</w:t>
            </w:r>
          </w:p>
          <w:p w14:paraId="371919E7" w14:textId="1412F48D" w:rsidR="005F4AE6" w:rsidRDefault="005F4AE6" w:rsidP="005F4AE6">
            <w:pPr>
              <w:pStyle w:val="ListParagraph"/>
              <w:numPr>
                <w:ilvl w:val="0"/>
                <w:numId w:val="3"/>
              </w:numPr>
              <w:spacing w:after="0"/>
            </w:pPr>
            <w:r>
              <w:t xml:space="preserve">Imply lack of control by noting that COVID claimants were “made redundant” or “laid off” (compare to </w:t>
            </w:r>
            <w:r w:rsidRPr="005F4AE6">
              <w:rPr>
                <w:i/>
                <w:iCs/>
              </w:rPr>
              <w:t>‘COVID claimants lost jobs’ below</w:t>
            </w:r>
            <w:r>
              <w:t>)</w:t>
            </w:r>
          </w:p>
          <w:p w14:paraId="27282E17" w14:textId="3127CB46" w:rsidR="005F4AE6" w:rsidRDefault="005F4AE6" w:rsidP="00656A21">
            <w:pPr>
              <w:pStyle w:val="ListParagraph"/>
              <w:numPr>
                <w:ilvl w:val="0"/>
                <w:numId w:val="3"/>
              </w:numPr>
              <w:spacing w:after="0"/>
            </w:pPr>
            <w:r>
              <w:t>Note that COVID claimants are more ‘deserving’ or ‘genuine’ in generic terms</w:t>
            </w:r>
          </w:p>
        </w:tc>
        <w:tc>
          <w:tcPr>
            <w:tcW w:w="4981" w:type="dxa"/>
          </w:tcPr>
          <w:p w14:paraId="4B7CE8B8" w14:textId="77777777" w:rsidR="005F4AE6" w:rsidRDefault="005F4AE6" w:rsidP="00A51CDD">
            <w:r>
              <w:t>“</w:t>
            </w:r>
            <w:r w:rsidRPr="00921ED9">
              <w:t>A lot of businesses failed during the COVID 19 time. A lot of uncertainty exists.</w:t>
            </w:r>
            <w:r>
              <w:t xml:space="preserve">”; </w:t>
            </w:r>
          </w:p>
          <w:p w14:paraId="11F8B5CF" w14:textId="77777777" w:rsidR="005F4AE6" w:rsidRDefault="005F4AE6" w:rsidP="00A51CDD">
            <w:r>
              <w:t>“</w:t>
            </w:r>
            <w:r w:rsidRPr="00921ED9">
              <w:t>More competition for jobs now</w:t>
            </w:r>
            <w:r>
              <w:t xml:space="preserve">”; </w:t>
            </w:r>
          </w:p>
          <w:p w14:paraId="0D638D4F" w14:textId="77777777" w:rsidR="005F4AE6" w:rsidRDefault="005F4AE6" w:rsidP="00A51CDD">
            <w:r>
              <w:t>“</w:t>
            </w:r>
            <w:r w:rsidRPr="00921ED9">
              <w:t>During covid many people lost their jobs/income or had reduced hours due to lockdown</w:t>
            </w:r>
            <w:r>
              <w:t xml:space="preserve">”; </w:t>
            </w:r>
          </w:p>
          <w:p w14:paraId="3F30D1A3" w14:textId="77777777" w:rsidR="005F4AE6" w:rsidRDefault="005F4AE6" w:rsidP="00A51CDD">
            <w:r>
              <w:t>“</w:t>
            </w:r>
            <w:r w:rsidRPr="00921ED9">
              <w:t>Many people claiming benefits during COVID were previously employed and made redundant due to the pandemic</w:t>
            </w:r>
            <w:r>
              <w:t>”</w:t>
            </w:r>
          </w:p>
          <w:p w14:paraId="4EE72E0F" w14:textId="77777777" w:rsidR="005F4AE6" w:rsidRDefault="005F4AE6" w:rsidP="00A51CDD">
            <w:r>
              <w:t>“</w:t>
            </w:r>
            <w:r w:rsidRPr="00921ED9">
              <w:t>COVID was a terrible disaster and so many people lost their jobs. It</w:t>
            </w:r>
            <w:r>
              <w:t>’</w:t>
            </w:r>
            <w:r w:rsidRPr="00921ED9">
              <w:t>s obviously not their fault.</w:t>
            </w:r>
            <w:r>
              <w:t>”</w:t>
            </w:r>
          </w:p>
        </w:tc>
      </w:tr>
      <w:tr w:rsidR="005F4AE6" w14:paraId="06DF6449" w14:textId="77777777" w:rsidTr="005F4AE6">
        <w:trPr>
          <w:cantSplit/>
        </w:trPr>
        <w:tc>
          <w:tcPr>
            <w:tcW w:w="2783" w:type="dxa"/>
          </w:tcPr>
          <w:p w14:paraId="213BAA9D" w14:textId="72FC5266" w:rsidR="005F4AE6" w:rsidRDefault="005F4AE6" w:rsidP="00A51CDD">
            <w:r>
              <w:t>COVID</w:t>
            </w:r>
            <w:r w:rsidR="00656A21">
              <w:t xml:space="preserve"> claimants</w:t>
            </w:r>
            <w:r>
              <w:t>: Want to work</w:t>
            </w:r>
          </w:p>
          <w:p w14:paraId="090D1FA8" w14:textId="77777777" w:rsidR="005F4AE6" w:rsidRDefault="005F4AE6" w:rsidP="00A51CDD"/>
          <w:p w14:paraId="03308574" w14:textId="77777777" w:rsidR="005F4AE6" w:rsidRDefault="005F4AE6" w:rsidP="00656A21"/>
        </w:tc>
        <w:tc>
          <w:tcPr>
            <w:tcW w:w="6184" w:type="dxa"/>
          </w:tcPr>
          <w:p w14:paraId="777C7141" w14:textId="284790C4" w:rsidR="005F4AE6" w:rsidRDefault="005F4AE6" w:rsidP="00A51CDD">
            <w:r>
              <w:t>Responses which explicitly mention that COVID claimants ‘want to work’ or are motivated to work</w:t>
            </w:r>
            <w:r w:rsidR="00656A21">
              <w:t xml:space="preserve"> or find work.</w:t>
            </w:r>
          </w:p>
        </w:tc>
        <w:tc>
          <w:tcPr>
            <w:tcW w:w="4981" w:type="dxa"/>
          </w:tcPr>
          <w:p w14:paraId="7C11BAB4" w14:textId="77777777" w:rsidR="005F4AE6" w:rsidRDefault="005F4AE6" w:rsidP="00A51CDD">
            <w:r>
              <w:t>“</w:t>
            </w:r>
            <w:r w:rsidRPr="001730D7">
              <w:t>People who lost their jobs during the pandemic will look for another job</w:t>
            </w:r>
            <w:r>
              <w:t>”;</w:t>
            </w:r>
          </w:p>
          <w:p w14:paraId="4F34987B" w14:textId="77777777" w:rsidR="005F4AE6" w:rsidRDefault="005F4AE6" w:rsidP="00A51CDD">
            <w:r>
              <w:t>“</w:t>
            </w:r>
            <w:r w:rsidRPr="001730D7">
              <w:t xml:space="preserve">These people need to work, the majority want to work, but benefits </w:t>
            </w:r>
            <w:proofErr w:type="gramStart"/>
            <w:r w:rsidRPr="001730D7">
              <w:t>is</w:t>
            </w:r>
            <w:proofErr w:type="gramEnd"/>
            <w:r w:rsidRPr="001730D7">
              <w:t xml:space="preserve"> their only option.</w:t>
            </w:r>
            <w:r>
              <w:t>”</w:t>
            </w:r>
          </w:p>
          <w:p w14:paraId="2FCA81B9" w14:textId="5E0ED9E9" w:rsidR="005F4AE6" w:rsidRDefault="005F4AE6" w:rsidP="00A51CDD">
            <w:r>
              <w:t>“</w:t>
            </w:r>
            <w:r w:rsidRPr="001730D7">
              <w:t>Probably more people claiming benefits who wanted to work but couldn</w:t>
            </w:r>
            <w:r>
              <w:t>’</w:t>
            </w:r>
            <w:r w:rsidRPr="001730D7">
              <w:t>t during COVID rather than before</w:t>
            </w:r>
            <w:r>
              <w:t>”</w:t>
            </w:r>
            <w:r w:rsidR="00656A21">
              <w:t>.</w:t>
            </w:r>
          </w:p>
        </w:tc>
      </w:tr>
      <w:tr w:rsidR="005F4AE6" w14:paraId="17A8DD1D" w14:textId="77777777" w:rsidTr="005F4AE6">
        <w:trPr>
          <w:cantSplit/>
        </w:trPr>
        <w:tc>
          <w:tcPr>
            <w:tcW w:w="2783" w:type="dxa"/>
          </w:tcPr>
          <w:p w14:paraId="43170256" w14:textId="6B7951E4" w:rsidR="005F4AE6" w:rsidRDefault="005F4AE6" w:rsidP="00A51CDD">
            <w:r>
              <w:lastRenderedPageBreak/>
              <w:t>Pre-</w:t>
            </w:r>
            <w:r w:rsidR="00656A21">
              <w:t>pandemic claimants</w:t>
            </w:r>
            <w:r>
              <w:t xml:space="preserve">: </w:t>
            </w:r>
            <w:r w:rsidR="00656A21">
              <w:t>To b</w:t>
            </w:r>
            <w:r>
              <w:t>lame</w:t>
            </w:r>
          </w:p>
          <w:p w14:paraId="64C17176" w14:textId="77777777" w:rsidR="005F4AE6" w:rsidRDefault="005F4AE6" w:rsidP="00A51CDD"/>
          <w:p w14:paraId="39AF8790" w14:textId="77777777" w:rsidR="005F4AE6" w:rsidRDefault="005F4AE6" w:rsidP="00656A21"/>
        </w:tc>
        <w:tc>
          <w:tcPr>
            <w:tcW w:w="6184" w:type="dxa"/>
          </w:tcPr>
          <w:p w14:paraId="1DF077F4" w14:textId="2A5A0A02" w:rsidR="005F4AE6" w:rsidRDefault="000B6234" w:rsidP="00A51CDD">
            <w:r>
              <w:t>Responses which</w:t>
            </w:r>
            <w:r w:rsidR="005F4AE6">
              <w:t xml:space="preserve"> imply or explicitly state that pre-</w:t>
            </w:r>
            <w:r w:rsidR="00656A21">
              <w:t>pandemic</w:t>
            </w:r>
            <w:r w:rsidR="005F4AE6">
              <w:t xml:space="preserve"> claimants were at fault for their situation</w:t>
            </w:r>
            <w:r w:rsidR="00656A21">
              <w:t xml:space="preserve">: for </w:t>
            </w:r>
            <w:proofErr w:type="gramStart"/>
            <w:r w:rsidR="00656A21">
              <w:t>example</w:t>
            </w:r>
            <w:proofErr w:type="gramEnd"/>
            <w:r w:rsidR="005F4AE6">
              <w:t xml:space="preserve"> that they were lazy, did not try hard enough to find work, </w:t>
            </w:r>
            <w:r w:rsidR="00656A21">
              <w:t xml:space="preserve">or </w:t>
            </w:r>
            <w:r w:rsidR="005F4AE6">
              <w:t>wanted to live on benefits.</w:t>
            </w:r>
          </w:p>
          <w:p w14:paraId="2D36A0E9" w14:textId="61931C66" w:rsidR="005F4AE6" w:rsidRDefault="005F4AE6" w:rsidP="00A51CDD">
            <w:r>
              <w:t>Includes</w:t>
            </w:r>
            <w:r w:rsidR="00656A21">
              <w:t xml:space="preserve"> responses which</w:t>
            </w:r>
            <w:r>
              <w:t>:</w:t>
            </w:r>
          </w:p>
          <w:p w14:paraId="23C7D93F" w14:textId="3A4B8E90" w:rsidR="005F4AE6" w:rsidRDefault="00656A21" w:rsidP="005F4AE6">
            <w:pPr>
              <w:pStyle w:val="ListParagraph"/>
              <w:numPr>
                <w:ilvl w:val="0"/>
                <w:numId w:val="3"/>
              </w:numPr>
              <w:spacing w:after="0"/>
            </w:pPr>
            <w:r>
              <w:t xml:space="preserve">Claim </w:t>
            </w:r>
            <w:r w:rsidR="005F4AE6">
              <w:t xml:space="preserve">that work was easy to find before the pandemic </w:t>
            </w:r>
            <w:r>
              <w:t>(</w:t>
            </w:r>
            <w:r w:rsidR="005F4AE6">
              <w:t>implies blame for unemployment</w:t>
            </w:r>
            <w:r>
              <w:t>)</w:t>
            </w:r>
            <w:r w:rsidR="005F4AE6">
              <w:t>.</w:t>
            </w:r>
          </w:p>
          <w:p w14:paraId="44E60E1E" w14:textId="2D19ED8F" w:rsidR="005F4AE6" w:rsidRDefault="00656A21" w:rsidP="005F4AE6">
            <w:pPr>
              <w:pStyle w:val="ListParagraph"/>
              <w:numPr>
                <w:ilvl w:val="0"/>
                <w:numId w:val="3"/>
              </w:numPr>
              <w:spacing w:after="0"/>
            </w:pPr>
            <w:r>
              <w:t>M</w:t>
            </w:r>
            <w:r w:rsidR="005F4AE6">
              <w:t xml:space="preserve">ake an implicit comparison with COVID claimants – </w:t>
            </w:r>
            <w:proofErr w:type="gramStart"/>
            <w:r w:rsidR="005F4AE6">
              <w:t>e.g.</w:t>
            </w:r>
            <w:proofErr w:type="gramEnd"/>
            <w:r w:rsidR="005F4AE6">
              <w:t xml:space="preserve"> suggestion that COVID claimants were ‘more genuine’ implies that pre-COVID claimants were less genuine.</w:t>
            </w:r>
          </w:p>
          <w:p w14:paraId="48B872A2" w14:textId="244B6E73" w:rsidR="005F4AE6" w:rsidRDefault="00220B38" w:rsidP="005F4AE6">
            <w:pPr>
              <w:pStyle w:val="ListParagraph"/>
              <w:numPr>
                <w:ilvl w:val="0"/>
                <w:numId w:val="3"/>
              </w:numPr>
              <w:spacing w:after="0"/>
            </w:pPr>
            <w:r>
              <w:t xml:space="preserve">Claim </w:t>
            </w:r>
            <w:r w:rsidR="005F4AE6">
              <w:t xml:space="preserve">that </w:t>
            </w:r>
            <w:r>
              <w:t xml:space="preserve">pre-pandemic claimants were </w:t>
            </w:r>
            <w:r w:rsidR="005F4AE6">
              <w:t xml:space="preserve">provided </w:t>
            </w:r>
            <w:r>
              <w:t xml:space="preserve">with no incentive to </w:t>
            </w:r>
            <w:r w:rsidR="005F4AE6">
              <w:t>work (</w:t>
            </w:r>
            <w:proofErr w:type="gramStart"/>
            <w:r w:rsidR="005F4AE6">
              <w:t>e.g.</w:t>
            </w:r>
            <w:proofErr w:type="gramEnd"/>
            <w:r w:rsidR="005F4AE6">
              <w:t xml:space="preserve"> </w:t>
            </w:r>
            <w:r>
              <w:t xml:space="preserve">that they could </w:t>
            </w:r>
            <w:r w:rsidR="00545632">
              <w:t>‘</w:t>
            </w:r>
            <w:r>
              <w:t xml:space="preserve">earn </w:t>
            </w:r>
            <w:r w:rsidR="005F4AE6">
              <w:t>more on benefits</w:t>
            </w:r>
            <w:r w:rsidR="00545632">
              <w:t>’</w:t>
            </w:r>
            <w:r w:rsidR="005F4AE6">
              <w:t>).</w:t>
            </w:r>
          </w:p>
        </w:tc>
        <w:tc>
          <w:tcPr>
            <w:tcW w:w="4981" w:type="dxa"/>
          </w:tcPr>
          <w:p w14:paraId="6712939B" w14:textId="421C2CEE" w:rsidR="005F4AE6" w:rsidRDefault="005F4AE6" w:rsidP="00A51CDD">
            <w:r>
              <w:t>“</w:t>
            </w:r>
            <w:r w:rsidRPr="001070D4">
              <w:t>Many people befor</w:t>
            </w:r>
            <w:r w:rsidR="00656A21">
              <w:t>e</w:t>
            </w:r>
            <w:r w:rsidRPr="001070D4">
              <w:t xml:space="preserve"> the pandemic were claiming benefits because they were choosing not to work</w:t>
            </w:r>
            <w:r>
              <w:t>”;</w:t>
            </w:r>
          </w:p>
          <w:p w14:paraId="4EB58A95" w14:textId="77777777" w:rsidR="005F4AE6" w:rsidRDefault="005F4AE6" w:rsidP="00A51CDD">
            <w:r>
              <w:t>“</w:t>
            </w:r>
            <w:r w:rsidRPr="001070D4">
              <w:t>People claiming before are used to getting their benefits and there is no incentive for them to get a job.</w:t>
            </w:r>
            <w:r>
              <w:t xml:space="preserve">”; </w:t>
            </w:r>
          </w:p>
          <w:p w14:paraId="7A40812F" w14:textId="48BEE2C7" w:rsidR="005F4AE6" w:rsidRDefault="005F4AE6" w:rsidP="00A51CDD">
            <w:r>
              <w:t>“</w:t>
            </w:r>
            <w:r w:rsidRPr="001070D4">
              <w:t>It was easier to get a job before covid</w:t>
            </w:r>
            <w:r>
              <w:t>”</w:t>
            </w:r>
            <w:r w:rsidR="00656A21">
              <w:t>.</w:t>
            </w:r>
          </w:p>
        </w:tc>
      </w:tr>
      <w:tr w:rsidR="005F4AE6" w14:paraId="41864FCF" w14:textId="77777777" w:rsidTr="005F4AE6">
        <w:trPr>
          <w:cantSplit/>
        </w:trPr>
        <w:tc>
          <w:tcPr>
            <w:tcW w:w="2783" w:type="dxa"/>
          </w:tcPr>
          <w:p w14:paraId="6609C816" w14:textId="6F6EBF3A" w:rsidR="005F4AE6" w:rsidRDefault="005F4AE6" w:rsidP="000D1424">
            <w:r>
              <w:t>COVID</w:t>
            </w:r>
            <w:r w:rsidR="000D1424">
              <w:t xml:space="preserve"> claimants</w:t>
            </w:r>
            <w:r>
              <w:t xml:space="preserve">: </w:t>
            </w:r>
            <w:r w:rsidR="000D1424">
              <w:t>To b</w:t>
            </w:r>
            <w:r>
              <w:t>lame</w:t>
            </w:r>
          </w:p>
        </w:tc>
        <w:tc>
          <w:tcPr>
            <w:tcW w:w="6184" w:type="dxa"/>
          </w:tcPr>
          <w:p w14:paraId="6658FFEB" w14:textId="11176612" w:rsidR="000D1424" w:rsidRDefault="000B6234" w:rsidP="00A51CDD">
            <w:r>
              <w:t>Responses which</w:t>
            </w:r>
            <w:r w:rsidR="000D1424">
              <w:t xml:space="preserve"> imply or explicitly state that </w:t>
            </w:r>
            <w:r w:rsidR="005F4AE6">
              <w:t xml:space="preserve">COVID claimants </w:t>
            </w:r>
            <w:r w:rsidR="000D1424">
              <w:t>were at fault for their situation.</w:t>
            </w:r>
          </w:p>
          <w:p w14:paraId="15EDCF19" w14:textId="77777777" w:rsidR="000D1424" w:rsidRDefault="000D1424" w:rsidP="00A51CDD">
            <w:r>
              <w:t>Includes responses which:</w:t>
            </w:r>
          </w:p>
          <w:p w14:paraId="204DE06A" w14:textId="408E9311" w:rsidR="005F4AE6" w:rsidRDefault="000D1424" w:rsidP="000D1424">
            <w:pPr>
              <w:pStyle w:val="ListParagraph"/>
              <w:numPr>
                <w:ilvl w:val="0"/>
                <w:numId w:val="3"/>
              </w:numPr>
              <w:spacing w:after="0"/>
            </w:pPr>
            <w:r>
              <w:t xml:space="preserve">Argue COVID claimants chose </w:t>
            </w:r>
            <w:r w:rsidR="005F4AE6">
              <w:t>to claim benefits when</w:t>
            </w:r>
            <w:r>
              <w:t xml:space="preserve"> they </w:t>
            </w:r>
            <w:r w:rsidR="005F4AE6">
              <w:t>could have continued to work or relied on savings.</w:t>
            </w:r>
          </w:p>
          <w:p w14:paraId="66A715FA" w14:textId="438B2F07" w:rsidR="005F4AE6" w:rsidRDefault="000D1424" w:rsidP="00A51CDD">
            <w:pPr>
              <w:pStyle w:val="ListParagraph"/>
              <w:numPr>
                <w:ilvl w:val="0"/>
                <w:numId w:val="3"/>
              </w:numPr>
              <w:spacing w:after="0"/>
            </w:pPr>
            <w:r>
              <w:t>Suggest that COVID claimants may be intentionally ‘scamming’ or claiming benefits to which they should not be entitled (these responses would also receive the ‘COVID claimants: Fraud code - see below)</w:t>
            </w:r>
          </w:p>
        </w:tc>
        <w:tc>
          <w:tcPr>
            <w:tcW w:w="4981" w:type="dxa"/>
          </w:tcPr>
          <w:p w14:paraId="3302FEFF" w14:textId="77777777" w:rsidR="005F4AE6" w:rsidRDefault="005F4AE6" w:rsidP="00A51CDD">
            <w:r>
              <w:t>“</w:t>
            </w:r>
            <w:r w:rsidRPr="00C37930">
              <w:t>Some people decided not to work when they could have remained with a job as the government scheme promised a holiday with pay!</w:t>
            </w:r>
            <w:r>
              <w:t>”;</w:t>
            </w:r>
          </w:p>
          <w:p w14:paraId="14FD5B0D" w14:textId="77777777" w:rsidR="005F4AE6" w:rsidRDefault="005F4AE6" w:rsidP="00A51CDD">
            <w:r>
              <w:t>“</w:t>
            </w:r>
            <w:r w:rsidRPr="00C37930">
              <w:t>Not saved fir a rainy day</w:t>
            </w:r>
            <w:r>
              <w:t>”;</w:t>
            </w:r>
          </w:p>
          <w:p w14:paraId="569AB01A" w14:textId="77777777" w:rsidR="005F4AE6" w:rsidRDefault="005F4AE6" w:rsidP="00A51CDD">
            <w:r>
              <w:t>“</w:t>
            </w:r>
            <w:proofErr w:type="gramStart"/>
            <w:r w:rsidRPr="00BE2A36">
              <w:t>more</w:t>
            </w:r>
            <w:proofErr w:type="gramEnd"/>
            <w:r w:rsidRPr="00BE2A36">
              <w:t xml:space="preserve"> people are claiming benefits now that can actually work meaning that they can get paid for relaxing at home, having a lie in, doing their gardening or exercising</w:t>
            </w:r>
            <w:r>
              <w:t>”;</w:t>
            </w:r>
          </w:p>
          <w:p w14:paraId="0762BFFF" w14:textId="77777777" w:rsidR="005F4AE6" w:rsidRDefault="005F4AE6" w:rsidP="00A51CDD">
            <w:r>
              <w:t>“</w:t>
            </w:r>
            <w:r w:rsidRPr="008277B0">
              <w:t>People are claiming lots more grants since covid 19 who aren</w:t>
            </w:r>
            <w:r>
              <w:t>’</w:t>
            </w:r>
            <w:r w:rsidRPr="008277B0">
              <w:t>t necessarily entitled</w:t>
            </w:r>
            <w:r>
              <w:t>”</w:t>
            </w:r>
          </w:p>
          <w:p w14:paraId="726C5859" w14:textId="77777777" w:rsidR="005F4AE6" w:rsidRDefault="005F4AE6" w:rsidP="00A51CDD"/>
        </w:tc>
      </w:tr>
      <w:tr w:rsidR="000B6234" w14:paraId="080A1FF1" w14:textId="77777777" w:rsidTr="005F4AE6">
        <w:trPr>
          <w:cantSplit/>
        </w:trPr>
        <w:tc>
          <w:tcPr>
            <w:tcW w:w="2783" w:type="dxa"/>
          </w:tcPr>
          <w:p w14:paraId="4D86671F" w14:textId="00321D94" w:rsidR="000B6234" w:rsidRDefault="000B6234" w:rsidP="000B6234">
            <w:r>
              <w:lastRenderedPageBreak/>
              <w:t>COVID: Fraud</w:t>
            </w:r>
          </w:p>
        </w:tc>
        <w:tc>
          <w:tcPr>
            <w:tcW w:w="6184" w:type="dxa"/>
          </w:tcPr>
          <w:p w14:paraId="3146E36B" w14:textId="078F3A9E" w:rsidR="000B6234" w:rsidRDefault="000B6234" w:rsidP="000B6234">
            <w:r>
              <w:t xml:space="preserve">Responses which raised the issue of potential fraud among </w:t>
            </w:r>
            <w:r>
              <w:t>COVID claimants committing.</w:t>
            </w:r>
          </w:p>
          <w:p w14:paraId="4BB7139A" w14:textId="45127F83" w:rsidR="000B6234" w:rsidRDefault="000B6234" w:rsidP="000B6234">
            <w:r>
              <w:t>Includes</w:t>
            </w:r>
            <w:r>
              <w:t xml:space="preserve"> responses which</w:t>
            </w:r>
            <w:r>
              <w:t>:</w:t>
            </w:r>
          </w:p>
          <w:p w14:paraId="4977CC64" w14:textId="5DA7B6AB" w:rsidR="000B6234" w:rsidRDefault="000B6234" w:rsidP="000B6234">
            <w:pPr>
              <w:pStyle w:val="ListParagraph"/>
              <w:numPr>
                <w:ilvl w:val="0"/>
                <w:numId w:val="3"/>
              </w:numPr>
              <w:spacing w:after="0"/>
            </w:pPr>
            <w:r>
              <w:t xml:space="preserve">Suggest that </w:t>
            </w:r>
            <w:r>
              <w:t xml:space="preserve">COVID claimants </w:t>
            </w:r>
            <w:r>
              <w:t xml:space="preserve">may be </w:t>
            </w:r>
            <w:r>
              <w:t>claiming furlough</w:t>
            </w:r>
            <w:r>
              <w:t xml:space="preserve"> and/or </w:t>
            </w:r>
            <w:r>
              <w:t>benefits but still working</w:t>
            </w:r>
          </w:p>
          <w:p w14:paraId="13E9032E" w14:textId="7F188CA4" w:rsidR="000B6234" w:rsidRDefault="000B6234" w:rsidP="000B6234">
            <w:pPr>
              <w:pStyle w:val="ListParagraph"/>
              <w:numPr>
                <w:ilvl w:val="0"/>
                <w:numId w:val="3"/>
              </w:numPr>
              <w:spacing w:after="0"/>
            </w:pPr>
            <w:r>
              <w:t xml:space="preserve">Suggest that </w:t>
            </w:r>
            <w:r>
              <w:t xml:space="preserve">COVID claimants </w:t>
            </w:r>
            <w:r>
              <w:t xml:space="preserve">are </w:t>
            </w:r>
            <w:r>
              <w:t>‘jumping on the bandwagon’ to claim benefits</w:t>
            </w:r>
            <w:r>
              <w:t>,</w:t>
            </w:r>
            <w:r>
              <w:t xml:space="preserve"> despite not needing them</w:t>
            </w:r>
          </w:p>
          <w:p w14:paraId="6D2BAFEF" w14:textId="6A2AA938" w:rsidR="000B6234" w:rsidRDefault="000B6234" w:rsidP="000B6234">
            <w:pPr>
              <w:pStyle w:val="ListParagraph"/>
              <w:numPr>
                <w:ilvl w:val="0"/>
                <w:numId w:val="3"/>
              </w:numPr>
              <w:spacing w:after="0"/>
            </w:pPr>
            <w:r>
              <w:t xml:space="preserve">Suggest that claiming </w:t>
            </w:r>
            <w:r>
              <w:t>benefits</w:t>
            </w:r>
            <w:r>
              <w:t xml:space="preserve"> and or </w:t>
            </w:r>
            <w:r>
              <w:t xml:space="preserve">furlough </w:t>
            </w:r>
            <w:r>
              <w:t>was too easy during COVID</w:t>
            </w:r>
          </w:p>
          <w:p w14:paraId="400954D1" w14:textId="77777777" w:rsidR="000B6234" w:rsidRDefault="000B6234" w:rsidP="000B6234">
            <w:pPr>
              <w:rPr>
                <w:i/>
                <w:iCs/>
              </w:rPr>
            </w:pPr>
          </w:p>
          <w:p w14:paraId="382EE010" w14:textId="5698D378" w:rsidR="000B6234" w:rsidRDefault="000B6234" w:rsidP="000B6234">
            <w:r>
              <w:rPr>
                <w:i/>
                <w:iCs/>
              </w:rPr>
              <w:t>Note:</w:t>
            </w:r>
            <w:r>
              <w:rPr>
                <w:i/>
                <w:iCs/>
              </w:rPr>
              <w:t xml:space="preserve"> All responses which suggested that COVID may be committing fraud would also receive the ‘COVID claimants: To blame’ code. However, we considered it useful to separate this code</w:t>
            </w:r>
            <w:r>
              <w:rPr>
                <w:i/>
                <w:iCs/>
              </w:rPr>
              <w:t xml:space="preserve"> </w:t>
            </w:r>
            <w:r>
              <w:rPr>
                <w:i/>
                <w:iCs/>
              </w:rPr>
              <w:t xml:space="preserve">in order to track </w:t>
            </w:r>
            <w:r>
              <w:rPr>
                <w:i/>
                <w:iCs/>
              </w:rPr>
              <w:t xml:space="preserve">how often </w:t>
            </w:r>
            <w:r>
              <w:rPr>
                <w:i/>
                <w:iCs/>
              </w:rPr>
              <w:t xml:space="preserve">the </w:t>
            </w:r>
            <w:r>
              <w:rPr>
                <w:i/>
                <w:iCs/>
              </w:rPr>
              <w:t xml:space="preserve">specific </w:t>
            </w:r>
            <w:r>
              <w:rPr>
                <w:i/>
                <w:iCs/>
              </w:rPr>
              <w:t xml:space="preserve">issue of </w:t>
            </w:r>
            <w:r>
              <w:rPr>
                <w:i/>
                <w:iCs/>
              </w:rPr>
              <w:t xml:space="preserve">fraud </w:t>
            </w:r>
            <w:r>
              <w:rPr>
                <w:i/>
                <w:iCs/>
              </w:rPr>
              <w:t xml:space="preserve">was </w:t>
            </w:r>
            <w:r>
              <w:rPr>
                <w:i/>
                <w:iCs/>
              </w:rPr>
              <w:t>raised by respondents.</w:t>
            </w:r>
          </w:p>
        </w:tc>
        <w:tc>
          <w:tcPr>
            <w:tcW w:w="4981" w:type="dxa"/>
          </w:tcPr>
          <w:p w14:paraId="5E704990" w14:textId="77777777" w:rsidR="000B6234" w:rsidRDefault="000B6234" w:rsidP="000B6234">
            <w:r>
              <w:t>“</w:t>
            </w:r>
            <w:r w:rsidRPr="00B73619">
              <w:t>Some people claimed as a scam because it was made easier</w:t>
            </w:r>
            <w:r>
              <w:t>”;</w:t>
            </w:r>
          </w:p>
          <w:p w14:paraId="14C30E94" w14:textId="77777777" w:rsidR="000B6234" w:rsidRDefault="000B6234" w:rsidP="000B6234">
            <w:r>
              <w:t>“</w:t>
            </w:r>
            <w:r w:rsidRPr="00B73619">
              <w:t>During covid I9 people were just jumping on the band wagon</w:t>
            </w:r>
            <w:r>
              <w:t>”;</w:t>
            </w:r>
          </w:p>
          <w:p w14:paraId="79568A72" w14:textId="1A130182" w:rsidR="000B6234" w:rsidRDefault="000B6234" w:rsidP="000B6234">
            <w:r>
              <w:t>“</w:t>
            </w:r>
            <w:r w:rsidRPr="00B73619">
              <w:t>Too easy to claim benefits/grants/furlough without checks</w:t>
            </w:r>
            <w:r>
              <w:t>”</w:t>
            </w:r>
          </w:p>
        </w:tc>
      </w:tr>
      <w:tr w:rsidR="005F4AE6" w14:paraId="148F99A8" w14:textId="77777777" w:rsidTr="005F4AE6">
        <w:trPr>
          <w:cantSplit/>
        </w:trPr>
        <w:tc>
          <w:tcPr>
            <w:tcW w:w="2783" w:type="dxa"/>
          </w:tcPr>
          <w:p w14:paraId="58B08D3E" w14:textId="5742118A" w:rsidR="005F4AE6" w:rsidRDefault="007A1DB7" w:rsidP="00A51CDD">
            <w:r>
              <w:t>Both</w:t>
            </w:r>
            <w:r w:rsidR="00830AD8">
              <w:t xml:space="preserve"> t</w:t>
            </w:r>
            <w:r>
              <w:t>o blame</w:t>
            </w:r>
          </w:p>
          <w:p w14:paraId="08276396" w14:textId="77777777" w:rsidR="005F4AE6" w:rsidRDefault="005F4AE6" w:rsidP="00A51CDD"/>
          <w:p w14:paraId="06E1D8D2" w14:textId="77777777" w:rsidR="005F4AE6" w:rsidRDefault="005F4AE6" w:rsidP="007A1DB7"/>
        </w:tc>
        <w:tc>
          <w:tcPr>
            <w:tcW w:w="6184" w:type="dxa"/>
          </w:tcPr>
          <w:p w14:paraId="2147B740" w14:textId="713837CC" w:rsidR="005F4AE6" w:rsidRDefault="000B6234" w:rsidP="00A51CDD">
            <w:r>
              <w:t>Responses which</w:t>
            </w:r>
            <w:r w:rsidR="007A1DB7">
              <w:t xml:space="preserve"> imply or state that both </w:t>
            </w:r>
            <w:r w:rsidR="005F4AE6">
              <w:t xml:space="preserve">claimant types </w:t>
            </w:r>
            <w:r w:rsidR="007A1DB7">
              <w:t>were at fault for their situation.</w:t>
            </w:r>
          </w:p>
        </w:tc>
        <w:tc>
          <w:tcPr>
            <w:tcW w:w="4981" w:type="dxa"/>
          </w:tcPr>
          <w:p w14:paraId="574DC640" w14:textId="77777777" w:rsidR="005F4AE6" w:rsidRDefault="005F4AE6" w:rsidP="00A51CDD">
            <w:r>
              <w:t>“</w:t>
            </w:r>
            <w:r w:rsidRPr="002C37A7">
              <w:t>People claiming benefits during covid seemed to think it was their right to claim benefits/furlough rather than trying to change their business to make a success of it. People claiming benefits before covid just always thought it was their right to claim benefits instead of trying to look after themselves</w:t>
            </w:r>
            <w:r>
              <w:t>”;</w:t>
            </w:r>
          </w:p>
          <w:p w14:paraId="5DBB6156" w14:textId="77777777" w:rsidR="005F4AE6" w:rsidRDefault="005F4AE6" w:rsidP="00A51CDD">
            <w:r>
              <w:t>“</w:t>
            </w:r>
            <w:r w:rsidRPr="002C37A7">
              <w:t>Some people will always try to get benefits they don't actually need</w:t>
            </w:r>
            <w:r>
              <w:t>”;</w:t>
            </w:r>
          </w:p>
          <w:p w14:paraId="78920325" w14:textId="77777777" w:rsidR="005F4AE6" w:rsidRDefault="005F4AE6" w:rsidP="00A51CDD">
            <w:r>
              <w:t>“</w:t>
            </w:r>
            <w:r w:rsidRPr="002C37A7">
              <w:t xml:space="preserve">Before Covid many people claiming benefits were lazy or could not be bothered to do work. During covid there were more genuine cases where people lost jobs and struggled to find new ones. However, </w:t>
            </w:r>
            <w:proofErr w:type="spellStart"/>
            <w:r w:rsidRPr="002C37A7">
              <w:t>i</w:t>
            </w:r>
            <w:proofErr w:type="spellEnd"/>
            <w:r w:rsidRPr="002C37A7">
              <w:t xml:space="preserve"> believe that it is always possible to find job when people really </w:t>
            </w:r>
            <w:proofErr w:type="gramStart"/>
            <w:r w:rsidRPr="002C37A7">
              <w:t>wants</w:t>
            </w:r>
            <w:proofErr w:type="gramEnd"/>
            <w:r w:rsidRPr="002C37A7">
              <w:t xml:space="preserve"> to work.</w:t>
            </w:r>
            <w:r>
              <w:t>”</w:t>
            </w:r>
          </w:p>
        </w:tc>
      </w:tr>
      <w:tr w:rsidR="005F4AE6" w14:paraId="59F81D24" w14:textId="77777777" w:rsidTr="005F4AE6">
        <w:trPr>
          <w:cantSplit/>
        </w:trPr>
        <w:tc>
          <w:tcPr>
            <w:tcW w:w="2783" w:type="dxa"/>
          </w:tcPr>
          <w:p w14:paraId="64067535" w14:textId="141E495A" w:rsidR="005F4AE6" w:rsidRDefault="007A1DB7" w:rsidP="00A51CDD">
            <w:r>
              <w:lastRenderedPageBreak/>
              <w:t>Neither</w:t>
            </w:r>
            <w:r w:rsidR="00830AD8">
              <w:t xml:space="preserve"> to</w:t>
            </w:r>
            <w:r>
              <w:t xml:space="preserve"> blame</w:t>
            </w:r>
          </w:p>
          <w:p w14:paraId="66CB4E6A" w14:textId="77777777" w:rsidR="005F4AE6" w:rsidRDefault="005F4AE6" w:rsidP="00A51CDD"/>
          <w:p w14:paraId="3B0FD654" w14:textId="77777777" w:rsidR="005F4AE6" w:rsidRDefault="005F4AE6" w:rsidP="007A1DB7"/>
        </w:tc>
        <w:tc>
          <w:tcPr>
            <w:tcW w:w="6184" w:type="dxa"/>
          </w:tcPr>
          <w:p w14:paraId="74652ABA" w14:textId="5CE76F62" w:rsidR="005F4AE6" w:rsidRPr="000B6234" w:rsidRDefault="000B6234" w:rsidP="00A51CDD">
            <w:r>
              <w:t>Responses which</w:t>
            </w:r>
            <w:r w:rsidR="007A1DB7">
              <w:t xml:space="preserve"> imply or state that neither </w:t>
            </w:r>
            <w:r w:rsidR="005F4AE6">
              <w:t xml:space="preserve">claimant type are </w:t>
            </w:r>
            <w:r w:rsidR="007A1DB7">
              <w:t>at fault for their situation</w:t>
            </w:r>
            <w:r w:rsidR="005F4AE6">
              <w:t>.</w:t>
            </w:r>
          </w:p>
        </w:tc>
        <w:tc>
          <w:tcPr>
            <w:tcW w:w="4981" w:type="dxa"/>
          </w:tcPr>
          <w:p w14:paraId="68252152" w14:textId="77777777" w:rsidR="005F4AE6" w:rsidRDefault="005F4AE6" w:rsidP="00A51CDD">
            <w:r>
              <w:t>“</w:t>
            </w:r>
            <w:r w:rsidRPr="000B2F8A">
              <w:t>None. All are equally deserving.</w:t>
            </w:r>
            <w:r>
              <w:t>”;</w:t>
            </w:r>
          </w:p>
          <w:p w14:paraId="737C3B73" w14:textId="77777777" w:rsidR="005F4AE6" w:rsidRDefault="005F4AE6" w:rsidP="00A51CDD">
            <w:r>
              <w:t>“</w:t>
            </w:r>
            <w:r w:rsidRPr="000B2F8A">
              <w:t>The main difference will be number of jobs available, as millions were furloughed or made redundant during lockdowns</w:t>
            </w:r>
            <w:r>
              <w:t>…</w:t>
            </w:r>
            <w:r w:rsidRPr="000B2F8A">
              <w:t xml:space="preserve">Before Covid more jobs were available, however </w:t>
            </w:r>
            <w:proofErr w:type="gramStart"/>
            <w:r w:rsidRPr="000B2F8A">
              <w:t>long term</w:t>
            </w:r>
            <w:proofErr w:type="gramEnd"/>
            <w:r w:rsidRPr="000B2F8A">
              <w:t xml:space="preserve"> unemployment has always existed &amp; too many jobs, particularly in sectors such as retail, are zero hour or part time contracts</w:t>
            </w:r>
            <w:r>
              <w:t>”;</w:t>
            </w:r>
          </w:p>
          <w:p w14:paraId="0001A3DE" w14:textId="77777777" w:rsidR="005F4AE6" w:rsidRDefault="005F4AE6" w:rsidP="00A51CDD">
            <w:r>
              <w:t>“</w:t>
            </w:r>
            <w:r w:rsidRPr="000B2F8A">
              <w:t>Claiming benefits during Covid19 was a result of government decisions and citizens were entitled to seek support through no fault of their own.</w:t>
            </w:r>
            <w:r>
              <w:t xml:space="preserve"> </w:t>
            </w:r>
            <w:r w:rsidRPr="000B2F8A">
              <w:t>Before Covid19 people can be down on their luck and need a helping hand</w:t>
            </w:r>
            <w:r>
              <w:t>”</w:t>
            </w:r>
          </w:p>
        </w:tc>
      </w:tr>
      <w:tr w:rsidR="00CC1D6A" w14:paraId="294B3F31" w14:textId="77777777" w:rsidTr="00CD1894">
        <w:trPr>
          <w:cantSplit/>
        </w:trPr>
        <w:tc>
          <w:tcPr>
            <w:tcW w:w="13948" w:type="dxa"/>
            <w:gridSpan w:val="3"/>
          </w:tcPr>
          <w:p w14:paraId="61AC47CC" w14:textId="0C022419" w:rsidR="00CC1D6A" w:rsidRDefault="00CC1D6A" w:rsidP="00A51CDD">
            <w:r w:rsidRPr="00CC1D6A">
              <w:rPr>
                <w:b/>
                <w:bCs/>
                <w:i/>
                <w:iCs/>
              </w:rPr>
              <w:t>Need</w:t>
            </w:r>
          </w:p>
        </w:tc>
      </w:tr>
      <w:tr w:rsidR="00CC1D6A" w14:paraId="49019ED6" w14:textId="77777777" w:rsidTr="005F4AE6">
        <w:trPr>
          <w:cantSplit/>
        </w:trPr>
        <w:tc>
          <w:tcPr>
            <w:tcW w:w="2783" w:type="dxa"/>
          </w:tcPr>
          <w:p w14:paraId="5F953AF0" w14:textId="305983D8" w:rsidR="00CC1D6A" w:rsidRPr="00CC1D6A" w:rsidRDefault="00CC1D6A" w:rsidP="00CC1D6A">
            <w:r>
              <w:t>COVID</w:t>
            </w:r>
            <w:r>
              <w:t xml:space="preserve"> claimants</w:t>
            </w:r>
            <w:r>
              <w:t>: More need</w:t>
            </w:r>
          </w:p>
        </w:tc>
        <w:tc>
          <w:tcPr>
            <w:tcW w:w="6184" w:type="dxa"/>
          </w:tcPr>
          <w:p w14:paraId="7B02E57F" w14:textId="4ACC658E" w:rsidR="00CC1D6A" w:rsidRDefault="00CC1D6A" w:rsidP="00CC1D6A">
            <w:r>
              <w:t xml:space="preserve">Responses suggesting that </w:t>
            </w:r>
            <w:r>
              <w:t xml:space="preserve">COVID claimants </w:t>
            </w:r>
            <w:r>
              <w:t xml:space="preserve">had </w:t>
            </w:r>
            <w:r>
              <w:t xml:space="preserve">higher level of need – </w:t>
            </w:r>
            <w:proofErr w:type="gramStart"/>
            <w:r>
              <w:t>e.g.</w:t>
            </w:r>
            <w:proofErr w:type="gramEnd"/>
            <w:r>
              <w:t xml:space="preserve"> due to sudden loss of income, fixed outgoings, or </w:t>
            </w:r>
            <w:r>
              <w:t xml:space="preserve">the </w:t>
            </w:r>
            <w:r>
              <w:t>mental/physical health consequences of COVID</w:t>
            </w:r>
          </w:p>
        </w:tc>
        <w:tc>
          <w:tcPr>
            <w:tcW w:w="4981" w:type="dxa"/>
          </w:tcPr>
          <w:p w14:paraId="7046CDDE" w14:textId="77777777" w:rsidR="00CC1D6A" w:rsidRDefault="00CC1D6A" w:rsidP="00CC1D6A">
            <w:r>
              <w:t>“</w:t>
            </w:r>
            <w:r w:rsidRPr="009E2FBB">
              <w:t>Additional expenses. More widespread economic destruction so family support systems are likely to be lower</w:t>
            </w:r>
            <w:r>
              <w:t>”;</w:t>
            </w:r>
          </w:p>
          <w:p w14:paraId="392B30F3" w14:textId="6754B0D0" w:rsidR="00CC1D6A" w:rsidRDefault="00CC1D6A" w:rsidP="00CC1D6A">
            <w:r>
              <w:t>“</w:t>
            </w:r>
            <w:r w:rsidRPr="009E2FBB">
              <w:t>Those claiming benefits during covid have the added stress of worrying about the effects of the pandemic.</w:t>
            </w:r>
            <w:r>
              <w:t>”;</w:t>
            </w:r>
          </w:p>
        </w:tc>
      </w:tr>
      <w:tr w:rsidR="00CC1D6A" w14:paraId="754B1F85" w14:textId="77777777" w:rsidTr="005F4AE6">
        <w:trPr>
          <w:cantSplit/>
        </w:trPr>
        <w:tc>
          <w:tcPr>
            <w:tcW w:w="2783" w:type="dxa"/>
          </w:tcPr>
          <w:p w14:paraId="72818064" w14:textId="69AD1708" w:rsidR="00CC1D6A" w:rsidRPr="00CC1D6A" w:rsidRDefault="00CC1D6A" w:rsidP="00CC1D6A">
            <w:r>
              <w:t>COVID</w:t>
            </w:r>
            <w:r>
              <w:t xml:space="preserve"> claimants</w:t>
            </w:r>
            <w:r>
              <w:t xml:space="preserve">: </w:t>
            </w:r>
            <w:r>
              <w:t>L</w:t>
            </w:r>
            <w:r>
              <w:t>ess need</w:t>
            </w:r>
          </w:p>
        </w:tc>
        <w:tc>
          <w:tcPr>
            <w:tcW w:w="6184" w:type="dxa"/>
          </w:tcPr>
          <w:p w14:paraId="6D278359" w14:textId="4CAF8A49" w:rsidR="00CC1D6A" w:rsidRDefault="00CC1D6A" w:rsidP="00CC1D6A">
            <w:r>
              <w:t xml:space="preserve">Responses suggesting that </w:t>
            </w:r>
            <w:r>
              <w:t xml:space="preserve">COVID claimants </w:t>
            </w:r>
            <w:r>
              <w:t xml:space="preserve">had </w:t>
            </w:r>
            <w:r>
              <w:t>lower level</w:t>
            </w:r>
            <w:r>
              <w:t>s</w:t>
            </w:r>
            <w:r>
              <w:t xml:space="preserve"> of need – </w:t>
            </w:r>
            <w:proofErr w:type="gramStart"/>
            <w:r>
              <w:t>e.g.</w:t>
            </w:r>
            <w:proofErr w:type="gramEnd"/>
            <w:r>
              <w:t xml:space="preserve"> due to pre-existing resources – or </w:t>
            </w:r>
            <w:r>
              <w:t xml:space="preserve">were </w:t>
            </w:r>
            <w:r>
              <w:t>getting too high a level of support</w:t>
            </w:r>
          </w:p>
        </w:tc>
        <w:tc>
          <w:tcPr>
            <w:tcW w:w="4981" w:type="dxa"/>
          </w:tcPr>
          <w:p w14:paraId="778A0D6A" w14:textId="77777777" w:rsidR="00CC1D6A" w:rsidRDefault="00CC1D6A" w:rsidP="00CC1D6A">
            <w:r>
              <w:t>“</w:t>
            </w:r>
            <w:r w:rsidRPr="009E2FBB">
              <w:t>People claiming during Covid are probably in need of more acute help but may have more reserves than those who were claiming before Covid</w:t>
            </w:r>
            <w:r>
              <w:t>”;</w:t>
            </w:r>
          </w:p>
          <w:p w14:paraId="1FE6D376" w14:textId="0631A455" w:rsidR="00CC1D6A" w:rsidRDefault="00CC1D6A" w:rsidP="00CC1D6A">
            <w:r>
              <w:t>“Furlough payments too high”</w:t>
            </w:r>
          </w:p>
        </w:tc>
      </w:tr>
      <w:tr w:rsidR="00CC1D6A" w14:paraId="3FE690C0" w14:textId="77777777" w:rsidTr="005F4AE6">
        <w:trPr>
          <w:cantSplit/>
        </w:trPr>
        <w:tc>
          <w:tcPr>
            <w:tcW w:w="2783" w:type="dxa"/>
          </w:tcPr>
          <w:p w14:paraId="30DF308C" w14:textId="1F054343" w:rsidR="00CC1D6A" w:rsidRPr="00830AD8" w:rsidRDefault="00CC1D6A" w:rsidP="00CC1D6A">
            <w:r>
              <w:t>Pre-</w:t>
            </w:r>
            <w:r w:rsidR="00830AD8">
              <w:t>pandemic claimants</w:t>
            </w:r>
            <w:r>
              <w:t xml:space="preserve">: </w:t>
            </w:r>
            <w:r w:rsidR="00830AD8">
              <w:t>M</w:t>
            </w:r>
            <w:r>
              <w:t>ore need</w:t>
            </w:r>
          </w:p>
        </w:tc>
        <w:tc>
          <w:tcPr>
            <w:tcW w:w="6184" w:type="dxa"/>
          </w:tcPr>
          <w:p w14:paraId="07140821" w14:textId="7695CB1C" w:rsidR="00CC1D6A" w:rsidRDefault="00830AD8" w:rsidP="00CC1D6A">
            <w:r>
              <w:t xml:space="preserve">Responses suggesting that pre-pandemic </w:t>
            </w:r>
            <w:r w:rsidR="00CC1D6A">
              <w:t xml:space="preserve">claimants </w:t>
            </w:r>
            <w:r>
              <w:t xml:space="preserve">had </w:t>
            </w:r>
            <w:r w:rsidR="00CC1D6A">
              <w:t>higher level</w:t>
            </w:r>
            <w:r>
              <w:t>s</w:t>
            </w:r>
            <w:r w:rsidR="00CC1D6A">
              <w:t xml:space="preserve"> of need – </w:t>
            </w:r>
            <w:proofErr w:type="gramStart"/>
            <w:r w:rsidR="00CC1D6A">
              <w:t>e.g.</w:t>
            </w:r>
            <w:proofErr w:type="gramEnd"/>
            <w:r w:rsidR="00CC1D6A">
              <w:t xml:space="preserve"> </w:t>
            </w:r>
            <w:r>
              <w:t xml:space="preserve">due to fewer </w:t>
            </w:r>
            <w:r w:rsidR="00CC1D6A">
              <w:t>pre-existing resources.</w:t>
            </w:r>
          </w:p>
          <w:p w14:paraId="24F4250A" w14:textId="77777777" w:rsidR="00830AD8" w:rsidRDefault="00830AD8" w:rsidP="00CC1D6A"/>
          <w:p w14:paraId="7D56382F" w14:textId="04D4E1B1" w:rsidR="00CC1D6A" w:rsidRDefault="00CC1D6A" w:rsidP="00CC1D6A">
            <w:r>
              <w:rPr>
                <w:i/>
                <w:iCs/>
              </w:rPr>
              <w:t xml:space="preserve">Note: </w:t>
            </w:r>
            <w:r w:rsidR="00830AD8">
              <w:rPr>
                <w:i/>
                <w:iCs/>
              </w:rPr>
              <w:t>there is no</w:t>
            </w:r>
            <w:r>
              <w:rPr>
                <w:i/>
                <w:iCs/>
              </w:rPr>
              <w:t xml:space="preserve"> code for ‘Pre-</w:t>
            </w:r>
            <w:r w:rsidR="00830AD8">
              <w:rPr>
                <w:i/>
                <w:iCs/>
              </w:rPr>
              <w:t>pandemic claimants</w:t>
            </w:r>
            <w:r>
              <w:rPr>
                <w:i/>
                <w:iCs/>
              </w:rPr>
              <w:t xml:space="preserve">: </w:t>
            </w:r>
            <w:r w:rsidR="00830AD8">
              <w:rPr>
                <w:i/>
                <w:iCs/>
              </w:rPr>
              <w:t>L</w:t>
            </w:r>
            <w:r>
              <w:rPr>
                <w:i/>
                <w:iCs/>
              </w:rPr>
              <w:t xml:space="preserve">ess need’ because </w:t>
            </w:r>
            <w:r w:rsidR="00830AD8">
              <w:rPr>
                <w:i/>
                <w:iCs/>
              </w:rPr>
              <w:t xml:space="preserve">there were </w:t>
            </w:r>
            <w:r>
              <w:rPr>
                <w:i/>
                <w:iCs/>
              </w:rPr>
              <w:t>no responses fitting that code.</w:t>
            </w:r>
          </w:p>
        </w:tc>
        <w:tc>
          <w:tcPr>
            <w:tcW w:w="4981" w:type="dxa"/>
          </w:tcPr>
          <w:p w14:paraId="5DDBF498" w14:textId="77777777" w:rsidR="00CC1D6A" w:rsidRDefault="00CC1D6A" w:rsidP="00CC1D6A">
            <w:r>
              <w:t>“</w:t>
            </w:r>
            <w:proofErr w:type="gramStart"/>
            <w:r w:rsidRPr="00392F83">
              <w:t>those</w:t>
            </w:r>
            <w:proofErr w:type="gramEnd"/>
            <w:r w:rsidRPr="00392F83">
              <w:t xml:space="preserve"> who already were </w:t>
            </w:r>
            <w:r>
              <w:t xml:space="preserve">[claiming] </w:t>
            </w:r>
            <w:r w:rsidRPr="00392F83">
              <w:t>are probably worse off</w:t>
            </w:r>
            <w:r>
              <w:t>”;</w:t>
            </w:r>
          </w:p>
          <w:p w14:paraId="6FB64E4B" w14:textId="5A434BCD" w:rsidR="00CC1D6A" w:rsidRDefault="00CC1D6A" w:rsidP="00CC1D6A">
            <w:r>
              <w:t>“</w:t>
            </w:r>
            <w:r w:rsidRPr="00392F83">
              <w:t>Those that are on legacy benefits have been ignored and these are the ones who need more help</w:t>
            </w:r>
            <w:r>
              <w:t>”</w:t>
            </w:r>
          </w:p>
        </w:tc>
      </w:tr>
      <w:tr w:rsidR="00CC1D6A" w14:paraId="540781F7" w14:textId="77777777" w:rsidTr="005F4AE6">
        <w:trPr>
          <w:cantSplit/>
        </w:trPr>
        <w:tc>
          <w:tcPr>
            <w:tcW w:w="2783" w:type="dxa"/>
          </w:tcPr>
          <w:p w14:paraId="1573FB95" w14:textId="2E5410F1" w:rsidR="00CC1D6A" w:rsidRPr="00830AD8" w:rsidRDefault="00830AD8" w:rsidP="00CC1D6A">
            <w:r>
              <w:lastRenderedPageBreak/>
              <w:t>Both have same level of need</w:t>
            </w:r>
          </w:p>
        </w:tc>
        <w:tc>
          <w:tcPr>
            <w:tcW w:w="6184" w:type="dxa"/>
          </w:tcPr>
          <w:p w14:paraId="1D873914" w14:textId="09A5406D" w:rsidR="00CC1D6A" w:rsidRDefault="00CE0FFF" w:rsidP="00CC1D6A">
            <w:r>
              <w:t xml:space="preserve">Responses suggesting that both </w:t>
            </w:r>
            <w:r w:rsidR="00CC1D6A">
              <w:t xml:space="preserve">groups of claimants </w:t>
            </w:r>
            <w:r>
              <w:t xml:space="preserve">had </w:t>
            </w:r>
            <w:r w:rsidR="00CC1D6A">
              <w:t xml:space="preserve">same levels of need </w:t>
            </w:r>
            <w:r>
              <w:t xml:space="preserve">or required/should receive </w:t>
            </w:r>
            <w:r w:rsidR="00CC1D6A">
              <w:t>the same level of support.</w:t>
            </w:r>
          </w:p>
        </w:tc>
        <w:tc>
          <w:tcPr>
            <w:tcW w:w="4981" w:type="dxa"/>
          </w:tcPr>
          <w:p w14:paraId="07852D4B" w14:textId="77777777" w:rsidR="00CC1D6A" w:rsidRDefault="00CC1D6A" w:rsidP="00CC1D6A">
            <w:r>
              <w:t>“</w:t>
            </w:r>
            <w:r w:rsidRPr="00176D2F">
              <w:t>If you lost your job then you should claim benefits. Doesn</w:t>
            </w:r>
            <w:r>
              <w:t>’</w:t>
            </w:r>
            <w:r w:rsidRPr="00176D2F">
              <w:t>t matter if there was a pandemic or not.</w:t>
            </w:r>
            <w:r>
              <w:t>”;</w:t>
            </w:r>
          </w:p>
          <w:p w14:paraId="1B273844" w14:textId="77777777" w:rsidR="00CC1D6A" w:rsidRDefault="00CC1D6A" w:rsidP="00CC1D6A">
            <w:r>
              <w:t>“</w:t>
            </w:r>
            <w:r w:rsidRPr="00176D2F">
              <w:t>We're all equals should get the same</w:t>
            </w:r>
            <w:r>
              <w:t>”;</w:t>
            </w:r>
          </w:p>
          <w:p w14:paraId="4AA64E03" w14:textId="77777777" w:rsidR="00CC1D6A" w:rsidRDefault="00CC1D6A" w:rsidP="00CC1D6A">
            <w:r>
              <w:t>“</w:t>
            </w:r>
            <w:r w:rsidRPr="00176D2F">
              <w:t>It got harder for everyone!</w:t>
            </w:r>
            <w:r>
              <w:t>”;</w:t>
            </w:r>
          </w:p>
          <w:p w14:paraId="67A585B6" w14:textId="690BA39A" w:rsidR="00CC1D6A" w:rsidRDefault="00CC1D6A" w:rsidP="00CC1D6A">
            <w:r>
              <w:t>“</w:t>
            </w:r>
            <w:r w:rsidRPr="00176D2F">
              <w:t>People claiming benefits need help before, during and after the pandemic. People should not need to rely on things such as food banks in the UK today.</w:t>
            </w:r>
            <w:r>
              <w:t>”;</w:t>
            </w:r>
          </w:p>
        </w:tc>
      </w:tr>
      <w:tr w:rsidR="00CC1D6A" w14:paraId="584CCFEB" w14:textId="77777777" w:rsidTr="009223BC">
        <w:trPr>
          <w:cantSplit/>
        </w:trPr>
        <w:tc>
          <w:tcPr>
            <w:tcW w:w="13948" w:type="dxa"/>
            <w:gridSpan w:val="3"/>
          </w:tcPr>
          <w:p w14:paraId="78971D52" w14:textId="0C8565E1" w:rsidR="00CC1D6A" w:rsidRDefault="00CC1D6A" w:rsidP="00CC1D6A">
            <w:r>
              <w:rPr>
                <w:b/>
                <w:bCs/>
                <w:i/>
                <w:iCs/>
              </w:rPr>
              <w:t>Claimant characteristics</w:t>
            </w:r>
          </w:p>
        </w:tc>
      </w:tr>
      <w:tr w:rsidR="00CC1D6A" w14:paraId="38D844E0" w14:textId="77777777" w:rsidTr="005F4AE6">
        <w:trPr>
          <w:cantSplit/>
        </w:trPr>
        <w:tc>
          <w:tcPr>
            <w:tcW w:w="2783" w:type="dxa"/>
          </w:tcPr>
          <w:p w14:paraId="5D014509" w14:textId="681640C0" w:rsidR="00CC1D6A" w:rsidRDefault="00CC1D6A" w:rsidP="00CE0FFF">
            <w:r>
              <w:t>COVID</w:t>
            </w:r>
            <w:r w:rsidR="00CE0FFF">
              <w:t xml:space="preserve"> claimants</w:t>
            </w:r>
            <w:r>
              <w:t>: Working people</w:t>
            </w:r>
          </w:p>
        </w:tc>
        <w:tc>
          <w:tcPr>
            <w:tcW w:w="6184" w:type="dxa"/>
          </w:tcPr>
          <w:p w14:paraId="3E4692F2" w14:textId="34802342" w:rsidR="00CE0FFF" w:rsidRDefault="00CC1D6A" w:rsidP="00CC1D6A">
            <w:r>
              <w:t xml:space="preserve">Responses </w:t>
            </w:r>
            <w:r w:rsidR="00CE0FFF">
              <w:t xml:space="preserve">suggesting </w:t>
            </w:r>
            <w:r>
              <w:t>that COVID claimants were ‘working people’ had ‘steady’ jobs, or had never before claimed /</w:t>
            </w:r>
            <w:r w:rsidR="00CE0FFF">
              <w:t xml:space="preserve"> </w:t>
            </w:r>
            <w:r>
              <w:t>expected to claim benefits.</w:t>
            </w:r>
          </w:p>
          <w:p w14:paraId="414B6EF8" w14:textId="3AEDE2A5" w:rsidR="00CE0FFF" w:rsidRDefault="00CE0FFF" w:rsidP="00CC1D6A">
            <w:r>
              <w:t>Includes responses which:</w:t>
            </w:r>
          </w:p>
          <w:p w14:paraId="7B7EE48B" w14:textId="77777777" w:rsidR="007A5C54" w:rsidRDefault="00CE0FFF" w:rsidP="00CE0FFF">
            <w:pPr>
              <w:pStyle w:val="ListParagraph"/>
              <w:numPr>
                <w:ilvl w:val="0"/>
                <w:numId w:val="3"/>
              </w:numPr>
              <w:spacing w:after="0"/>
            </w:pPr>
            <w:r>
              <w:t>Specifically refer to the nature of the claimant themselves (</w:t>
            </w:r>
            <w:proofErr w:type="gramStart"/>
            <w:r>
              <w:t>e.g.</w:t>
            </w:r>
            <w:proofErr w:type="gramEnd"/>
            <w:r>
              <w:t xml:space="preserve"> describing them as</w:t>
            </w:r>
            <w:r w:rsidR="007A5C54">
              <w:t xml:space="preserve"> ‘working people’ or ‘hardworking people’).</w:t>
            </w:r>
          </w:p>
          <w:p w14:paraId="7DC12090" w14:textId="3D4F6854" w:rsidR="00CC1D6A" w:rsidRPr="007A5C54" w:rsidRDefault="007A5C54" w:rsidP="00CC1D6A">
            <w:pPr>
              <w:pStyle w:val="ListParagraph"/>
              <w:numPr>
                <w:ilvl w:val="0"/>
                <w:numId w:val="3"/>
              </w:numPr>
              <w:spacing w:after="0"/>
            </w:pPr>
            <w:r>
              <w:t xml:space="preserve">Specifically describe the nature of the jobs previously held by claimants as </w:t>
            </w:r>
            <w:proofErr w:type="gramStart"/>
            <w:r>
              <w:t>e.g.</w:t>
            </w:r>
            <w:proofErr w:type="gramEnd"/>
            <w:r>
              <w:t xml:space="preserve"> ‘steady’ or ‘established’, or ‘solid’.</w:t>
            </w:r>
            <w:r w:rsidR="00CE0FFF">
              <w:t xml:space="preserve"> </w:t>
            </w:r>
          </w:p>
        </w:tc>
        <w:tc>
          <w:tcPr>
            <w:tcW w:w="4981" w:type="dxa"/>
          </w:tcPr>
          <w:p w14:paraId="750B272D" w14:textId="30B8B3EE" w:rsidR="00CC1D6A" w:rsidRDefault="00CC1D6A" w:rsidP="00CC1D6A">
            <w:r>
              <w:t>“</w:t>
            </w:r>
            <w:proofErr w:type="gramStart"/>
            <w:r w:rsidR="00CE0FFF" w:rsidRPr="006F546D">
              <w:t>whereas</w:t>
            </w:r>
            <w:proofErr w:type="gramEnd"/>
            <w:r w:rsidR="00CE0FFF" w:rsidRPr="006F546D">
              <w:t xml:space="preserve"> people claiming during covid probably lost their jobs due to </w:t>
            </w:r>
            <w:r w:rsidR="00CE0FFF">
              <w:t>the</w:t>
            </w:r>
            <w:r w:rsidR="00CE0FFF" w:rsidRPr="006F546D">
              <w:t xml:space="preserve"> pandemic and have worked most of their lives</w:t>
            </w:r>
            <w:r w:rsidRPr="006F546D">
              <w:t>.</w:t>
            </w:r>
            <w:r>
              <w:t>”;</w:t>
            </w:r>
          </w:p>
          <w:p w14:paraId="47EAD4B8" w14:textId="77777777" w:rsidR="00CC1D6A" w:rsidRDefault="00CC1D6A" w:rsidP="00CC1D6A">
            <w:r>
              <w:t>“</w:t>
            </w:r>
            <w:r w:rsidRPr="00AA5100">
              <w:t>More people needed help for the first time during covid</w:t>
            </w:r>
            <w:r>
              <w:t>”;</w:t>
            </w:r>
          </w:p>
          <w:p w14:paraId="16EF7BED" w14:textId="77777777" w:rsidR="00CC1D6A" w:rsidRDefault="00CC1D6A" w:rsidP="00CC1D6A">
            <w:r>
              <w:t>“</w:t>
            </w:r>
            <w:r w:rsidRPr="00AA5100">
              <w:t>Before - more likely to have a spotty work history, during - less likely</w:t>
            </w:r>
            <w:r>
              <w:t>”;</w:t>
            </w:r>
          </w:p>
          <w:p w14:paraId="7C71E7D8" w14:textId="77777777" w:rsidR="00CC1D6A" w:rsidRDefault="00CC1D6A" w:rsidP="00CC1D6A">
            <w:r>
              <w:t>“</w:t>
            </w:r>
            <w:r w:rsidRPr="00AA5100">
              <w:t>Some people have lost otherwise secure jobs as a result of the pandemic</w:t>
            </w:r>
            <w:r>
              <w:t>”</w:t>
            </w:r>
          </w:p>
        </w:tc>
      </w:tr>
      <w:tr w:rsidR="00CC1D6A" w14:paraId="50E23333" w14:textId="77777777" w:rsidTr="005F4AE6">
        <w:trPr>
          <w:cantSplit/>
        </w:trPr>
        <w:tc>
          <w:tcPr>
            <w:tcW w:w="2783" w:type="dxa"/>
          </w:tcPr>
          <w:p w14:paraId="4FEB68DF" w14:textId="51AA784A" w:rsidR="00CC1D6A" w:rsidRDefault="007A5C54" w:rsidP="00CC1D6A">
            <w:r>
              <w:lastRenderedPageBreak/>
              <w:t>Pre-pandemic claimants: long term / COVID claimants: short-term</w:t>
            </w:r>
          </w:p>
        </w:tc>
        <w:tc>
          <w:tcPr>
            <w:tcW w:w="6184" w:type="dxa"/>
          </w:tcPr>
          <w:p w14:paraId="152320B6" w14:textId="1EA5B873" w:rsidR="00CC1D6A" w:rsidRDefault="007A5C54" w:rsidP="00CC1D6A">
            <w:r>
              <w:t xml:space="preserve">Responses which suggested that pre-pandemic claimants were (or were more likely to be) long-term claimants </w:t>
            </w:r>
            <w:r w:rsidRPr="007A5C54">
              <w:rPr>
                <w:i/>
                <w:iCs/>
              </w:rPr>
              <w:t>and</w:t>
            </w:r>
            <w:r>
              <w:t>/</w:t>
            </w:r>
            <w:r>
              <w:rPr>
                <w:i/>
                <w:iCs/>
              </w:rPr>
              <w:t xml:space="preserve">or </w:t>
            </w:r>
            <w:r>
              <w:t>that COVID claimants were more likely to be claiming only temporarily/for a short time.</w:t>
            </w:r>
          </w:p>
        </w:tc>
        <w:tc>
          <w:tcPr>
            <w:tcW w:w="4981" w:type="dxa"/>
          </w:tcPr>
          <w:p w14:paraId="7FAA9698" w14:textId="77777777" w:rsidR="00CC1D6A" w:rsidRDefault="00CC1D6A" w:rsidP="00CC1D6A">
            <w:r>
              <w:t>“</w:t>
            </w:r>
            <w:r w:rsidRPr="008D290F">
              <w:t>I think a lot of those claiming during COVID-19 were claiming for the first time due to hardships caused by the pandemic, and would expect to stop claiming once they have been able to get things back on track post-pandemic, whilst I would expect a lot of those who were claiming benefits before the pandemic are likely to continue doing so.</w:t>
            </w:r>
            <w:r>
              <w:t>”;</w:t>
            </w:r>
          </w:p>
          <w:p w14:paraId="4E603310" w14:textId="77777777" w:rsidR="00CC1D6A" w:rsidRDefault="00CC1D6A" w:rsidP="00CC1D6A">
            <w:r>
              <w:t>“</w:t>
            </w:r>
            <w:r w:rsidRPr="008D290F">
              <w:t>Lot of people who have never had to claim before and also probably won't be long term claimants as will regain employment when we return to normal.</w:t>
            </w:r>
            <w:r>
              <w:t>”;</w:t>
            </w:r>
          </w:p>
          <w:p w14:paraId="5B93D1BD" w14:textId="77777777" w:rsidR="00CC1D6A" w:rsidRDefault="00CC1D6A" w:rsidP="00CC1D6A">
            <w:r>
              <w:t>“</w:t>
            </w:r>
            <w:r w:rsidRPr="00A813A7">
              <w:t>I think that some COVID-era claimants may have a more temporary mindset towards claiming benefits than pre-COVID claimants, many of whom would be claiming benefits for disability or other enduring situations.</w:t>
            </w:r>
            <w:r>
              <w:t>”</w:t>
            </w:r>
          </w:p>
        </w:tc>
      </w:tr>
      <w:tr w:rsidR="00CC1D6A" w14:paraId="403B7E00" w14:textId="77777777" w:rsidTr="005F4AE6">
        <w:trPr>
          <w:cantSplit/>
        </w:trPr>
        <w:tc>
          <w:tcPr>
            <w:tcW w:w="2783" w:type="dxa"/>
          </w:tcPr>
          <w:p w14:paraId="7E4330A5" w14:textId="6B6E3887" w:rsidR="00CC1D6A" w:rsidRDefault="007A5C54" w:rsidP="007A5C54">
            <w:r>
              <w:t>Other differences</w:t>
            </w:r>
          </w:p>
        </w:tc>
        <w:tc>
          <w:tcPr>
            <w:tcW w:w="6184" w:type="dxa"/>
          </w:tcPr>
          <w:p w14:paraId="61829B09" w14:textId="3C87289D" w:rsidR="007A5C54" w:rsidRDefault="007A5C54" w:rsidP="00CC1D6A">
            <w:r>
              <w:t>Responses suggesting that that COVID claimants and pre-pandemic claimants differed in other characteristics not covered by the other codes.</w:t>
            </w:r>
          </w:p>
          <w:p w14:paraId="72AE2FC3" w14:textId="7AD87637" w:rsidR="00CC1D6A" w:rsidRDefault="007A5C54" w:rsidP="007A5C54">
            <w:r>
              <w:t>Includes responses commenting on potential differences in class, skill-level, employment sector, or ‘normality’ (</w:t>
            </w:r>
            <w:proofErr w:type="gramStart"/>
            <w:r>
              <w:t>e.g.</w:t>
            </w:r>
            <w:proofErr w:type="gramEnd"/>
            <w:r>
              <w:t xml:space="preserve"> that COVID claimants were ‘normal people’).</w:t>
            </w:r>
            <w:r w:rsidR="00CC1D6A">
              <w:t xml:space="preserve"> </w:t>
            </w:r>
          </w:p>
        </w:tc>
        <w:tc>
          <w:tcPr>
            <w:tcW w:w="4981" w:type="dxa"/>
          </w:tcPr>
          <w:p w14:paraId="1F6B3591" w14:textId="77777777" w:rsidR="00CC1D6A" w:rsidRDefault="00CC1D6A" w:rsidP="00CC1D6A">
            <w:r>
              <w:t>“</w:t>
            </w:r>
            <w:proofErr w:type="gramStart"/>
            <w:r w:rsidRPr="003A7FD3">
              <w:t>during</w:t>
            </w:r>
            <w:proofErr w:type="gramEnd"/>
            <w:r w:rsidRPr="003A7FD3">
              <w:t xml:space="preserve"> covid claimants may be from different background, financial history</w:t>
            </w:r>
            <w:r>
              <w:t>”;</w:t>
            </w:r>
          </w:p>
          <w:p w14:paraId="6EF2BA8A" w14:textId="77777777" w:rsidR="00CC1D6A" w:rsidRDefault="00CC1D6A" w:rsidP="00CC1D6A">
            <w:r>
              <w:t>“</w:t>
            </w:r>
            <w:r w:rsidRPr="003A7FD3">
              <w:t xml:space="preserve">Previously employed in different sectors and likely with different skills </w:t>
            </w:r>
            <w:proofErr w:type="spellStart"/>
            <w:proofErr w:type="gramStart"/>
            <w:r w:rsidRPr="003A7FD3">
              <w:t>eg</w:t>
            </w:r>
            <w:proofErr w:type="spellEnd"/>
            <w:proofErr w:type="gramEnd"/>
            <w:r w:rsidRPr="003A7FD3">
              <w:t xml:space="preserve"> manufacturing vs hospitality</w:t>
            </w:r>
            <w:r>
              <w:t>”;</w:t>
            </w:r>
          </w:p>
          <w:p w14:paraId="70EB292E" w14:textId="77777777" w:rsidR="00CC1D6A" w:rsidRDefault="00CC1D6A" w:rsidP="00CC1D6A">
            <w:r>
              <w:t>“</w:t>
            </w:r>
            <w:proofErr w:type="gramStart"/>
            <w:r w:rsidRPr="003A7FD3">
              <w:t>more</w:t>
            </w:r>
            <w:proofErr w:type="gramEnd"/>
            <w:r w:rsidRPr="003A7FD3">
              <w:t xml:space="preserve"> middle class tory voters are seeing what it's like on the poorer side of life</w:t>
            </w:r>
            <w:r>
              <w:t>”;</w:t>
            </w:r>
          </w:p>
          <w:p w14:paraId="0897BD07" w14:textId="77777777" w:rsidR="00CC1D6A" w:rsidRDefault="00CC1D6A" w:rsidP="00CC1D6A">
            <w:r>
              <w:t>“</w:t>
            </w:r>
            <w:r w:rsidRPr="003A7FD3">
              <w:t>I suspect the people claiming before COVID were majority long term unemployed and possibly had lower educational achievement or work experience</w:t>
            </w:r>
            <w:r>
              <w:t>”</w:t>
            </w:r>
          </w:p>
        </w:tc>
      </w:tr>
      <w:tr w:rsidR="00430299" w14:paraId="5251B8B3" w14:textId="77777777" w:rsidTr="005C22D5">
        <w:trPr>
          <w:cantSplit/>
        </w:trPr>
        <w:tc>
          <w:tcPr>
            <w:tcW w:w="13948" w:type="dxa"/>
            <w:gridSpan w:val="3"/>
          </w:tcPr>
          <w:p w14:paraId="6510D895" w14:textId="6BE39012" w:rsidR="00430299" w:rsidRPr="00430299" w:rsidRDefault="00430299" w:rsidP="00CC1D6A">
            <w:pPr>
              <w:rPr>
                <w:b/>
                <w:bCs/>
                <w:i/>
                <w:iCs/>
              </w:rPr>
            </w:pPr>
            <w:r>
              <w:rPr>
                <w:b/>
                <w:bCs/>
                <w:i/>
                <w:iCs/>
              </w:rPr>
              <w:t>Other codes</w:t>
            </w:r>
          </w:p>
        </w:tc>
      </w:tr>
      <w:tr w:rsidR="005362B1" w14:paraId="624DD140" w14:textId="77777777" w:rsidTr="005F4AE6">
        <w:trPr>
          <w:cantSplit/>
        </w:trPr>
        <w:tc>
          <w:tcPr>
            <w:tcW w:w="2783" w:type="dxa"/>
          </w:tcPr>
          <w:p w14:paraId="69BD26EC" w14:textId="29741AB7" w:rsidR="005362B1" w:rsidRDefault="005362B1" w:rsidP="005362B1">
            <w:r>
              <w:lastRenderedPageBreak/>
              <w:t>COVID claimants: Lost jobs</w:t>
            </w:r>
          </w:p>
        </w:tc>
        <w:tc>
          <w:tcPr>
            <w:tcW w:w="6184" w:type="dxa"/>
          </w:tcPr>
          <w:p w14:paraId="6631B073" w14:textId="77777777" w:rsidR="005362B1" w:rsidRDefault="005362B1" w:rsidP="005362B1">
            <w:r>
              <w:t>Responses which noted that COVID claimants were more likely to have lost jobs, or that a large number of job losses occurred during COVID.</w:t>
            </w:r>
          </w:p>
          <w:p w14:paraId="1B4B210B" w14:textId="77777777" w:rsidR="005362B1" w:rsidRDefault="005362B1" w:rsidP="005362B1"/>
          <w:p w14:paraId="188B2E0A" w14:textId="2C3F60BD" w:rsidR="005362B1" w:rsidRDefault="005362B1" w:rsidP="005362B1">
            <w:r>
              <w:rPr>
                <w:i/>
                <w:iCs/>
              </w:rPr>
              <w:t>Note: This code captures responses which did not attribute jobs losses directly to COVID (which would be coded under ‘COVID claimants: Less control’) or make any claims about the nature of the lost jobs (references to ‘secure’ jobs would be coded under ‘COVID claimants: Working people’)</w:t>
            </w:r>
          </w:p>
        </w:tc>
        <w:tc>
          <w:tcPr>
            <w:tcW w:w="4981" w:type="dxa"/>
          </w:tcPr>
          <w:p w14:paraId="04E11EAE" w14:textId="77777777" w:rsidR="002369CA" w:rsidRDefault="00970087" w:rsidP="005362B1">
            <w:r>
              <w:t>“</w:t>
            </w:r>
            <w:proofErr w:type="gramStart"/>
            <w:r w:rsidRPr="00970087">
              <w:t>people</w:t>
            </w:r>
            <w:proofErr w:type="gramEnd"/>
            <w:r w:rsidRPr="00970087">
              <w:t xml:space="preserve"> lost jobs</w:t>
            </w:r>
            <w:r>
              <w:t>”;</w:t>
            </w:r>
          </w:p>
          <w:p w14:paraId="3BF16FC5" w14:textId="77777777" w:rsidR="00970087" w:rsidRDefault="00970087" w:rsidP="005362B1">
            <w:r>
              <w:t>“</w:t>
            </w:r>
            <w:r w:rsidRPr="00970087">
              <w:t>People claiming during the COVID-19 may have lost their job</w:t>
            </w:r>
            <w:r>
              <w:t>”;</w:t>
            </w:r>
          </w:p>
          <w:p w14:paraId="2E71E43D" w14:textId="745D2CEA" w:rsidR="00970087" w:rsidRDefault="00970087" w:rsidP="005362B1">
            <w:r>
              <w:t>“</w:t>
            </w:r>
            <w:r w:rsidRPr="00970087">
              <w:t xml:space="preserve">Job losses were more </w:t>
            </w:r>
            <w:proofErr w:type="spellStart"/>
            <w:r w:rsidRPr="00970087">
              <w:t>commen</w:t>
            </w:r>
            <w:proofErr w:type="spellEnd"/>
            <w:r w:rsidRPr="00970087">
              <w:t xml:space="preserve"> during covid</w:t>
            </w:r>
            <w:r>
              <w:t>”</w:t>
            </w:r>
          </w:p>
        </w:tc>
      </w:tr>
      <w:tr w:rsidR="005362B1" w14:paraId="51495704" w14:textId="77777777" w:rsidTr="005F4AE6">
        <w:trPr>
          <w:cantSplit/>
        </w:trPr>
        <w:tc>
          <w:tcPr>
            <w:tcW w:w="2783" w:type="dxa"/>
          </w:tcPr>
          <w:p w14:paraId="44D4E544" w14:textId="059E7271" w:rsidR="005362B1" w:rsidRDefault="005362B1" w:rsidP="005362B1">
            <w:r>
              <w:t>No differences</w:t>
            </w:r>
          </w:p>
        </w:tc>
        <w:tc>
          <w:tcPr>
            <w:tcW w:w="6184" w:type="dxa"/>
          </w:tcPr>
          <w:p w14:paraId="366C49EE" w14:textId="04F04C03" w:rsidR="005362B1" w:rsidRPr="00514A32" w:rsidRDefault="005362B1" w:rsidP="005362B1">
            <w:r>
              <w:t xml:space="preserve">Responses which </w:t>
            </w:r>
            <w:r>
              <w:t xml:space="preserve">explicitly </w:t>
            </w:r>
            <w:r>
              <w:t xml:space="preserve">state </w:t>
            </w:r>
            <w:r>
              <w:t xml:space="preserve">that there are no differences between the claimant types. (May be combined with other themes – </w:t>
            </w:r>
            <w:proofErr w:type="gramStart"/>
            <w:r>
              <w:t>e.g.</w:t>
            </w:r>
            <w:proofErr w:type="gramEnd"/>
            <w:r>
              <w:t xml:space="preserve"> ‘neither blame’ or ‘both blame’)</w:t>
            </w:r>
          </w:p>
        </w:tc>
        <w:tc>
          <w:tcPr>
            <w:tcW w:w="4981" w:type="dxa"/>
          </w:tcPr>
          <w:p w14:paraId="648A5FBE" w14:textId="77777777" w:rsidR="005362B1" w:rsidRDefault="005362B1" w:rsidP="005362B1">
            <w:r>
              <w:t>“</w:t>
            </w:r>
            <w:proofErr w:type="gramStart"/>
            <w:r>
              <w:t>no</w:t>
            </w:r>
            <w:proofErr w:type="gramEnd"/>
            <w:r>
              <w:t xml:space="preserve"> differences”; </w:t>
            </w:r>
          </w:p>
          <w:p w14:paraId="2B87D809" w14:textId="77777777" w:rsidR="005362B1" w:rsidRDefault="005362B1" w:rsidP="005362B1">
            <w:r>
              <w:t xml:space="preserve">“There are none”; </w:t>
            </w:r>
          </w:p>
          <w:p w14:paraId="1577AD36" w14:textId="77777777" w:rsidR="005362B1" w:rsidRDefault="005362B1" w:rsidP="005362B1">
            <w:r>
              <w:t xml:space="preserve">“N/A”; </w:t>
            </w:r>
          </w:p>
          <w:p w14:paraId="2B3C9F39" w14:textId="77777777" w:rsidR="005362B1" w:rsidRDefault="005362B1" w:rsidP="005362B1">
            <w:r>
              <w:t xml:space="preserve">“Nothing”; </w:t>
            </w:r>
          </w:p>
          <w:p w14:paraId="4FB526CC" w14:textId="77777777" w:rsidR="005362B1" w:rsidRDefault="005362B1" w:rsidP="005362B1">
            <w:r>
              <w:t xml:space="preserve">“Nothing all are too lazy to seek work”; </w:t>
            </w:r>
          </w:p>
          <w:p w14:paraId="735CFC56" w14:textId="739E38D2" w:rsidR="005362B1" w:rsidRDefault="005362B1" w:rsidP="005362B1">
            <w:r>
              <w:t xml:space="preserve">“Nothing. They are all equally impoverished through no fault of their own” </w:t>
            </w:r>
          </w:p>
        </w:tc>
      </w:tr>
      <w:tr w:rsidR="002369CA" w14:paraId="0E7BEADB" w14:textId="77777777" w:rsidTr="005F4AE6">
        <w:trPr>
          <w:cantSplit/>
        </w:trPr>
        <w:tc>
          <w:tcPr>
            <w:tcW w:w="2783" w:type="dxa"/>
          </w:tcPr>
          <w:p w14:paraId="72D936AD" w14:textId="4D231A99" w:rsidR="002369CA" w:rsidRDefault="002369CA" w:rsidP="002369CA">
            <w:r>
              <w:t>Bad behaviour by employers</w:t>
            </w:r>
          </w:p>
        </w:tc>
        <w:tc>
          <w:tcPr>
            <w:tcW w:w="6184" w:type="dxa"/>
          </w:tcPr>
          <w:p w14:paraId="12137D6B" w14:textId="61418406" w:rsidR="002369CA" w:rsidRDefault="002369CA" w:rsidP="002369CA">
            <w:r>
              <w:t xml:space="preserve">Responses suggesting that employers had behaved unethically during the pandemic </w:t>
            </w:r>
            <w:proofErr w:type="gramStart"/>
            <w:r>
              <w:t>e.g.</w:t>
            </w:r>
            <w:proofErr w:type="gramEnd"/>
            <w:r>
              <w:t xml:space="preserve"> by abusing the furlough system or by laying off workers unnecessarily.</w:t>
            </w:r>
          </w:p>
        </w:tc>
        <w:tc>
          <w:tcPr>
            <w:tcW w:w="4981" w:type="dxa"/>
          </w:tcPr>
          <w:p w14:paraId="64B65E2B" w14:textId="77777777" w:rsidR="002369CA" w:rsidRDefault="002369CA" w:rsidP="002369CA">
            <w:r>
              <w:t>“</w:t>
            </w:r>
            <w:r w:rsidRPr="002369CA">
              <w:t>Those claiming before were let go for a specific reason. Those during the pandemic were victims, in some cases, of ruthless employers who could have used the furlough scheme</w:t>
            </w:r>
            <w:r>
              <w:t>”;</w:t>
            </w:r>
          </w:p>
          <w:p w14:paraId="43477535" w14:textId="77777777" w:rsidR="002369CA" w:rsidRDefault="002369CA" w:rsidP="002369CA">
            <w:r>
              <w:t>“</w:t>
            </w:r>
            <w:r w:rsidRPr="002369CA">
              <w:t xml:space="preserve">The job market was flooded with people being laid off, oftentimes without financial security because the government decided to pay the employers rather than </w:t>
            </w:r>
            <w:proofErr w:type="spellStart"/>
            <w:r w:rsidRPr="002369CA">
              <w:t>than</w:t>
            </w:r>
            <w:proofErr w:type="spellEnd"/>
            <w:r w:rsidRPr="002369CA">
              <w:t xml:space="preserve"> directly to the citizens. This created the opportunity for corruption.</w:t>
            </w:r>
            <w:r>
              <w:t>”</w:t>
            </w:r>
          </w:p>
          <w:p w14:paraId="10BF1B03" w14:textId="3758CCD2" w:rsidR="002369CA" w:rsidRDefault="002369CA" w:rsidP="002369CA"/>
        </w:tc>
      </w:tr>
      <w:tr w:rsidR="002369CA" w14:paraId="5EA1794C" w14:textId="77777777" w:rsidTr="005F4AE6">
        <w:trPr>
          <w:cantSplit/>
        </w:trPr>
        <w:tc>
          <w:tcPr>
            <w:tcW w:w="2783" w:type="dxa"/>
          </w:tcPr>
          <w:p w14:paraId="321CD350" w14:textId="624A662A" w:rsidR="002369CA" w:rsidRDefault="002369CA" w:rsidP="002369CA">
            <w:r>
              <w:lastRenderedPageBreak/>
              <w:t>Change in attitudes</w:t>
            </w:r>
          </w:p>
        </w:tc>
        <w:tc>
          <w:tcPr>
            <w:tcW w:w="6184" w:type="dxa"/>
          </w:tcPr>
          <w:p w14:paraId="16E368A0" w14:textId="7964B624" w:rsidR="002369CA" w:rsidRDefault="002369CA" w:rsidP="002369CA">
            <w:r>
              <w:t xml:space="preserve">Responses which indicated that </w:t>
            </w:r>
            <w:r w:rsidR="00B87338">
              <w:t>the pandemic had changed beliefs or attitudes either in the respondent themselves or among claimants or society at large</w:t>
            </w:r>
          </w:p>
        </w:tc>
        <w:tc>
          <w:tcPr>
            <w:tcW w:w="4981" w:type="dxa"/>
          </w:tcPr>
          <w:p w14:paraId="431C4CDF" w14:textId="17F7BE0D" w:rsidR="002369CA" w:rsidRDefault="00B87338" w:rsidP="002369CA">
            <w:r>
              <w:t>“</w:t>
            </w:r>
            <w:r w:rsidRPr="00B87338">
              <w:t>Many of those forced to take 'benefits' due to covid, were possibly fiercely anti benefit 'scroungers', and thought 'scroungers' payments too generous a burden on their personal taxation</w:t>
            </w:r>
            <w:proofErr w:type="gramStart"/>
            <w:r w:rsidRPr="00B87338">
              <w:t>.....</w:t>
            </w:r>
            <w:proofErr w:type="gramEnd"/>
            <w:r w:rsidRPr="00B87338">
              <w:t xml:space="preserve"> but they soon learnt there is no way a person can live on £93, let alone</w:t>
            </w:r>
            <w:r w:rsidR="00006C54">
              <w:t xml:space="preserve"> </w:t>
            </w:r>
            <w:r w:rsidRPr="00B87338">
              <w:t xml:space="preserve">£73! AND pay food/bills+ plus fares to the jobcentre each week to confirm </w:t>
            </w:r>
            <w:proofErr w:type="gramStart"/>
            <w:r w:rsidRPr="00B87338">
              <w:t>their</w:t>
            </w:r>
            <w:proofErr w:type="gramEnd"/>
            <w:r w:rsidRPr="00B87338">
              <w:t xml:space="preserve"> not cheating</w:t>
            </w:r>
            <w:r>
              <w:t>”;</w:t>
            </w:r>
          </w:p>
          <w:p w14:paraId="1EA527AF" w14:textId="77777777" w:rsidR="00B87338" w:rsidRDefault="00B87338" w:rsidP="002369CA">
            <w:r>
              <w:t>“</w:t>
            </w:r>
            <w:r w:rsidRPr="00B87338">
              <w:t>It is probably more socially acceptable to claim benefits due to covid</w:t>
            </w:r>
            <w:r>
              <w:t>”;</w:t>
            </w:r>
          </w:p>
          <w:p w14:paraId="2D317D52" w14:textId="28C8DAD0" w:rsidR="00B87338" w:rsidRDefault="00B87338" w:rsidP="002369CA">
            <w:r>
              <w:t>“</w:t>
            </w:r>
            <w:r w:rsidRPr="00B87338">
              <w:t>I think people's attitudes to them are different, because the numbers are so larger and because the media coverage is more sympathetic.</w:t>
            </w:r>
            <w:r>
              <w:t>”</w:t>
            </w:r>
          </w:p>
        </w:tc>
      </w:tr>
    </w:tbl>
    <w:p w14:paraId="2E767CAC" w14:textId="77777777" w:rsidR="005F4AE6" w:rsidRDefault="005F4AE6" w:rsidP="00844A05"/>
    <w:p w14:paraId="57BF1ACE" w14:textId="77777777" w:rsidR="007A5C54" w:rsidRPr="005F4AE6" w:rsidRDefault="007A5C54" w:rsidP="00844A05"/>
    <w:p w14:paraId="67511A8A" w14:textId="77777777" w:rsidR="007A5C54" w:rsidRDefault="007A5C54" w:rsidP="00844A05">
      <w:pPr>
        <w:sectPr w:rsidR="007A5C54" w:rsidSect="005F4AE6">
          <w:pgSz w:w="16838" w:h="11906" w:orient="landscape"/>
          <w:pgMar w:top="1440" w:right="1440" w:bottom="1440" w:left="1440" w:header="708" w:footer="708" w:gutter="0"/>
          <w:cols w:space="708"/>
          <w:docGrid w:linePitch="360"/>
        </w:sectPr>
      </w:pPr>
    </w:p>
    <w:p w14:paraId="546494C7" w14:textId="43A3FD5F" w:rsidR="00BA725A" w:rsidRDefault="00BA725A" w:rsidP="00104D2D">
      <w:pPr>
        <w:pStyle w:val="Heading1"/>
      </w:pPr>
      <w:r>
        <w:lastRenderedPageBreak/>
        <w:t xml:space="preserve">Appendix </w:t>
      </w:r>
      <w:r w:rsidR="00844A05">
        <w:t>B</w:t>
      </w:r>
      <w:r>
        <w:t xml:space="preserve">: </w:t>
      </w:r>
      <w:r w:rsidR="00104D2D">
        <w:t>Details of S</w:t>
      </w:r>
      <w:r>
        <w:t xml:space="preserve">tructural Topic Model of </w:t>
      </w:r>
      <w:r w:rsidR="00104D2D">
        <w:t>free</w:t>
      </w:r>
      <w:r>
        <w:t xml:space="preserve"> text responses</w:t>
      </w:r>
    </w:p>
    <w:p w14:paraId="31AC766D" w14:textId="17B15AA1" w:rsidR="00BA725A" w:rsidRDefault="00BA725A" w:rsidP="00BA725A">
      <w:r>
        <w:t xml:space="preserve">Structural Topic Models (STM) builds from of the broader tradition of probabilistic topic models. Topic models use word counts to establish topics. Each word used in a given document (open text responses to a survey question in our case) is assumed to have a probability of belonging to a particular topic. The topic model uses an inductive process to attempt to discern the appropriate number of topics to cover the documents in the analytical corpus. </w:t>
      </w:r>
    </w:p>
    <w:p w14:paraId="40480F29" w14:textId="4E4BBD51" w:rsidR="00BA725A" w:rsidRDefault="00BA725A" w:rsidP="00BA725A">
      <w:r>
        <w:t xml:space="preserve">There is no single ‘correct’ number of topics for a given corpus. Rather we based our model selection on a combination of model fit statistics and manual inspection of exemplar response within each topic. We examined models with 3, 5, 7, and 10 topics. Model fit statistics are reported in Figure </w:t>
      </w:r>
      <w:r w:rsidR="0088588E">
        <w:t>A</w:t>
      </w:r>
      <w:r>
        <w:t>1, below.</w:t>
      </w:r>
    </w:p>
    <w:p w14:paraId="277A7063" w14:textId="6B14E947" w:rsidR="00BA725A" w:rsidRDefault="00BA725A" w:rsidP="00BA725A">
      <w:pPr>
        <w:pStyle w:val="Heading5"/>
      </w:pPr>
      <w:r>
        <w:t xml:space="preserve">Figure </w:t>
      </w:r>
      <w:r w:rsidR="0088588E">
        <w:t>A</w:t>
      </w:r>
      <w:r>
        <w:t>1. STM diagnostic values by number of topics</w:t>
      </w:r>
    </w:p>
    <w:p w14:paraId="1F364D4D" w14:textId="77777777" w:rsidR="00BA725A" w:rsidRDefault="00BA725A" w:rsidP="00BA725A">
      <w:pPr>
        <w:jc w:val="center"/>
      </w:pPr>
      <w:r>
        <w:rPr>
          <w:noProof/>
          <w:lang w:eastAsia="en-GB"/>
        </w:rPr>
        <w:drawing>
          <wp:inline distT="0" distB="0" distL="0" distR="0" wp14:anchorId="2CF5A57B" wp14:editId="66DA17F4">
            <wp:extent cx="4920403" cy="40100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4927559" cy="4015857"/>
                    </a:xfrm>
                    <a:prstGeom prst="rect">
                      <a:avLst/>
                    </a:prstGeom>
                  </pic:spPr>
                </pic:pic>
              </a:graphicData>
            </a:graphic>
          </wp:inline>
        </w:drawing>
      </w:r>
    </w:p>
    <w:p w14:paraId="01403375" w14:textId="10D2CF54" w:rsidR="00BA725A" w:rsidRDefault="00BA725A" w:rsidP="00BA725A">
      <w:r>
        <w:t xml:space="preserve">Figure </w:t>
      </w:r>
      <w:r w:rsidR="008D7EF2">
        <w:t>A</w:t>
      </w:r>
      <w:r>
        <w:t>1 plots four values against the specified number of topics:</w:t>
      </w:r>
    </w:p>
    <w:p w14:paraId="1702B0A0" w14:textId="77777777" w:rsidR="00BA725A" w:rsidRDefault="00BA725A" w:rsidP="00BA725A">
      <w:pPr>
        <w:pStyle w:val="ListParagraph"/>
        <w:numPr>
          <w:ilvl w:val="0"/>
          <w:numId w:val="2"/>
        </w:numPr>
      </w:pPr>
      <w:r>
        <w:t xml:space="preserve">The </w:t>
      </w:r>
      <w:r w:rsidRPr="00C542C7">
        <w:rPr>
          <w:b/>
          <w:bCs/>
        </w:rPr>
        <w:t>held-out likelihood</w:t>
      </w:r>
      <w:r>
        <w:t xml:space="preserve"> measures the probability that the words in a given topic would appear in a text allocated to a particular topic. Higher values indicate that the model is doing a better job of predicting what words are going to appear in a particular document.</w:t>
      </w:r>
    </w:p>
    <w:p w14:paraId="5D3EA88A" w14:textId="194F2197" w:rsidR="00BA725A" w:rsidRDefault="00BA725A" w:rsidP="00BA725A">
      <w:pPr>
        <w:pStyle w:val="ListParagraph"/>
        <w:numPr>
          <w:ilvl w:val="0"/>
          <w:numId w:val="2"/>
        </w:numPr>
      </w:pPr>
      <w:r>
        <w:rPr>
          <w:b/>
          <w:bCs/>
        </w:rPr>
        <w:t>Residuals</w:t>
      </w:r>
      <w:r>
        <w:t xml:space="preserve"> measure the amount of overdispersion in the residuals. In other words, it tells us whether the topics are precise or not. Imprecise topics are too general and do not really captur</w:t>
      </w:r>
      <w:r w:rsidR="00593D23">
        <w:t>e</w:t>
      </w:r>
      <w:r>
        <w:t xml:space="preserve"> the nuance in each document. Low scores imply less dispersion. </w:t>
      </w:r>
      <w:proofErr w:type="gramStart"/>
      <w:r>
        <w:t>Typically</w:t>
      </w:r>
      <w:proofErr w:type="gramEnd"/>
      <w:r>
        <w:t xml:space="preserve"> more topics will, by construction, lead to lower residuals and so this needs to be offset against the demands of parsimony.</w:t>
      </w:r>
    </w:p>
    <w:p w14:paraId="47D4A73D" w14:textId="20BFD871" w:rsidR="00BA725A" w:rsidRDefault="00BA725A" w:rsidP="00BA725A">
      <w:pPr>
        <w:pStyle w:val="ListParagraph"/>
        <w:numPr>
          <w:ilvl w:val="0"/>
          <w:numId w:val="2"/>
        </w:numPr>
      </w:pPr>
      <w:r w:rsidRPr="00CD19D8">
        <w:rPr>
          <w:b/>
          <w:bCs/>
        </w:rPr>
        <w:lastRenderedPageBreak/>
        <w:t>Semantic coherence</w:t>
      </w:r>
      <w:r>
        <w:t xml:space="preserve"> refers to the degree to which the most probable words in a topic co-occur. This is useful because it tells us whether the most salient words for a particular topic are correlated with each other. </w:t>
      </w:r>
      <w:r w:rsidR="003525C9">
        <w:t>L</w:t>
      </w:r>
      <w:r>
        <w:t xml:space="preserve">ow correlation between highly probable words for a given topic </w:t>
      </w:r>
      <w:r w:rsidR="003525C9">
        <w:t xml:space="preserve">is problematic because it indicates that </w:t>
      </w:r>
      <w:r>
        <w:t xml:space="preserve">some words frequently appearing in </w:t>
      </w:r>
      <w:r w:rsidR="003525C9">
        <w:t>the same topic often do not often appear in the same document. Higher semantic coherence is therefore one indication of a more informative model. However, this must be balanced against the fact that a small number of topics will often yield high semantic coherence.</w:t>
      </w:r>
      <w:r>
        <w:t xml:space="preserve">  </w:t>
      </w:r>
    </w:p>
    <w:p w14:paraId="44209CF0" w14:textId="1148F27A" w:rsidR="00BA725A" w:rsidRDefault="00BA725A" w:rsidP="00BA725A">
      <w:pPr>
        <w:pStyle w:val="ListParagraph"/>
        <w:numPr>
          <w:ilvl w:val="0"/>
          <w:numId w:val="2"/>
        </w:numPr>
      </w:pPr>
      <w:r>
        <w:t xml:space="preserve">The </w:t>
      </w:r>
      <w:r w:rsidRPr="00CD19D8">
        <w:rPr>
          <w:b/>
          <w:bCs/>
        </w:rPr>
        <w:t>lower bound</w:t>
      </w:r>
      <w:r>
        <w:t xml:space="preserve"> gives us an indication of the change in fit between iterations of the model. Smaller improvements between </w:t>
      </w:r>
      <w:r w:rsidR="003525C9">
        <w:t xml:space="preserve">iterations </w:t>
      </w:r>
      <w:r>
        <w:t xml:space="preserve">implies model convergence.   </w:t>
      </w:r>
    </w:p>
    <w:p w14:paraId="32316B7F" w14:textId="3965D179" w:rsidR="00BA725A" w:rsidRDefault="00BA725A" w:rsidP="00BA725A">
      <w:r>
        <w:t>According to these measures, the three-topic model appears to be the poorest fit to the data, and was therefore discounted. The five-topic model appears to fit the data best by a number of metrics. However, differences between this model and the seven and ten-topic models are very small indeed, and manual inspection of topic exemplars for the seven-topic model indicate a clearer semantic differentiation between topics than for the five-topic model. The 10 topic has a slightly higher held-out likelihood than the seven-topic model. However, it has lower semantic coherence, and only very slightly lower residuals, despite three additional topics. Therefore, on the basis of parsimony, we selected the seven-topic model.</w:t>
      </w:r>
    </w:p>
    <w:p w14:paraId="089A8A47" w14:textId="2BB78915" w:rsidR="00437C55" w:rsidRDefault="00437C55">
      <w:r>
        <w:br w:type="page"/>
      </w:r>
    </w:p>
    <w:p w14:paraId="3B12A273" w14:textId="7FDF07BC" w:rsidR="00437C55" w:rsidRDefault="00437C55" w:rsidP="00956AEE">
      <w:pPr>
        <w:pStyle w:val="Heading1"/>
      </w:pPr>
      <w:r>
        <w:lastRenderedPageBreak/>
        <w:t xml:space="preserve">Appendix </w:t>
      </w:r>
      <w:r w:rsidR="00956AEE">
        <w:t>C</w:t>
      </w:r>
      <w:r>
        <w:t xml:space="preserve">: </w:t>
      </w:r>
      <w:r w:rsidR="008D7EF2">
        <w:t>Perceived deservingness over time – all response categories</w:t>
      </w:r>
    </w:p>
    <w:p w14:paraId="0ECBF441" w14:textId="77777777" w:rsidR="0088588E" w:rsidRDefault="0088588E" w:rsidP="008D7EF2">
      <w:pPr>
        <w:rPr>
          <w:b/>
          <w:bCs/>
        </w:rPr>
      </w:pPr>
    </w:p>
    <w:p w14:paraId="18AAF048" w14:textId="5CADDDA1" w:rsidR="008D7EF2" w:rsidRDefault="0088588E" w:rsidP="008D7EF2">
      <w:pPr>
        <w:rPr>
          <w:b/>
          <w:bCs/>
        </w:rPr>
      </w:pPr>
      <w:r>
        <w:rPr>
          <w:b/>
          <w:bCs/>
        </w:rPr>
        <w:t xml:space="preserve">Table </w:t>
      </w:r>
      <w:r w:rsidR="00956AEE">
        <w:rPr>
          <w:b/>
          <w:bCs/>
        </w:rPr>
        <w:t>C</w:t>
      </w:r>
      <w:r>
        <w:rPr>
          <w:b/>
          <w:bCs/>
        </w:rPr>
        <w:t>1. Perceived deservingness in each time period (percent choosing each response, with 95% Confidence Intervals)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349"/>
        <w:gridCol w:w="1350"/>
        <w:gridCol w:w="1349"/>
        <w:gridCol w:w="1350"/>
        <w:gridCol w:w="1350"/>
      </w:tblGrid>
      <w:tr w:rsidR="0088588E" w:rsidRPr="0088588E" w14:paraId="4FCAC399" w14:textId="77777777" w:rsidTr="00056C41">
        <w:tc>
          <w:tcPr>
            <w:tcW w:w="2268" w:type="dxa"/>
            <w:tcBorders>
              <w:bottom w:val="single" w:sz="4" w:space="0" w:color="auto"/>
              <w:right w:val="single" w:sz="4" w:space="0" w:color="auto"/>
            </w:tcBorders>
          </w:tcPr>
          <w:p w14:paraId="3E0C22C9" w14:textId="77777777" w:rsidR="0088588E" w:rsidRPr="00056C41" w:rsidRDefault="0088588E" w:rsidP="009865D5">
            <w:pPr>
              <w:rPr>
                <w:rFonts w:cs="Arial"/>
              </w:rPr>
            </w:pPr>
          </w:p>
        </w:tc>
        <w:tc>
          <w:tcPr>
            <w:tcW w:w="1349" w:type="dxa"/>
            <w:tcBorders>
              <w:left w:val="single" w:sz="4" w:space="0" w:color="auto"/>
              <w:bottom w:val="single" w:sz="4" w:space="0" w:color="auto"/>
              <w:right w:val="single" w:sz="4" w:space="0" w:color="auto"/>
            </w:tcBorders>
          </w:tcPr>
          <w:p w14:paraId="729F58DA" w14:textId="77777777" w:rsidR="0088588E" w:rsidRPr="00056C41" w:rsidRDefault="0088588E" w:rsidP="0088588E">
            <w:pPr>
              <w:jc w:val="center"/>
              <w:rPr>
                <w:rFonts w:cs="Arial"/>
                <w:b/>
                <w:bCs/>
              </w:rPr>
            </w:pPr>
            <w:r w:rsidRPr="00056C41">
              <w:rPr>
                <w:rFonts w:cs="Arial"/>
                <w:b/>
                <w:bCs/>
              </w:rPr>
              <w:t>Pre-pandemic</w:t>
            </w:r>
          </w:p>
        </w:tc>
        <w:tc>
          <w:tcPr>
            <w:tcW w:w="1350" w:type="dxa"/>
            <w:tcBorders>
              <w:left w:val="single" w:sz="4" w:space="0" w:color="auto"/>
              <w:bottom w:val="single" w:sz="4" w:space="0" w:color="auto"/>
              <w:right w:val="single" w:sz="4" w:space="0" w:color="auto"/>
            </w:tcBorders>
          </w:tcPr>
          <w:p w14:paraId="6620893F" w14:textId="77777777" w:rsidR="0088588E" w:rsidRPr="00056C41" w:rsidRDefault="0088588E" w:rsidP="0088588E">
            <w:pPr>
              <w:jc w:val="center"/>
              <w:rPr>
                <w:rFonts w:cs="Arial"/>
                <w:b/>
                <w:bCs/>
              </w:rPr>
            </w:pPr>
            <w:r w:rsidRPr="00056C41">
              <w:rPr>
                <w:rFonts w:cs="Arial"/>
                <w:b/>
                <w:bCs/>
              </w:rPr>
              <w:t>First wave</w:t>
            </w:r>
          </w:p>
        </w:tc>
        <w:tc>
          <w:tcPr>
            <w:tcW w:w="1349" w:type="dxa"/>
            <w:tcBorders>
              <w:left w:val="single" w:sz="4" w:space="0" w:color="auto"/>
              <w:bottom w:val="single" w:sz="4" w:space="0" w:color="auto"/>
              <w:right w:val="single" w:sz="4" w:space="0" w:color="auto"/>
            </w:tcBorders>
          </w:tcPr>
          <w:p w14:paraId="093E1F04" w14:textId="77777777" w:rsidR="0088588E" w:rsidRPr="00056C41" w:rsidRDefault="0088588E" w:rsidP="0088588E">
            <w:pPr>
              <w:jc w:val="center"/>
              <w:rPr>
                <w:rFonts w:cs="Arial"/>
                <w:b/>
                <w:bCs/>
              </w:rPr>
            </w:pPr>
            <w:r w:rsidRPr="00056C41">
              <w:rPr>
                <w:rFonts w:cs="Arial"/>
                <w:b/>
                <w:bCs/>
              </w:rPr>
              <w:t>Summer 2020</w:t>
            </w:r>
          </w:p>
        </w:tc>
        <w:tc>
          <w:tcPr>
            <w:tcW w:w="1350" w:type="dxa"/>
            <w:tcBorders>
              <w:left w:val="single" w:sz="4" w:space="0" w:color="auto"/>
              <w:bottom w:val="single" w:sz="4" w:space="0" w:color="auto"/>
              <w:right w:val="single" w:sz="4" w:space="0" w:color="auto"/>
            </w:tcBorders>
          </w:tcPr>
          <w:p w14:paraId="2F3889DC" w14:textId="77777777" w:rsidR="0088588E" w:rsidRPr="00056C41" w:rsidRDefault="0088588E" w:rsidP="0088588E">
            <w:pPr>
              <w:jc w:val="center"/>
              <w:rPr>
                <w:rFonts w:cs="Arial"/>
                <w:b/>
                <w:bCs/>
              </w:rPr>
            </w:pPr>
            <w:r w:rsidRPr="00056C41">
              <w:rPr>
                <w:rFonts w:cs="Arial"/>
                <w:b/>
                <w:bCs/>
              </w:rPr>
              <w:t>Second wave</w:t>
            </w:r>
          </w:p>
        </w:tc>
        <w:tc>
          <w:tcPr>
            <w:tcW w:w="1350" w:type="dxa"/>
            <w:tcBorders>
              <w:left w:val="single" w:sz="4" w:space="0" w:color="auto"/>
              <w:bottom w:val="single" w:sz="4" w:space="0" w:color="auto"/>
            </w:tcBorders>
          </w:tcPr>
          <w:p w14:paraId="270D999C" w14:textId="77777777" w:rsidR="0088588E" w:rsidRPr="00056C41" w:rsidRDefault="0088588E" w:rsidP="0088588E">
            <w:pPr>
              <w:jc w:val="center"/>
              <w:rPr>
                <w:rFonts w:cs="Arial"/>
                <w:b/>
                <w:bCs/>
              </w:rPr>
            </w:pPr>
            <w:r w:rsidRPr="00056C41">
              <w:rPr>
                <w:rFonts w:cs="Arial"/>
                <w:b/>
                <w:bCs/>
              </w:rPr>
              <w:t>After second wave</w:t>
            </w:r>
          </w:p>
        </w:tc>
      </w:tr>
      <w:tr w:rsidR="0088588E" w:rsidRPr="0088588E" w14:paraId="19603962" w14:textId="77777777" w:rsidTr="008020CD">
        <w:tc>
          <w:tcPr>
            <w:tcW w:w="2268" w:type="dxa"/>
            <w:tcBorders>
              <w:top w:val="single" w:sz="4" w:space="0" w:color="auto"/>
              <w:right w:val="single" w:sz="4" w:space="0" w:color="auto"/>
            </w:tcBorders>
            <w:vAlign w:val="center"/>
          </w:tcPr>
          <w:p w14:paraId="30BE9AD3" w14:textId="77777777" w:rsidR="0088588E" w:rsidRPr="00056C41" w:rsidRDefault="0088588E" w:rsidP="008020CD">
            <w:pPr>
              <w:spacing w:after="120"/>
              <w:rPr>
                <w:rFonts w:cs="Arial"/>
              </w:rPr>
            </w:pPr>
            <w:r w:rsidRPr="00056C41">
              <w:rPr>
                <w:rFonts w:cs="Arial"/>
              </w:rPr>
              <w:t>All or almost all people who receive benefits are genuinely in need and deserving of help</w:t>
            </w:r>
          </w:p>
        </w:tc>
        <w:tc>
          <w:tcPr>
            <w:tcW w:w="1349" w:type="dxa"/>
            <w:tcBorders>
              <w:top w:val="single" w:sz="4" w:space="0" w:color="auto"/>
              <w:left w:val="single" w:sz="4" w:space="0" w:color="auto"/>
              <w:right w:val="single" w:sz="4" w:space="0" w:color="auto"/>
            </w:tcBorders>
            <w:vAlign w:val="center"/>
          </w:tcPr>
          <w:p w14:paraId="0CDA1A3B" w14:textId="77777777" w:rsidR="00E2261B" w:rsidRPr="00056C41" w:rsidRDefault="0088588E" w:rsidP="00056C41">
            <w:pPr>
              <w:spacing w:after="120"/>
              <w:jc w:val="center"/>
              <w:rPr>
                <w:rFonts w:cs="Arial"/>
              </w:rPr>
            </w:pPr>
            <w:r w:rsidRPr="00056C41">
              <w:rPr>
                <w:rFonts w:cs="Arial"/>
              </w:rPr>
              <w:t>12.0</w:t>
            </w:r>
          </w:p>
          <w:p w14:paraId="1B466D1E" w14:textId="65FE56F5" w:rsidR="00056C41" w:rsidRPr="00056C41" w:rsidRDefault="00056C41" w:rsidP="00056C41">
            <w:pPr>
              <w:spacing w:after="120"/>
              <w:jc w:val="center"/>
              <w:rPr>
                <w:rFonts w:cs="Arial"/>
              </w:rPr>
            </w:pPr>
            <w:r w:rsidRPr="00056C41">
              <w:rPr>
                <w:rFonts w:cs="Arial"/>
                <w:sz w:val="18"/>
                <w:szCs w:val="18"/>
              </w:rPr>
              <w:t>(0.11 to 0.13)</w:t>
            </w:r>
          </w:p>
        </w:tc>
        <w:tc>
          <w:tcPr>
            <w:tcW w:w="1350" w:type="dxa"/>
            <w:tcBorders>
              <w:top w:val="single" w:sz="4" w:space="0" w:color="auto"/>
              <w:left w:val="single" w:sz="4" w:space="0" w:color="auto"/>
              <w:right w:val="single" w:sz="4" w:space="0" w:color="auto"/>
            </w:tcBorders>
            <w:vAlign w:val="center"/>
          </w:tcPr>
          <w:p w14:paraId="518BD22C" w14:textId="77777777" w:rsidR="0088588E" w:rsidRDefault="0088588E" w:rsidP="00056C41">
            <w:pPr>
              <w:spacing w:after="120"/>
              <w:jc w:val="center"/>
              <w:rPr>
                <w:rFonts w:cs="Arial"/>
              </w:rPr>
            </w:pPr>
            <w:r w:rsidRPr="00056C41">
              <w:rPr>
                <w:rFonts w:cs="Arial"/>
              </w:rPr>
              <w:t>12.0</w:t>
            </w:r>
          </w:p>
          <w:p w14:paraId="77D4D0EA" w14:textId="05B88574" w:rsidR="00056C41" w:rsidRPr="00056C41" w:rsidRDefault="00056C41" w:rsidP="00056C41">
            <w:pPr>
              <w:spacing w:after="120"/>
              <w:jc w:val="center"/>
              <w:rPr>
                <w:rFonts w:cs="Arial"/>
              </w:rPr>
            </w:pPr>
            <w:r w:rsidRPr="00056C41">
              <w:rPr>
                <w:rFonts w:cs="Arial"/>
                <w:sz w:val="18"/>
                <w:szCs w:val="18"/>
              </w:rPr>
              <w:t>(0.11 to 0.13)</w:t>
            </w:r>
          </w:p>
        </w:tc>
        <w:tc>
          <w:tcPr>
            <w:tcW w:w="1349" w:type="dxa"/>
            <w:tcBorders>
              <w:top w:val="single" w:sz="4" w:space="0" w:color="auto"/>
              <w:left w:val="single" w:sz="4" w:space="0" w:color="auto"/>
              <w:right w:val="single" w:sz="4" w:space="0" w:color="auto"/>
            </w:tcBorders>
            <w:vAlign w:val="center"/>
          </w:tcPr>
          <w:p w14:paraId="68501ADE" w14:textId="77777777" w:rsidR="00056C41" w:rsidRDefault="0088588E" w:rsidP="00056C41">
            <w:pPr>
              <w:spacing w:after="120"/>
              <w:jc w:val="center"/>
              <w:rPr>
                <w:rFonts w:cs="Arial"/>
              </w:rPr>
            </w:pPr>
            <w:r w:rsidRPr="00056C41">
              <w:rPr>
                <w:rFonts w:cs="Arial"/>
              </w:rPr>
              <w:t>12.6</w:t>
            </w:r>
            <w:r w:rsidR="00056C41">
              <w:rPr>
                <w:rFonts w:cs="Arial"/>
              </w:rPr>
              <w:t xml:space="preserve"> </w:t>
            </w:r>
          </w:p>
          <w:p w14:paraId="3A5FA9FA" w14:textId="57516302" w:rsidR="0088588E" w:rsidRPr="00056C41" w:rsidRDefault="00056C41" w:rsidP="00056C41">
            <w:pPr>
              <w:spacing w:after="120"/>
              <w:jc w:val="center"/>
              <w:rPr>
                <w:rFonts w:cs="Arial"/>
              </w:rPr>
            </w:pPr>
            <w:r w:rsidRPr="00056C41">
              <w:rPr>
                <w:rFonts w:cs="Arial"/>
                <w:sz w:val="18"/>
                <w:szCs w:val="18"/>
              </w:rPr>
              <w:t>(0.11 to 0.14)</w:t>
            </w:r>
          </w:p>
        </w:tc>
        <w:tc>
          <w:tcPr>
            <w:tcW w:w="1350" w:type="dxa"/>
            <w:tcBorders>
              <w:top w:val="single" w:sz="4" w:space="0" w:color="auto"/>
              <w:left w:val="single" w:sz="4" w:space="0" w:color="auto"/>
              <w:right w:val="single" w:sz="4" w:space="0" w:color="auto"/>
            </w:tcBorders>
            <w:vAlign w:val="center"/>
          </w:tcPr>
          <w:p w14:paraId="44D7ECA8" w14:textId="77777777" w:rsidR="00056C41" w:rsidRDefault="0088588E" w:rsidP="00056C41">
            <w:pPr>
              <w:spacing w:after="120"/>
              <w:jc w:val="center"/>
              <w:rPr>
                <w:rFonts w:cs="Arial"/>
              </w:rPr>
            </w:pPr>
            <w:r w:rsidRPr="00056C41">
              <w:rPr>
                <w:rFonts w:cs="Arial"/>
              </w:rPr>
              <w:t>13.6</w:t>
            </w:r>
            <w:r w:rsidR="00056C41">
              <w:rPr>
                <w:rFonts w:cs="Arial"/>
              </w:rPr>
              <w:t xml:space="preserve"> </w:t>
            </w:r>
          </w:p>
          <w:p w14:paraId="0308B729" w14:textId="64239A00" w:rsidR="0088588E" w:rsidRPr="00056C41" w:rsidRDefault="00056C41" w:rsidP="00056C41">
            <w:pPr>
              <w:spacing w:after="120"/>
              <w:jc w:val="center"/>
              <w:rPr>
                <w:rFonts w:cs="Arial"/>
              </w:rPr>
            </w:pPr>
            <w:r w:rsidRPr="00056C41">
              <w:rPr>
                <w:rFonts w:cs="Arial"/>
                <w:sz w:val="18"/>
                <w:szCs w:val="18"/>
              </w:rPr>
              <w:t>(0.13 to 0.14)</w:t>
            </w:r>
          </w:p>
        </w:tc>
        <w:tc>
          <w:tcPr>
            <w:tcW w:w="1350" w:type="dxa"/>
            <w:tcBorders>
              <w:top w:val="single" w:sz="4" w:space="0" w:color="auto"/>
              <w:left w:val="single" w:sz="4" w:space="0" w:color="auto"/>
            </w:tcBorders>
            <w:vAlign w:val="center"/>
          </w:tcPr>
          <w:p w14:paraId="29A37FCB" w14:textId="77777777" w:rsidR="00056C41" w:rsidRDefault="0088588E" w:rsidP="00056C41">
            <w:pPr>
              <w:spacing w:after="120"/>
              <w:jc w:val="center"/>
              <w:rPr>
                <w:rFonts w:cs="Arial"/>
              </w:rPr>
            </w:pPr>
            <w:r w:rsidRPr="00056C41">
              <w:rPr>
                <w:rFonts w:cs="Arial"/>
              </w:rPr>
              <w:t>13.6</w:t>
            </w:r>
            <w:r w:rsidR="00056C41">
              <w:rPr>
                <w:rFonts w:cs="Arial"/>
              </w:rPr>
              <w:t xml:space="preserve"> </w:t>
            </w:r>
          </w:p>
          <w:p w14:paraId="0067637C" w14:textId="2A9ED022" w:rsidR="0088588E" w:rsidRPr="00056C41" w:rsidRDefault="00056C41" w:rsidP="00056C41">
            <w:pPr>
              <w:spacing w:after="120"/>
              <w:jc w:val="center"/>
              <w:rPr>
                <w:rFonts w:cs="Arial"/>
              </w:rPr>
            </w:pPr>
            <w:r w:rsidRPr="00056C41">
              <w:rPr>
                <w:rFonts w:cs="Arial"/>
                <w:sz w:val="18"/>
                <w:szCs w:val="18"/>
              </w:rPr>
              <w:t>(0.3 to 0.14)</w:t>
            </w:r>
          </w:p>
        </w:tc>
      </w:tr>
      <w:tr w:rsidR="0088588E" w:rsidRPr="0088588E" w14:paraId="3F184254" w14:textId="77777777" w:rsidTr="008020CD">
        <w:tc>
          <w:tcPr>
            <w:tcW w:w="2268" w:type="dxa"/>
            <w:tcBorders>
              <w:right w:val="single" w:sz="4" w:space="0" w:color="auto"/>
            </w:tcBorders>
            <w:vAlign w:val="center"/>
          </w:tcPr>
          <w:p w14:paraId="1B862AF5" w14:textId="77777777" w:rsidR="0088588E" w:rsidRPr="00056C41" w:rsidRDefault="0088588E" w:rsidP="008020CD">
            <w:pPr>
              <w:spacing w:after="120"/>
              <w:rPr>
                <w:rFonts w:cs="Arial"/>
              </w:rPr>
            </w:pPr>
            <w:r w:rsidRPr="00056C41">
              <w:rPr>
                <w:rFonts w:cs="Arial"/>
              </w:rPr>
              <w:t>The majority of people…</w:t>
            </w:r>
          </w:p>
        </w:tc>
        <w:tc>
          <w:tcPr>
            <w:tcW w:w="1349" w:type="dxa"/>
            <w:tcBorders>
              <w:left w:val="single" w:sz="4" w:space="0" w:color="auto"/>
              <w:right w:val="single" w:sz="4" w:space="0" w:color="auto"/>
            </w:tcBorders>
            <w:vAlign w:val="center"/>
          </w:tcPr>
          <w:p w14:paraId="4C070A79" w14:textId="77777777" w:rsidR="0088588E" w:rsidRDefault="0088588E" w:rsidP="00056C41">
            <w:pPr>
              <w:spacing w:after="120"/>
              <w:jc w:val="center"/>
              <w:rPr>
                <w:rFonts w:cs="Arial"/>
              </w:rPr>
            </w:pPr>
            <w:r w:rsidRPr="00056C41">
              <w:rPr>
                <w:rFonts w:cs="Arial"/>
              </w:rPr>
              <w:t>49.6</w:t>
            </w:r>
          </w:p>
          <w:p w14:paraId="052AB1BB" w14:textId="0BD048EF" w:rsidR="00DA1B5A" w:rsidRPr="00056C41" w:rsidRDefault="00DA1B5A" w:rsidP="00056C41">
            <w:pPr>
              <w:spacing w:after="120"/>
              <w:jc w:val="center"/>
              <w:rPr>
                <w:rFonts w:cs="Arial"/>
              </w:rPr>
            </w:pPr>
            <w:r w:rsidRPr="00DA1B5A">
              <w:rPr>
                <w:rFonts w:cs="Arial"/>
                <w:sz w:val="18"/>
                <w:szCs w:val="18"/>
              </w:rPr>
              <w:t>(48.4 to 50.9)</w:t>
            </w:r>
          </w:p>
        </w:tc>
        <w:tc>
          <w:tcPr>
            <w:tcW w:w="1350" w:type="dxa"/>
            <w:tcBorders>
              <w:left w:val="single" w:sz="4" w:space="0" w:color="auto"/>
              <w:right w:val="single" w:sz="4" w:space="0" w:color="auto"/>
            </w:tcBorders>
            <w:vAlign w:val="center"/>
          </w:tcPr>
          <w:p w14:paraId="763CB265" w14:textId="77777777" w:rsidR="0088588E" w:rsidRDefault="0088588E" w:rsidP="00056C41">
            <w:pPr>
              <w:spacing w:after="120"/>
              <w:jc w:val="center"/>
              <w:rPr>
                <w:rFonts w:cs="Arial"/>
              </w:rPr>
            </w:pPr>
            <w:r w:rsidRPr="00056C41">
              <w:rPr>
                <w:rFonts w:cs="Arial"/>
              </w:rPr>
              <w:t>52.7</w:t>
            </w:r>
          </w:p>
          <w:p w14:paraId="51F0F34D" w14:textId="786EC6E2" w:rsidR="00DA1B5A" w:rsidRPr="00056C41" w:rsidRDefault="00DA1B5A" w:rsidP="00056C41">
            <w:pPr>
              <w:spacing w:after="120"/>
              <w:jc w:val="center"/>
              <w:rPr>
                <w:rFonts w:cs="Arial"/>
              </w:rPr>
            </w:pPr>
            <w:r w:rsidRPr="00DA1B5A">
              <w:rPr>
                <w:rFonts w:cs="Arial"/>
                <w:sz w:val="18"/>
                <w:szCs w:val="18"/>
              </w:rPr>
              <w:t>(50.6 to 54.8)</w:t>
            </w:r>
          </w:p>
        </w:tc>
        <w:tc>
          <w:tcPr>
            <w:tcW w:w="1349" w:type="dxa"/>
            <w:tcBorders>
              <w:left w:val="single" w:sz="4" w:space="0" w:color="auto"/>
              <w:right w:val="single" w:sz="4" w:space="0" w:color="auto"/>
            </w:tcBorders>
            <w:vAlign w:val="center"/>
          </w:tcPr>
          <w:p w14:paraId="7E971C65" w14:textId="77777777" w:rsidR="0088588E" w:rsidRDefault="0088588E" w:rsidP="00056C41">
            <w:pPr>
              <w:spacing w:after="120"/>
              <w:jc w:val="center"/>
              <w:rPr>
                <w:rFonts w:cs="Arial"/>
              </w:rPr>
            </w:pPr>
            <w:r w:rsidRPr="00056C41">
              <w:rPr>
                <w:rFonts w:cs="Arial"/>
              </w:rPr>
              <w:t>47.7</w:t>
            </w:r>
          </w:p>
          <w:p w14:paraId="23B2BCCC" w14:textId="0A43E6A3" w:rsidR="00DA1B5A" w:rsidRPr="00056C41" w:rsidRDefault="00DA1B5A" w:rsidP="00056C41">
            <w:pPr>
              <w:spacing w:after="120"/>
              <w:jc w:val="center"/>
              <w:rPr>
                <w:rFonts w:cs="Arial"/>
              </w:rPr>
            </w:pPr>
            <w:r w:rsidRPr="00DA1B5A">
              <w:rPr>
                <w:rFonts w:cs="Arial"/>
                <w:sz w:val="18"/>
                <w:szCs w:val="18"/>
              </w:rPr>
              <w:t>(45.6 to 49.7)</w:t>
            </w:r>
          </w:p>
        </w:tc>
        <w:tc>
          <w:tcPr>
            <w:tcW w:w="1350" w:type="dxa"/>
            <w:tcBorders>
              <w:left w:val="single" w:sz="4" w:space="0" w:color="auto"/>
              <w:right w:val="single" w:sz="4" w:space="0" w:color="auto"/>
            </w:tcBorders>
            <w:vAlign w:val="center"/>
          </w:tcPr>
          <w:p w14:paraId="4E831D78" w14:textId="77777777" w:rsidR="00DA1B5A" w:rsidRDefault="0088588E" w:rsidP="00056C41">
            <w:pPr>
              <w:spacing w:after="120"/>
              <w:jc w:val="center"/>
              <w:rPr>
                <w:rFonts w:cs="Arial"/>
              </w:rPr>
            </w:pPr>
            <w:r w:rsidRPr="00056C41">
              <w:rPr>
                <w:rFonts w:cs="Arial"/>
              </w:rPr>
              <w:t>51.3</w:t>
            </w:r>
            <w:r w:rsidR="00DA1B5A">
              <w:rPr>
                <w:rFonts w:cs="Arial"/>
              </w:rPr>
              <w:t xml:space="preserve"> </w:t>
            </w:r>
          </w:p>
          <w:p w14:paraId="1B01A033" w14:textId="76C9BBA2" w:rsidR="0088588E" w:rsidRPr="00056C41" w:rsidRDefault="00DA1B5A" w:rsidP="00056C41">
            <w:pPr>
              <w:spacing w:after="120"/>
              <w:jc w:val="center"/>
              <w:rPr>
                <w:rFonts w:cs="Arial"/>
              </w:rPr>
            </w:pPr>
            <w:r w:rsidRPr="00DA1B5A">
              <w:rPr>
                <w:rFonts w:cs="Arial"/>
                <w:sz w:val="18"/>
                <w:szCs w:val="18"/>
              </w:rPr>
              <w:t>(50.0 to 54.8)</w:t>
            </w:r>
          </w:p>
        </w:tc>
        <w:tc>
          <w:tcPr>
            <w:tcW w:w="1350" w:type="dxa"/>
            <w:tcBorders>
              <w:left w:val="single" w:sz="4" w:space="0" w:color="auto"/>
            </w:tcBorders>
            <w:vAlign w:val="center"/>
          </w:tcPr>
          <w:p w14:paraId="37D311A1" w14:textId="77777777" w:rsidR="0088588E" w:rsidRDefault="0088588E" w:rsidP="00056C41">
            <w:pPr>
              <w:spacing w:after="120"/>
              <w:jc w:val="center"/>
              <w:rPr>
                <w:rFonts w:cs="Arial"/>
              </w:rPr>
            </w:pPr>
            <w:r w:rsidRPr="00056C41">
              <w:rPr>
                <w:rFonts w:cs="Arial"/>
              </w:rPr>
              <w:t>49.8</w:t>
            </w:r>
          </w:p>
          <w:p w14:paraId="286B7FF2" w14:textId="58269EC5" w:rsidR="00DA1B5A" w:rsidRPr="00056C41" w:rsidRDefault="00DA1B5A" w:rsidP="00056C41">
            <w:pPr>
              <w:spacing w:after="120"/>
              <w:jc w:val="center"/>
              <w:rPr>
                <w:rFonts w:cs="Arial"/>
              </w:rPr>
            </w:pPr>
            <w:r w:rsidRPr="00DA1B5A">
              <w:rPr>
                <w:rFonts w:cs="Arial"/>
                <w:sz w:val="18"/>
                <w:szCs w:val="18"/>
              </w:rPr>
              <w:t>(48.9 to 50.7)</w:t>
            </w:r>
          </w:p>
        </w:tc>
      </w:tr>
      <w:tr w:rsidR="0088588E" w:rsidRPr="0088588E" w14:paraId="74B2471F" w14:textId="77777777" w:rsidTr="008020CD">
        <w:tc>
          <w:tcPr>
            <w:tcW w:w="2268" w:type="dxa"/>
            <w:tcBorders>
              <w:right w:val="single" w:sz="4" w:space="0" w:color="auto"/>
            </w:tcBorders>
            <w:vAlign w:val="center"/>
          </w:tcPr>
          <w:p w14:paraId="20B55B12" w14:textId="77777777" w:rsidR="0088588E" w:rsidRPr="00056C41" w:rsidRDefault="0088588E" w:rsidP="008020CD">
            <w:pPr>
              <w:spacing w:after="120"/>
              <w:rPr>
                <w:rFonts w:cs="Arial"/>
              </w:rPr>
            </w:pPr>
            <w:r w:rsidRPr="00056C41">
              <w:rPr>
                <w:rFonts w:cs="Arial"/>
              </w:rPr>
              <w:t>Around half of people…</w:t>
            </w:r>
          </w:p>
        </w:tc>
        <w:tc>
          <w:tcPr>
            <w:tcW w:w="1349" w:type="dxa"/>
            <w:tcBorders>
              <w:left w:val="single" w:sz="4" w:space="0" w:color="auto"/>
              <w:right w:val="single" w:sz="4" w:space="0" w:color="auto"/>
            </w:tcBorders>
            <w:vAlign w:val="center"/>
          </w:tcPr>
          <w:p w14:paraId="29037736" w14:textId="77777777" w:rsidR="0088588E" w:rsidRDefault="0088588E" w:rsidP="00056C41">
            <w:pPr>
              <w:spacing w:after="120"/>
              <w:jc w:val="center"/>
              <w:rPr>
                <w:rFonts w:cs="Arial"/>
              </w:rPr>
            </w:pPr>
            <w:r w:rsidRPr="00056C41">
              <w:rPr>
                <w:rFonts w:cs="Arial"/>
              </w:rPr>
              <w:t>27.3</w:t>
            </w:r>
          </w:p>
          <w:p w14:paraId="6873911C" w14:textId="018578A2" w:rsidR="008A0355" w:rsidRPr="00056C41" w:rsidRDefault="008A0355" w:rsidP="00056C41">
            <w:pPr>
              <w:spacing w:after="120"/>
              <w:jc w:val="center"/>
              <w:rPr>
                <w:rFonts w:cs="Arial"/>
              </w:rPr>
            </w:pPr>
            <w:r w:rsidRPr="008A0355">
              <w:rPr>
                <w:rFonts w:cs="Arial"/>
                <w:sz w:val="18"/>
                <w:szCs w:val="18"/>
              </w:rPr>
              <w:t>(26.2 to 28.4)</w:t>
            </w:r>
          </w:p>
        </w:tc>
        <w:tc>
          <w:tcPr>
            <w:tcW w:w="1350" w:type="dxa"/>
            <w:tcBorders>
              <w:left w:val="single" w:sz="4" w:space="0" w:color="auto"/>
              <w:right w:val="single" w:sz="4" w:space="0" w:color="auto"/>
            </w:tcBorders>
            <w:vAlign w:val="center"/>
          </w:tcPr>
          <w:p w14:paraId="25003E33" w14:textId="77777777" w:rsidR="0088588E" w:rsidRDefault="0088588E" w:rsidP="00056C41">
            <w:pPr>
              <w:spacing w:after="120"/>
              <w:jc w:val="center"/>
              <w:rPr>
                <w:rFonts w:cs="Arial"/>
              </w:rPr>
            </w:pPr>
            <w:r w:rsidRPr="00056C41">
              <w:rPr>
                <w:rFonts w:cs="Arial"/>
              </w:rPr>
              <w:t>26.3</w:t>
            </w:r>
          </w:p>
          <w:p w14:paraId="3492DBA1" w14:textId="4DA9375C" w:rsidR="008A0355" w:rsidRPr="00056C41" w:rsidRDefault="008A0355" w:rsidP="00056C41">
            <w:pPr>
              <w:spacing w:after="120"/>
              <w:jc w:val="center"/>
              <w:rPr>
                <w:rFonts w:cs="Arial"/>
              </w:rPr>
            </w:pPr>
            <w:r w:rsidRPr="008A0355">
              <w:rPr>
                <w:rFonts w:cs="Arial"/>
                <w:sz w:val="18"/>
                <w:szCs w:val="18"/>
              </w:rPr>
              <w:t>(24.5 to 28.2)</w:t>
            </w:r>
          </w:p>
        </w:tc>
        <w:tc>
          <w:tcPr>
            <w:tcW w:w="1349" w:type="dxa"/>
            <w:tcBorders>
              <w:left w:val="single" w:sz="4" w:space="0" w:color="auto"/>
              <w:right w:val="single" w:sz="4" w:space="0" w:color="auto"/>
            </w:tcBorders>
            <w:vAlign w:val="center"/>
          </w:tcPr>
          <w:p w14:paraId="79942DAC" w14:textId="77777777" w:rsidR="0088588E" w:rsidRDefault="0088588E" w:rsidP="00056C41">
            <w:pPr>
              <w:spacing w:after="120"/>
              <w:jc w:val="center"/>
              <w:rPr>
                <w:rFonts w:cs="Arial"/>
              </w:rPr>
            </w:pPr>
            <w:r w:rsidRPr="00056C41">
              <w:rPr>
                <w:rFonts w:cs="Arial"/>
              </w:rPr>
              <w:t>28.5</w:t>
            </w:r>
          </w:p>
          <w:p w14:paraId="01007E04" w14:textId="4D4789C7" w:rsidR="008A0355" w:rsidRPr="00056C41" w:rsidRDefault="008A0355" w:rsidP="00056C41">
            <w:pPr>
              <w:spacing w:after="120"/>
              <w:jc w:val="center"/>
              <w:rPr>
                <w:rFonts w:cs="Arial"/>
              </w:rPr>
            </w:pPr>
            <w:r w:rsidRPr="008A0355">
              <w:rPr>
                <w:rFonts w:cs="Arial"/>
                <w:sz w:val="18"/>
                <w:szCs w:val="18"/>
              </w:rPr>
              <w:t>(26.6 to 30.4)</w:t>
            </w:r>
          </w:p>
        </w:tc>
        <w:tc>
          <w:tcPr>
            <w:tcW w:w="1350" w:type="dxa"/>
            <w:tcBorders>
              <w:left w:val="single" w:sz="4" w:space="0" w:color="auto"/>
              <w:right w:val="single" w:sz="4" w:space="0" w:color="auto"/>
            </w:tcBorders>
            <w:vAlign w:val="center"/>
          </w:tcPr>
          <w:p w14:paraId="03F3F0D2" w14:textId="77777777" w:rsidR="0088588E" w:rsidRDefault="0088588E" w:rsidP="00056C41">
            <w:pPr>
              <w:spacing w:after="120"/>
              <w:jc w:val="center"/>
              <w:rPr>
                <w:rFonts w:cs="Arial"/>
              </w:rPr>
            </w:pPr>
            <w:r w:rsidRPr="00056C41">
              <w:rPr>
                <w:rFonts w:cs="Arial"/>
              </w:rPr>
              <w:t>25.6</w:t>
            </w:r>
          </w:p>
          <w:p w14:paraId="0AEF20B8" w14:textId="4F98D0B7" w:rsidR="008A0355" w:rsidRPr="00056C41" w:rsidRDefault="008A0355" w:rsidP="00056C41">
            <w:pPr>
              <w:spacing w:after="120"/>
              <w:jc w:val="center"/>
              <w:rPr>
                <w:rFonts w:cs="Arial"/>
              </w:rPr>
            </w:pPr>
            <w:r w:rsidRPr="008A0355">
              <w:rPr>
                <w:rFonts w:cs="Arial"/>
                <w:sz w:val="18"/>
                <w:szCs w:val="18"/>
              </w:rPr>
              <w:t>(24.4 to 26.8)</w:t>
            </w:r>
          </w:p>
        </w:tc>
        <w:tc>
          <w:tcPr>
            <w:tcW w:w="1350" w:type="dxa"/>
            <w:tcBorders>
              <w:left w:val="single" w:sz="4" w:space="0" w:color="auto"/>
            </w:tcBorders>
            <w:vAlign w:val="center"/>
          </w:tcPr>
          <w:p w14:paraId="2A0EC34D" w14:textId="77777777" w:rsidR="008A0355" w:rsidRDefault="0088588E" w:rsidP="00056C41">
            <w:pPr>
              <w:spacing w:after="120"/>
              <w:jc w:val="center"/>
              <w:rPr>
                <w:rFonts w:cs="Arial"/>
              </w:rPr>
            </w:pPr>
            <w:r w:rsidRPr="00056C41">
              <w:rPr>
                <w:rFonts w:cs="Arial"/>
              </w:rPr>
              <w:t>25.9</w:t>
            </w:r>
            <w:r w:rsidR="008A0355">
              <w:rPr>
                <w:rFonts w:cs="Arial"/>
              </w:rPr>
              <w:t xml:space="preserve"> </w:t>
            </w:r>
          </w:p>
          <w:p w14:paraId="12C6EE57" w14:textId="5FD92FE1" w:rsidR="0088588E" w:rsidRPr="00056C41" w:rsidRDefault="008A0355" w:rsidP="00056C41">
            <w:pPr>
              <w:spacing w:after="120"/>
              <w:jc w:val="center"/>
              <w:rPr>
                <w:rFonts w:cs="Arial"/>
              </w:rPr>
            </w:pPr>
            <w:r w:rsidRPr="008A0355">
              <w:rPr>
                <w:rFonts w:cs="Arial"/>
                <w:sz w:val="18"/>
                <w:szCs w:val="18"/>
              </w:rPr>
              <w:t>(25.1 to 26.6)</w:t>
            </w:r>
          </w:p>
        </w:tc>
      </w:tr>
      <w:tr w:rsidR="0088588E" w:rsidRPr="0088588E" w14:paraId="2B8702E2" w14:textId="77777777" w:rsidTr="008020CD">
        <w:tc>
          <w:tcPr>
            <w:tcW w:w="2268" w:type="dxa"/>
            <w:tcBorders>
              <w:right w:val="single" w:sz="4" w:space="0" w:color="auto"/>
            </w:tcBorders>
            <w:vAlign w:val="center"/>
          </w:tcPr>
          <w:p w14:paraId="765F6BB4" w14:textId="77777777" w:rsidR="0088588E" w:rsidRPr="00056C41" w:rsidRDefault="0088588E" w:rsidP="008020CD">
            <w:pPr>
              <w:spacing w:after="120"/>
              <w:rPr>
                <w:rFonts w:cs="Arial"/>
              </w:rPr>
            </w:pPr>
            <w:r w:rsidRPr="00056C41">
              <w:rPr>
                <w:rFonts w:cs="Arial"/>
              </w:rPr>
              <w:t>Only a minority of people…</w:t>
            </w:r>
          </w:p>
        </w:tc>
        <w:tc>
          <w:tcPr>
            <w:tcW w:w="1349" w:type="dxa"/>
            <w:tcBorders>
              <w:left w:val="single" w:sz="4" w:space="0" w:color="auto"/>
              <w:right w:val="single" w:sz="4" w:space="0" w:color="auto"/>
            </w:tcBorders>
            <w:vAlign w:val="center"/>
          </w:tcPr>
          <w:p w14:paraId="7606A03F" w14:textId="77777777" w:rsidR="0088588E" w:rsidRDefault="0088588E" w:rsidP="00056C41">
            <w:pPr>
              <w:spacing w:after="120"/>
              <w:jc w:val="center"/>
              <w:rPr>
                <w:rFonts w:cs="Arial"/>
              </w:rPr>
            </w:pPr>
            <w:r w:rsidRPr="00056C41">
              <w:rPr>
                <w:rFonts w:cs="Arial"/>
              </w:rPr>
              <w:t>9.5</w:t>
            </w:r>
          </w:p>
          <w:p w14:paraId="45B3CF27" w14:textId="5933A469" w:rsidR="008A0355" w:rsidRPr="00056C41" w:rsidRDefault="008A0355" w:rsidP="00056C41">
            <w:pPr>
              <w:spacing w:after="120"/>
              <w:jc w:val="center"/>
              <w:rPr>
                <w:rFonts w:cs="Arial"/>
              </w:rPr>
            </w:pPr>
            <w:r w:rsidRPr="008A0355">
              <w:rPr>
                <w:rFonts w:cs="Arial"/>
                <w:sz w:val="18"/>
                <w:szCs w:val="18"/>
              </w:rPr>
              <w:t>(8.8 to 10.3)</w:t>
            </w:r>
          </w:p>
        </w:tc>
        <w:tc>
          <w:tcPr>
            <w:tcW w:w="1350" w:type="dxa"/>
            <w:tcBorders>
              <w:left w:val="single" w:sz="4" w:space="0" w:color="auto"/>
              <w:right w:val="single" w:sz="4" w:space="0" w:color="auto"/>
            </w:tcBorders>
            <w:vAlign w:val="center"/>
          </w:tcPr>
          <w:p w14:paraId="37DF7F64" w14:textId="77777777" w:rsidR="0088588E" w:rsidRDefault="0088588E" w:rsidP="00056C41">
            <w:pPr>
              <w:spacing w:after="120"/>
              <w:jc w:val="center"/>
              <w:rPr>
                <w:rFonts w:cs="Arial"/>
              </w:rPr>
            </w:pPr>
            <w:r w:rsidRPr="00056C41">
              <w:rPr>
                <w:rFonts w:cs="Arial"/>
              </w:rPr>
              <w:t>7.7</w:t>
            </w:r>
          </w:p>
          <w:p w14:paraId="1E1EE143" w14:textId="315FF80B" w:rsidR="008A0355" w:rsidRPr="00056C41" w:rsidRDefault="008A0355" w:rsidP="00056C41">
            <w:pPr>
              <w:spacing w:after="120"/>
              <w:jc w:val="center"/>
              <w:rPr>
                <w:rFonts w:cs="Arial"/>
              </w:rPr>
            </w:pPr>
            <w:r w:rsidRPr="008A0355">
              <w:rPr>
                <w:rFonts w:cs="Arial"/>
                <w:sz w:val="18"/>
                <w:szCs w:val="18"/>
              </w:rPr>
              <w:t>(6.6 to 8.9)</w:t>
            </w:r>
          </w:p>
        </w:tc>
        <w:tc>
          <w:tcPr>
            <w:tcW w:w="1349" w:type="dxa"/>
            <w:tcBorders>
              <w:left w:val="single" w:sz="4" w:space="0" w:color="auto"/>
              <w:right w:val="single" w:sz="4" w:space="0" w:color="auto"/>
            </w:tcBorders>
            <w:vAlign w:val="center"/>
          </w:tcPr>
          <w:p w14:paraId="3A165CF0" w14:textId="77777777" w:rsidR="0088588E" w:rsidRDefault="0088588E" w:rsidP="00056C41">
            <w:pPr>
              <w:spacing w:after="120"/>
              <w:jc w:val="center"/>
              <w:rPr>
                <w:rFonts w:cs="Arial"/>
              </w:rPr>
            </w:pPr>
            <w:r w:rsidRPr="00056C41">
              <w:rPr>
                <w:rFonts w:cs="Arial"/>
              </w:rPr>
              <w:t>9.4</w:t>
            </w:r>
          </w:p>
          <w:p w14:paraId="21B495DE" w14:textId="308B4628" w:rsidR="008A0355" w:rsidRPr="00056C41" w:rsidRDefault="008A0355" w:rsidP="00056C41">
            <w:pPr>
              <w:spacing w:after="120"/>
              <w:jc w:val="center"/>
              <w:rPr>
                <w:rFonts w:cs="Arial"/>
              </w:rPr>
            </w:pPr>
            <w:r w:rsidRPr="008A0355">
              <w:rPr>
                <w:rFonts w:cs="Arial"/>
                <w:sz w:val="18"/>
                <w:szCs w:val="18"/>
              </w:rPr>
              <w:t>(8.2 to 10.7)</w:t>
            </w:r>
          </w:p>
        </w:tc>
        <w:tc>
          <w:tcPr>
            <w:tcW w:w="1350" w:type="dxa"/>
            <w:tcBorders>
              <w:left w:val="single" w:sz="4" w:space="0" w:color="auto"/>
              <w:right w:val="single" w:sz="4" w:space="0" w:color="auto"/>
            </w:tcBorders>
            <w:vAlign w:val="center"/>
          </w:tcPr>
          <w:p w14:paraId="62CA0D32" w14:textId="77777777" w:rsidR="0088588E" w:rsidRDefault="0088588E" w:rsidP="00056C41">
            <w:pPr>
              <w:spacing w:after="120"/>
              <w:jc w:val="center"/>
              <w:rPr>
                <w:rFonts w:cs="Arial"/>
              </w:rPr>
            </w:pPr>
            <w:r w:rsidRPr="00056C41">
              <w:rPr>
                <w:rFonts w:cs="Arial"/>
              </w:rPr>
              <w:t>8.8</w:t>
            </w:r>
          </w:p>
          <w:p w14:paraId="27E626EA" w14:textId="0668BDED" w:rsidR="008A0355" w:rsidRPr="00056C41" w:rsidRDefault="008A0355" w:rsidP="00056C41">
            <w:pPr>
              <w:spacing w:after="120"/>
              <w:jc w:val="center"/>
              <w:rPr>
                <w:rFonts w:cs="Arial"/>
              </w:rPr>
            </w:pPr>
            <w:r w:rsidRPr="008A0355">
              <w:rPr>
                <w:rFonts w:cs="Arial"/>
                <w:sz w:val="18"/>
                <w:szCs w:val="18"/>
              </w:rPr>
              <w:t>(8.0 to 9.6)</w:t>
            </w:r>
          </w:p>
        </w:tc>
        <w:tc>
          <w:tcPr>
            <w:tcW w:w="1350" w:type="dxa"/>
            <w:tcBorders>
              <w:left w:val="single" w:sz="4" w:space="0" w:color="auto"/>
            </w:tcBorders>
            <w:vAlign w:val="center"/>
          </w:tcPr>
          <w:p w14:paraId="02A1B890" w14:textId="77777777" w:rsidR="0088588E" w:rsidRDefault="0088588E" w:rsidP="00056C41">
            <w:pPr>
              <w:spacing w:after="120"/>
              <w:jc w:val="center"/>
              <w:rPr>
                <w:rFonts w:cs="Arial"/>
              </w:rPr>
            </w:pPr>
            <w:r w:rsidRPr="00056C41">
              <w:rPr>
                <w:rFonts w:cs="Arial"/>
              </w:rPr>
              <w:t>9.0</w:t>
            </w:r>
          </w:p>
          <w:p w14:paraId="436F9A80" w14:textId="6743D86D" w:rsidR="008A0355" w:rsidRPr="00056C41" w:rsidRDefault="008A0355" w:rsidP="00056C41">
            <w:pPr>
              <w:spacing w:after="120"/>
              <w:jc w:val="center"/>
              <w:rPr>
                <w:rFonts w:cs="Arial"/>
              </w:rPr>
            </w:pPr>
            <w:r w:rsidRPr="008A0355">
              <w:rPr>
                <w:rFonts w:cs="Arial"/>
                <w:sz w:val="18"/>
                <w:szCs w:val="18"/>
              </w:rPr>
              <w:t>(8.5 to 9.6)</w:t>
            </w:r>
          </w:p>
        </w:tc>
      </w:tr>
      <w:tr w:rsidR="0088588E" w:rsidRPr="0088588E" w14:paraId="215F6826" w14:textId="77777777" w:rsidTr="008020CD">
        <w:tc>
          <w:tcPr>
            <w:tcW w:w="2268" w:type="dxa"/>
            <w:tcBorders>
              <w:bottom w:val="single" w:sz="4" w:space="0" w:color="auto"/>
              <w:right w:val="single" w:sz="4" w:space="0" w:color="auto"/>
            </w:tcBorders>
            <w:vAlign w:val="center"/>
          </w:tcPr>
          <w:p w14:paraId="75865E88" w14:textId="77777777" w:rsidR="0088588E" w:rsidRPr="00056C41" w:rsidRDefault="0088588E" w:rsidP="008020CD">
            <w:pPr>
              <w:spacing w:after="120"/>
              <w:rPr>
                <w:rFonts w:cs="Arial"/>
              </w:rPr>
            </w:pPr>
            <w:r w:rsidRPr="00056C41">
              <w:rPr>
                <w:rFonts w:cs="Arial"/>
              </w:rPr>
              <w:t>Hardly anyone…</w:t>
            </w:r>
          </w:p>
        </w:tc>
        <w:tc>
          <w:tcPr>
            <w:tcW w:w="1349" w:type="dxa"/>
            <w:tcBorders>
              <w:left w:val="single" w:sz="4" w:space="0" w:color="auto"/>
              <w:bottom w:val="single" w:sz="4" w:space="0" w:color="auto"/>
              <w:right w:val="single" w:sz="4" w:space="0" w:color="auto"/>
            </w:tcBorders>
            <w:vAlign w:val="center"/>
          </w:tcPr>
          <w:p w14:paraId="210030BA" w14:textId="77777777" w:rsidR="0088588E" w:rsidRDefault="0088588E" w:rsidP="00056C41">
            <w:pPr>
              <w:spacing w:after="120"/>
              <w:jc w:val="center"/>
              <w:rPr>
                <w:rFonts w:cs="Arial"/>
              </w:rPr>
            </w:pPr>
            <w:r w:rsidRPr="00056C41">
              <w:rPr>
                <w:rFonts w:cs="Arial"/>
              </w:rPr>
              <w:t>1.6</w:t>
            </w:r>
          </w:p>
          <w:p w14:paraId="3EE57DB8" w14:textId="4AD99786" w:rsidR="008A0355" w:rsidRPr="00056C41" w:rsidRDefault="008A0355" w:rsidP="00056C41">
            <w:pPr>
              <w:spacing w:after="120"/>
              <w:jc w:val="center"/>
              <w:rPr>
                <w:rFonts w:cs="Arial"/>
              </w:rPr>
            </w:pPr>
            <w:r w:rsidRPr="0055191A">
              <w:rPr>
                <w:rFonts w:cs="Arial"/>
                <w:sz w:val="18"/>
                <w:szCs w:val="18"/>
              </w:rPr>
              <w:t>(</w:t>
            </w:r>
            <w:r w:rsidR="008020CD" w:rsidRPr="0055191A">
              <w:rPr>
                <w:rFonts w:cs="Arial"/>
                <w:sz w:val="18"/>
                <w:szCs w:val="18"/>
              </w:rPr>
              <w:t>1.3 to 2.0)</w:t>
            </w:r>
          </w:p>
        </w:tc>
        <w:tc>
          <w:tcPr>
            <w:tcW w:w="1350" w:type="dxa"/>
            <w:tcBorders>
              <w:left w:val="single" w:sz="4" w:space="0" w:color="auto"/>
              <w:bottom w:val="single" w:sz="4" w:space="0" w:color="auto"/>
              <w:right w:val="single" w:sz="4" w:space="0" w:color="auto"/>
            </w:tcBorders>
            <w:vAlign w:val="center"/>
          </w:tcPr>
          <w:p w14:paraId="6CD1B892" w14:textId="77777777" w:rsidR="0088588E" w:rsidRDefault="0088588E" w:rsidP="00056C41">
            <w:pPr>
              <w:spacing w:after="120"/>
              <w:jc w:val="center"/>
              <w:rPr>
                <w:rFonts w:cs="Arial"/>
              </w:rPr>
            </w:pPr>
            <w:r w:rsidRPr="00056C41">
              <w:rPr>
                <w:rFonts w:cs="Arial"/>
              </w:rPr>
              <w:t>1.2</w:t>
            </w:r>
          </w:p>
          <w:p w14:paraId="0514CE7E" w14:textId="21B9CD8A" w:rsidR="008020CD" w:rsidRPr="00056C41" w:rsidRDefault="008020CD" w:rsidP="00056C41">
            <w:pPr>
              <w:spacing w:after="120"/>
              <w:jc w:val="center"/>
              <w:rPr>
                <w:rFonts w:cs="Arial"/>
              </w:rPr>
            </w:pPr>
            <w:r w:rsidRPr="0055191A">
              <w:rPr>
                <w:rFonts w:cs="Arial"/>
                <w:sz w:val="18"/>
                <w:szCs w:val="18"/>
              </w:rPr>
              <w:t>(0.8 to 2.0)</w:t>
            </w:r>
          </w:p>
        </w:tc>
        <w:tc>
          <w:tcPr>
            <w:tcW w:w="1349" w:type="dxa"/>
            <w:tcBorders>
              <w:left w:val="single" w:sz="4" w:space="0" w:color="auto"/>
              <w:bottom w:val="single" w:sz="4" w:space="0" w:color="auto"/>
              <w:right w:val="single" w:sz="4" w:space="0" w:color="auto"/>
            </w:tcBorders>
            <w:vAlign w:val="center"/>
          </w:tcPr>
          <w:p w14:paraId="5609C617" w14:textId="77777777" w:rsidR="0088588E" w:rsidRDefault="0088588E" w:rsidP="00056C41">
            <w:pPr>
              <w:spacing w:after="120"/>
              <w:jc w:val="center"/>
              <w:rPr>
                <w:rFonts w:cs="Arial"/>
              </w:rPr>
            </w:pPr>
            <w:r w:rsidRPr="00056C41">
              <w:rPr>
                <w:rFonts w:cs="Arial"/>
              </w:rPr>
              <w:t>1.8</w:t>
            </w:r>
          </w:p>
          <w:p w14:paraId="0A4278AA" w14:textId="46DA82B5" w:rsidR="008020CD" w:rsidRPr="00056C41" w:rsidRDefault="008020CD" w:rsidP="00056C41">
            <w:pPr>
              <w:spacing w:after="120"/>
              <w:jc w:val="center"/>
              <w:rPr>
                <w:rFonts w:cs="Arial"/>
              </w:rPr>
            </w:pPr>
            <w:r w:rsidRPr="0055191A">
              <w:rPr>
                <w:rFonts w:cs="Arial"/>
                <w:sz w:val="18"/>
                <w:szCs w:val="18"/>
              </w:rPr>
              <w:t>(1.1 to 2.9)</w:t>
            </w:r>
          </w:p>
        </w:tc>
        <w:tc>
          <w:tcPr>
            <w:tcW w:w="1350" w:type="dxa"/>
            <w:tcBorders>
              <w:left w:val="single" w:sz="4" w:space="0" w:color="auto"/>
              <w:bottom w:val="single" w:sz="4" w:space="0" w:color="auto"/>
              <w:right w:val="single" w:sz="4" w:space="0" w:color="auto"/>
            </w:tcBorders>
            <w:vAlign w:val="center"/>
          </w:tcPr>
          <w:p w14:paraId="571DF76D" w14:textId="2482707C" w:rsidR="0088588E" w:rsidRDefault="008020CD" w:rsidP="00056C41">
            <w:pPr>
              <w:spacing w:after="120"/>
              <w:jc w:val="center"/>
              <w:rPr>
                <w:rFonts w:cs="Arial"/>
              </w:rPr>
            </w:pPr>
            <w:r>
              <w:rPr>
                <w:rFonts w:cs="Arial"/>
              </w:rPr>
              <w:t>0.9</w:t>
            </w:r>
          </w:p>
          <w:p w14:paraId="331BD0C6" w14:textId="3ACD5FCB" w:rsidR="008020CD" w:rsidRPr="00056C41" w:rsidRDefault="008020CD" w:rsidP="00056C41">
            <w:pPr>
              <w:spacing w:after="120"/>
              <w:jc w:val="center"/>
              <w:rPr>
                <w:rFonts w:cs="Arial"/>
              </w:rPr>
            </w:pPr>
            <w:r w:rsidRPr="0055191A">
              <w:rPr>
                <w:rFonts w:cs="Arial"/>
                <w:sz w:val="18"/>
                <w:szCs w:val="18"/>
              </w:rPr>
              <w:t>(</w:t>
            </w:r>
            <w:r w:rsidR="00676F26" w:rsidRPr="0055191A">
              <w:rPr>
                <w:rFonts w:cs="Arial"/>
                <w:sz w:val="18"/>
                <w:szCs w:val="18"/>
              </w:rPr>
              <w:t xml:space="preserve">0.6 </w:t>
            </w:r>
            <w:r w:rsidRPr="0055191A">
              <w:rPr>
                <w:rFonts w:cs="Arial"/>
                <w:sz w:val="18"/>
                <w:szCs w:val="18"/>
              </w:rPr>
              <w:t>to 1.2)</w:t>
            </w:r>
          </w:p>
        </w:tc>
        <w:tc>
          <w:tcPr>
            <w:tcW w:w="1350" w:type="dxa"/>
            <w:tcBorders>
              <w:left w:val="single" w:sz="4" w:space="0" w:color="auto"/>
              <w:bottom w:val="single" w:sz="4" w:space="0" w:color="auto"/>
            </w:tcBorders>
            <w:vAlign w:val="center"/>
          </w:tcPr>
          <w:p w14:paraId="3043F0AC" w14:textId="77777777" w:rsidR="0088588E" w:rsidRDefault="0088588E" w:rsidP="00056C41">
            <w:pPr>
              <w:spacing w:after="120"/>
              <w:jc w:val="center"/>
              <w:rPr>
                <w:rFonts w:cs="Arial"/>
              </w:rPr>
            </w:pPr>
            <w:r w:rsidRPr="00056C41">
              <w:rPr>
                <w:rFonts w:cs="Arial"/>
              </w:rPr>
              <w:t>1.7</w:t>
            </w:r>
          </w:p>
          <w:p w14:paraId="4D250C8D" w14:textId="14B3472A" w:rsidR="008020CD" w:rsidRPr="00056C41" w:rsidRDefault="008020CD" w:rsidP="00056C41">
            <w:pPr>
              <w:spacing w:after="120"/>
              <w:jc w:val="center"/>
              <w:rPr>
                <w:rFonts w:cs="Arial"/>
              </w:rPr>
            </w:pPr>
            <w:r w:rsidRPr="0055191A">
              <w:rPr>
                <w:rFonts w:cs="Arial"/>
                <w:sz w:val="18"/>
                <w:szCs w:val="18"/>
              </w:rPr>
              <w:t>(</w:t>
            </w:r>
            <w:r w:rsidR="00676F26" w:rsidRPr="0055191A">
              <w:rPr>
                <w:rFonts w:cs="Arial"/>
                <w:sz w:val="18"/>
                <w:szCs w:val="18"/>
              </w:rPr>
              <w:t>1.4 to 1.9)</w:t>
            </w:r>
          </w:p>
        </w:tc>
      </w:tr>
    </w:tbl>
    <w:p w14:paraId="78DCA983" w14:textId="60F4EF3C" w:rsidR="0088588E" w:rsidRDefault="0088588E" w:rsidP="0088588E">
      <w:pPr>
        <w:pBdr>
          <w:top w:val="nil"/>
          <w:left w:val="nil"/>
          <w:bottom w:val="nil"/>
          <w:right w:val="nil"/>
          <w:between w:val="nil"/>
        </w:pBdr>
        <w:spacing w:after="200" w:line="240" w:lineRule="auto"/>
        <w:ind w:right="379"/>
        <w:jc w:val="right"/>
        <w:rPr>
          <w:i/>
          <w:color w:val="1D1D1B"/>
          <w:sz w:val="18"/>
          <w:szCs w:val="18"/>
        </w:rPr>
      </w:pPr>
      <w:r>
        <w:rPr>
          <w:i/>
          <w:color w:val="1D1D1B"/>
          <w:sz w:val="18"/>
          <w:szCs w:val="18"/>
        </w:rPr>
        <w:t>YouGov Welfare Tracker surveys (total N=40,817)</w:t>
      </w:r>
    </w:p>
    <w:p w14:paraId="1E0A48D0" w14:textId="77777777" w:rsidR="0088588E" w:rsidRPr="0088588E" w:rsidRDefault="0088588E" w:rsidP="008D7EF2">
      <w:pPr>
        <w:rPr>
          <w:b/>
          <w:bCs/>
        </w:rPr>
      </w:pPr>
    </w:p>
    <w:sectPr w:rsidR="0088588E" w:rsidRPr="0088588E" w:rsidSect="007A5C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D8C1" w14:textId="77777777" w:rsidR="00ED06DF" w:rsidRDefault="00ED06DF" w:rsidP="00585425">
      <w:pPr>
        <w:spacing w:after="0" w:line="240" w:lineRule="auto"/>
      </w:pPr>
      <w:r>
        <w:separator/>
      </w:r>
    </w:p>
  </w:endnote>
  <w:endnote w:type="continuationSeparator" w:id="0">
    <w:p w14:paraId="74A73F8F" w14:textId="77777777" w:rsidR="00ED06DF" w:rsidRDefault="00ED06DF" w:rsidP="0058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eplica Pro">
    <w:altName w:val="Calibri"/>
    <w:panose1 w:val="020B0504020101020102"/>
    <w:charset w:val="00"/>
    <w:family w:val="swiss"/>
    <w:notTrueType/>
    <w:pitch w:val="variable"/>
    <w:sig w:usb0="A00000BF" w:usb1="4000206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EF73" w14:textId="77777777" w:rsidR="00ED06DF" w:rsidRDefault="00ED06DF" w:rsidP="00585425">
      <w:pPr>
        <w:spacing w:after="0" w:line="240" w:lineRule="auto"/>
      </w:pPr>
      <w:r>
        <w:separator/>
      </w:r>
    </w:p>
  </w:footnote>
  <w:footnote w:type="continuationSeparator" w:id="0">
    <w:p w14:paraId="64EBB157" w14:textId="77777777" w:rsidR="00ED06DF" w:rsidRDefault="00ED06DF" w:rsidP="00585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5B"/>
    <w:multiLevelType w:val="hybridMultilevel"/>
    <w:tmpl w:val="B4D4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4173F"/>
    <w:multiLevelType w:val="multilevel"/>
    <w:tmpl w:val="FC62DDD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94265B"/>
    <w:multiLevelType w:val="hybridMultilevel"/>
    <w:tmpl w:val="511AEA3E"/>
    <w:lvl w:ilvl="0" w:tplc="1304FC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5537662">
    <w:abstractNumId w:val="1"/>
  </w:num>
  <w:num w:numId="2" w16cid:durableId="1001542662">
    <w:abstractNumId w:val="0"/>
  </w:num>
  <w:num w:numId="3" w16cid:durableId="1089929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3B"/>
    <w:rsid w:val="00006C54"/>
    <w:rsid w:val="00012803"/>
    <w:rsid w:val="00056C41"/>
    <w:rsid w:val="00076D1F"/>
    <w:rsid w:val="000A2275"/>
    <w:rsid w:val="000B6234"/>
    <w:rsid w:val="000D1424"/>
    <w:rsid w:val="00104D2D"/>
    <w:rsid w:val="00157DEA"/>
    <w:rsid w:val="00220B38"/>
    <w:rsid w:val="002369CA"/>
    <w:rsid w:val="002E748A"/>
    <w:rsid w:val="003525C9"/>
    <w:rsid w:val="003566CE"/>
    <w:rsid w:val="00430299"/>
    <w:rsid w:val="00437C55"/>
    <w:rsid w:val="00463F47"/>
    <w:rsid w:val="00514A32"/>
    <w:rsid w:val="005362B1"/>
    <w:rsid w:val="00545632"/>
    <w:rsid w:val="0055191A"/>
    <w:rsid w:val="00585425"/>
    <w:rsid w:val="00593D23"/>
    <w:rsid w:val="005E0342"/>
    <w:rsid w:val="005F4AE6"/>
    <w:rsid w:val="0061679D"/>
    <w:rsid w:val="00656A21"/>
    <w:rsid w:val="00676F26"/>
    <w:rsid w:val="007A1DB7"/>
    <w:rsid w:val="007A5C54"/>
    <w:rsid w:val="007B7F3B"/>
    <w:rsid w:val="008020CD"/>
    <w:rsid w:val="00806647"/>
    <w:rsid w:val="00830AD8"/>
    <w:rsid w:val="00840A74"/>
    <w:rsid w:val="00841357"/>
    <w:rsid w:val="00844A05"/>
    <w:rsid w:val="00846621"/>
    <w:rsid w:val="0086407D"/>
    <w:rsid w:val="0088588E"/>
    <w:rsid w:val="008A0355"/>
    <w:rsid w:val="008D7EF2"/>
    <w:rsid w:val="00956AEE"/>
    <w:rsid w:val="00970087"/>
    <w:rsid w:val="00975CE8"/>
    <w:rsid w:val="009B1447"/>
    <w:rsid w:val="00A82106"/>
    <w:rsid w:val="00B00699"/>
    <w:rsid w:val="00B87338"/>
    <w:rsid w:val="00BA725A"/>
    <w:rsid w:val="00CC1D6A"/>
    <w:rsid w:val="00CE0FFF"/>
    <w:rsid w:val="00CE6CD3"/>
    <w:rsid w:val="00CF1C32"/>
    <w:rsid w:val="00D15AA6"/>
    <w:rsid w:val="00DA1B5A"/>
    <w:rsid w:val="00E2261B"/>
    <w:rsid w:val="00E94255"/>
    <w:rsid w:val="00ED06DF"/>
    <w:rsid w:val="00EF79B0"/>
    <w:rsid w:val="00F91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7068C"/>
  <w15:chartTrackingRefBased/>
  <w15:docId w15:val="{6E6587A8-5462-48BA-A662-C159B085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425"/>
    <w:rPr>
      <w:rFonts w:ascii="Arial" w:hAnsi="Arial"/>
    </w:rPr>
  </w:style>
  <w:style w:type="paragraph" w:styleId="Heading1">
    <w:name w:val="heading 1"/>
    <w:basedOn w:val="Normal"/>
    <w:next w:val="Normal"/>
    <w:link w:val="Heading1Char"/>
    <w:uiPriority w:val="9"/>
    <w:qFormat/>
    <w:rsid w:val="00844A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5425"/>
    <w:pPr>
      <w:keepNext/>
      <w:keepLines/>
      <w:spacing w:before="360" w:after="6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585425"/>
    <w:pPr>
      <w:keepNext/>
      <w:keepLines/>
      <w:spacing w:before="360" w:after="0"/>
      <w:outlineLvl w:val="2"/>
    </w:pPr>
    <w:rPr>
      <w:rFonts w:asciiTheme="majorHAnsi" w:eastAsiaTheme="majorEastAsia" w:hAnsiTheme="majorHAnsi" w:cstheme="majorBidi"/>
      <w:i/>
      <w:color w:val="1F3763" w:themeColor="accent1" w:themeShade="7F"/>
      <w:sz w:val="24"/>
      <w:szCs w:val="24"/>
    </w:rPr>
  </w:style>
  <w:style w:type="paragraph" w:styleId="Heading5">
    <w:name w:val="heading 5"/>
    <w:basedOn w:val="Normal"/>
    <w:next w:val="Normal"/>
    <w:link w:val="Heading5Char"/>
    <w:uiPriority w:val="9"/>
    <w:unhideWhenUsed/>
    <w:qFormat/>
    <w:rsid w:val="00585425"/>
    <w:pPr>
      <w:keepNext/>
      <w:keepLines/>
      <w:spacing w:before="240" w:after="60"/>
      <w:jc w:val="center"/>
      <w:outlineLvl w:val="4"/>
    </w:pPr>
    <w:rPr>
      <w:rFonts w:ascii="Replica Pro" w:eastAsiaTheme="majorEastAsia" w:hAnsi="Replica Pro"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425"/>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585425"/>
    <w:rPr>
      <w:rFonts w:asciiTheme="majorHAnsi" w:eastAsiaTheme="majorEastAsia" w:hAnsiTheme="majorHAnsi" w:cstheme="majorBidi"/>
      <w:i/>
      <w:color w:val="1F3763" w:themeColor="accent1" w:themeShade="7F"/>
      <w:sz w:val="24"/>
      <w:szCs w:val="24"/>
    </w:rPr>
  </w:style>
  <w:style w:type="character" w:customStyle="1" w:styleId="Heading5Char">
    <w:name w:val="Heading 5 Char"/>
    <w:basedOn w:val="DefaultParagraphFont"/>
    <w:link w:val="Heading5"/>
    <w:uiPriority w:val="9"/>
    <w:rsid w:val="00585425"/>
    <w:rPr>
      <w:rFonts w:ascii="Replica Pro" w:eastAsiaTheme="majorEastAsia" w:hAnsi="Replica Pro" w:cstheme="majorBidi"/>
      <w:b/>
      <w:color w:val="2F5496" w:themeColor="accent1" w:themeShade="BF"/>
    </w:rPr>
  </w:style>
  <w:style w:type="paragraph" w:styleId="Header">
    <w:name w:val="header"/>
    <w:basedOn w:val="Normal"/>
    <w:link w:val="HeaderChar"/>
    <w:uiPriority w:val="99"/>
    <w:unhideWhenUsed/>
    <w:rsid w:val="00585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425"/>
    <w:rPr>
      <w:rFonts w:ascii="Arial" w:hAnsi="Arial"/>
    </w:rPr>
  </w:style>
  <w:style w:type="paragraph" w:styleId="Footer">
    <w:name w:val="footer"/>
    <w:basedOn w:val="Normal"/>
    <w:link w:val="FooterChar"/>
    <w:uiPriority w:val="99"/>
    <w:unhideWhenUsed/>
    <w:rsid w:val="00585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425"/>
    <w:rPr>
      <w:rFonts w:ascii="Arial" w:hAnsi="Arial"/>
    </w:rPr>
  </w:style>
  <w:style w:type="table" w:styleId="TableGrid">
    <w:name w:val="Table Grid"/>
    <w:basedOn w:val="TableNormal"/>
    <w:uiPriority w:val="39"/>
    <w:rsid w:val="005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425"/>
    <w:rPr>
      <w:color w:val="0563C1" w:themeColor="hyperlink"/>
      <w:u w:val="single"/>
    </w:rPr>
  </w:style>
  <w:style w:type="character" w:styleId="FootnoteReference">
    <w:name w:val="footnote reference"/>
    <w:basedOn w:val="DefaultParagraphFont"/>
    <w:uiPriority w:val="99"/>
    <w:semiHidden/>
    <w:unhideWhenUsed/>
    <w:rsid w:val="00585425"/>
    <w:rPr>
      <w:vertAlign w:val="superscript"/>
    </w:rPr>
  </w:style>
  <w:style w:type="paragraph" w:styleId="ListParagraph">
    <w:name w:val="List Paragraph"/>
    <w:basedOn w:val="Normal"/>
    <w:link w:val="ListParagraphChar"/>
    <w:uiPriority w:val="34"/>
    <w:qFormat/>
    <w:rsid w:val="00585425"/>
    <w:pPr>
      <w:spacing w:after="60"/>
      <w:ind w:left="720"/>
    </w:pPr>
  </w:style>
  <w:style w:type="paragraph" w:styleId="Caption">
    <w:name w:val="caption"/>
    <w:basedOn w:val="Normal"/>
    <w:next w:val="Normal"/>
    <w:uiPriority w:val="35"/>
    <w:unhideWhenUsed/>
    <w:qFormat/>
    <w:rsid w:val="00585425"/>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585425"/>
    <w:rPr>
      <w:rFonts w:ascii="Arial" w:hAnsi="Arial"/>
    </w:rPr>
  </w:style>
  <w:style w:type="table" w:styleId="GridTable2-Accent6">
    <w:name w:val="Grid Table 2 Accent 6"/>
    <w:basedOn w:val="TableNormal"/>
    <w:uiPriority w:val="47"/>
    <w:rsid w:val="0058542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label">
    <w:name w:val="label"/>
    <w:basedOn w:val="DefaultParagraphFont"/>
    <w:rsid w:val="00585425"/>
  </w:style>
  <w:style w:type="character" w:customStyle="1" w:styleId="Heading1Char">
    <w:name w:val="Heading 1 Char"/>
    <w:basedOn w:val="DefaultParagraphFont"/>
    <w:link w:val="Heading1"/>
    <w:uiPriority w:val="9"/>
    <w:rsid w:val="00844A0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F4AE6"/>
    <w:rPr>
      <w:sz w:val="16"/>
      <w:szCs w:val="16"/>
    </w:rPr>
  </w:style>
  <w:style w:type="paragraph" w:styleId="CommentText">
    <w:name w:val="annotation text"/>
    <w:basedOn w:val="Normal"/>
    <w:link w:val="CommentTextChar"/>
    <w:uiPriority w:val="99"/>
    <w:semiHidden/>
    <w:unhideWhenUsed/>
    <w:rsid w:val="005F4AE6"/>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F4A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A2662-9FA0-47C8-A3D2-1421CD59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12</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Vries</dc:creator>
  <cp:keywords/>
  <dc:description/>
  <cp:lastModifiedBy>Robert de Vries</cp:lastModifiedBy>
  <cp:revision>34</cp:revision>
  <dcterms:created xsi:type="dcterms:W3CDTF">2023-04-01T08:43:00Z</dcterms:created>
  <dcterms:modified xsi:type="dcterms:W3CDTF">2023-06-19T14:55:00Z</dcterms:modified>
</cp:coreProperties>
</file>