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F09B" w14:textId="77777777" w:rsidR="00D56FD7" w:rsidRDefault="00D56FD7" w:rsidP="00D56FD7">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 material</w:t>
      </w:r>
    </w:p>
    <w:p w14:paraId="1FA34413" w14:textId="77777777" w:rsidR="00D56FD7" w:rsidRDefault="00D56FD7" w:rsidP="00D56FD7">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Appendix 1. CHIP 2002, 2007 and 2013 sample size and sample weighting method</w:t>
      </w:r>
    </w:p>
    <w:p w14:paraId="5577579B" w14:textId="77777777" w:rsidR="00D56FD7" w:rsidRDefault="00D56FD7" w:rsidP="00D56FD7">
      <w:pPr>
        <w:spacing w:line="480" w:lineRule="auto"/>
        <w:jc w:val="both"/>
        <w:rPr>
          <w:rFonts w:ascii="Times New Roman" w:hAnsi="Times New Roman" w:cs="Times New Roman"/>
          <w:color w:val="000000" w:themeColor="text1"/>
          <w:sz w:val="24"/>
          <w:szCs w:val="24"/>
        </w:rPr>
      </w:pPr>
      <w:r w:rsidRPr="0003754D">
        <w:rPr>
          <w:rFonts w:ascii="Times New Roman" w:hAnsi="Times New Roman" w:cs="Times New Roman"/>
          <w:color w:val="000000" w:themeColor="text1"/>
          <w:sz w:val="24"/>
          <w:szCs w:val="24"/>
        </w:rPr>
        <w:t xml:space="preserve">The 2002 survey contains data on 20,544 urban residents (from 6,835 urban households); 37,969 rural residents (from 9,200 rural households); and 5,327 rural-urban migrants (from 2,005 migrant households). The 2007 survey contains data on 14,683 urban residents (from 5,002 urban households); 31,791 rural residents (from 8,000 rural households); and 8,446 rural-urban migrants (from 726 migrant households). And the </w:t>
      </w:r>
      <w:r w:rsidRPr="0003754D">
        <w:rPr>
          <w:rFonts w:ascii="Times New Roman" w:hAnsi="Times New Roman" w:cs="Times New Roman"/>
          <w:color w:val="000000" w:themeColor="text1"/>
          <w:sz w:val="24"/>
          <w:szCs w:val="24"/>
          <w:lang w:eastAsia="ja-JP"/>
        </w:rPr>
        <w:t>2013 survey contains data on 19,887 urban residents (from 6,674 urban households); 39,065 rural residents (from 10,490 households), and 2,210 rural-urban migrants (from 726 migrant households).</w:t>
      </w:r>
    </w:p>
    <w:p w14:paraId="5E68B2D1" w14:textId="77777777" w:rsidR="00D56FD7" w:rsidRDefault="00D56FD7" w:rsidP="00D56FD7">
      <w:pPr>
        <w:spacing w:line="480" w:lineRule="auto"/>
        <w:jc w:val="both"/>
        <w:rPr>
          <w:rFonts w:ascii="Times New Roman" w:eastAsia="Times New Roman" w:hAnsi="Times New Roman" w:cs="Times New Roman"/>
          <w:b/>
          <w:bCs/>
          <w:sz w:val="24"/>
          <w:szCs w:val="24"/>
        </w:rPr>
      </w:pPr>
      <w:r w:rsidRPr="00676F1B">
        <w:rPr>
          <w:rFonts w:ascii="Times New Roman" w:hAnsi="Times New Roman" w:cs="Times New Roman"/>
          <w:color w:val="000000" w:themeColor="text1"/>
          <w:sz w:val="24"/>
          <w:szCs w:val="24"/>
        </w:rPr>
        <w:t>Even though the urban and rural samples are sub-groups of the survey, the CHIP 2002, 2007, and 2013 under-sampled urban residents. To make the samples representative, we weighted our analyses such that the urban and rural population shares equal those in the population in each province in 2005, 2007, and 2013 respectively according to statistical surveys conducted by the Department of Population and Employment Statistics of the NBS (</w:t>
      </w:r>
      <w:bookmarkStart w:id="0" w:name="_Hlk41068244"/>
      <w:r w:rsidRPr="00676F1B">
        <w:rPr>
          <w:rFonts w:ascii="Times New Roman" w:hAnsi="Times New Roman" w:cs="Times New Roman"/>
          <w:color w:val="000000" w:themeColor="text1"/>
          <w:sz w:val="24"/>
          <w:szCs w:val="24"/>
        </w:rPr>
        <w:t>National Bureau of Statistics of China</w:t>
      </w:r>
      <w:bookmarkEnd w:id="0"/>
      <w:r w:rsidRPr="00676F1B">
        <w:rPr>
          <w:rFonts w:ascii="Times New Roman" w:hAnsi="Times New Roman" w:cs="Times New Roman"/>
          <w:color w:val="000000" w:themeColor="text1"/>
          <w:sz w:val="24"/>
          <w:szCs w:val="24"/>
        </w:rPr>
        <w:t xml:space="preserve">, </w:t>
      </w:r>
      <w:bookmarkStart w:id="1" w:name="_Hlk41068362"/>
      <w:r w:rsidRPr="00676F1B">
        <w:rPr>
          <w:rFonts w:ascii="Times New Roman" w:hAnsi="Times New Roman" w:cs="Times New Roman"/>
          <w:color w:val="000000" w:themeColor="text1"/>
          <w:sz w:val="24"/>
          <w:szCs w:val="24"/>
        </w:rPr>
        <w:t>2006, 2008, 2014</w:t>
      </w:r>
      <w:bookmarkEnd w:id="1"/>
      <w:r w:rsidRPr="00676F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should be noted that the population surveys</w:t>
      </w:r>
      <w:r w:rsidRPr="00736681">
        <w:rPr>
          <w:rFonts w:ascii="Times New Roman" w:hAnsi="Times New Roman" w:cs="Times New Roman"/>
          <w:color w:val="000000" w:themeColor="text1"/>
          <w:sz w:val="24"/>
          <w:szCs w:val="24"/>
        </w:rPr>
        <w:t xml:space="preserve"> before 2005 do not </w:t>
      </w:r>
      <w:r>
        <w:rPr>
          <w:rFonts w:ascii="Times New Roman" w:hAnsi="Times New Roman" w:cs="Times New Roman"/>
          <w:color w:val="000000" w:themeColor="text1"/>
          <w:sz w:val="24"/>
          <w:szCs w:val="24"/>
        </w:rPr>
        <w:t>contain</w:t>
      </w:r>
      <w:r w:rsidRPr="00736681">
        <w:rPr>
          <w:rFonts w:ascii="Times New Roman" w:hAnsi="Times New Roman" w:cs="Times New Roman"/>
          <w:color w:val="000000" w:themeColor="text1"/>
          <w:sz w:val="24"/>
          <w:szCs w:val="24"/>
        </w:rPr>
        <w:t xml:space="preserve"> population information on migrants.</w:t>
      </w:r>
      <w:r>
        <w:rPr>
          <w:rFonts w:ascii="Times New Roman" w:hAnsi="Times New Roman" w:cs="Times New Roman"/>
          <w:color w:val="000000" w:themeColor="text1"/>
          <w:sz w:val="24"/>
          <w:szCs w:val="24"/>
        </w:rPr>
        <w:t xml:space="preserve"> Therefore, f</w:t>
      </w:r>
      <w:r w:rsidRPr="00676F1B">
        <w:rPr>
          <w:rFonts w:ascii="Times New Roman" w:hAnsi="Times New Roman" w:cs="Times New Roman"/>
          <w:color w:val="000000" w:themeColor="text1"/>
          <w:sz w:val="24"/>
          <w:szCs w:val="24"/>
        </w:rPr>
        <w:t>or weighting the migrant population</w:t>
      </w:r>
      <w:r>
        <w:rPr>
          <w:rFonts w:ascii="Times New Roman" w:hAnsi="Times New Roman" w:cs="Times New Roman"/>
          <w:color w:val="000000" w:themeColor="text1"/>
          <w:sz w:val="24"/>
          <w:szCs w:val="24"/>
        </w:rPr>
        <w:t xml:space="preserve"> in 2002</w:t>
      </w:r>
      <w:r w:rsidRPr="00676F1B">
        <w:rPr>
          <w:rFonts w:ascii="Times New Roman" w:hAnsi="Times New Roman" w:cs="Times New Roman"/>
          <w:color w:val="000000" w:themeColor="text1"/>
          <w:sz w:val="24"/>
          <w:szCs w:val="24"/>
        </w:rPr>
        <w:t xml:space="preserve"> we </w:t>
      </w:r>
      <w:r>
        <w:rPr>
          <w:rFonts w:ascii="Times New Roman" w:hAnsi="Times New Roman" w:cs="Times New Roman"/>
          <w:color w:val="000000" w:themeColor="text1"/>
          <w:sz w:val="24"/>
          <w:szCs w:val="24"/>
        </w:rPr>
        <w:t xml:space="preserve">therefore </w:t>
      </w:r>
      <w:r w:rsidRPr="00676F1B">
        <w:rPr>
          <w:rFonts w:ascii="Times New Roman" w:hAnsi="Times New Roman" w:cs="Times New Roman"/>
          <w:color w:val="000000" w:themeColor="text1"/>
          <w:sz w:val="24"/>
          <w:szCs w:val="24"/>
        </w:rPr>
        <w:t xml:space="preserve">used the population proportions of “residents living in the township, towns and street communities with permanent household registration elsewhere, having been away from </w:t>
      </w:r>
      <w:proofErr w:type="gramStart"/>
      <w:r w:rsidRPr="00676F1B">
        <w:rPr>
          <w:rFonts w:ascii="Times New Roman" w:hAnsi="Times New Roman" w:cs="Times New Roman"/>
          <w:color w:val="000000" w:themeColor="text1"/>
          <w:sz w:val="24"/>
          <w:szCs w:val="24"/>
        </w:rPr>
        <w:t>that places</w:t>
      </w:r>
      <w:proofErr w:type="gramEnd"/>
      <w:r w:rsidRPr="00676F1B">
        <w:rPr>
          <w:rFonts w:ascii="Times New Roman" w:hAnsi="Times New Roman" w:cs="Times New Roman"/>
          <w:color w:val="000000" w:themeColor="text1"/>
          <w:sz w:val="24"/>
          <w:szCs w:val="24"/>
        </w:rPr>
        <w:t xml:space="preserve"> for more than 6 months</w:t>
      </w:r>
      <w:r w:rsidRPr="00676F1B">
        <w:rPr>
          <w:rFonts w:ascii="Times New Roman" w:hAnsi="Times New Roman" w:cs="Times New Roman"/>
          <w:color w:val="000000" w:themeColor="text1"/>
          <w:sz w:val="24"/>
          <w:szCs w:val="24"/>
          <w:lang w:eastAsia="zh-CN"/>
        </w:rPr>
        <w:t>.”</w:t>
      </w:r>
    </w:p>
    <w:p w14:paraId="71A0F023" w14:textId="77777777" w:rsidR="00D56FD7" w:rsidRDefault="00D56FD7" w:rsidP="00D56FD7">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Appendix 2. Computation of D-index and HOI</w:t>
      </w:r>
    </w:p>
    <w:p w14:paraId="4629645A" w14:textId="77777777" w:rsidR="00D56FD7" w:rsidRPr="003F757E" w:rsidRDefault="00D56FD7" w:rsidP="00D56FD7">
      <w:pPr>
        <w:spacing w:line="480" w:lineRule="auto"/>
        <w:jc w:val="both"/>
        <w:rPr>
          <w:rFonts w:ascii="Times New Roman" w:hAnsi="Times New Roman" w:cs="Times New Roman"/>
          <w:color w:val="000000" w:themeColor="text1"/>
          <w:sz w:val="24"/>
          <w:szCs w:val="24"/>
        </w:rPr>
      </w:pPr>
      <w:r w:rsidRPr="003F757E">
        <w:rPr>
          <w:rFonts w:ascii="Times New Roman" w:hAnsi="Times New Roman" w:cs="Times New Roman"/>
          <w:color w:val="000000" w:themeColor="text1"/>
          <w:sz w:val="24"/>
          <w:szCs w:val="24"/>
        </w:rPr>
        <w:lastRenderedPageBreak/>
        <w:t xml:space="preserve">Adopting the approach of Barros et al. (2009), the D-index </w:t>
      </w:r>
      <w:r>
        <w:rPr>
          <w:rFonts w:ascii="Times New Roman" w:hAnsi="Times New Roman" w:cs="Times New Roman"/>
          <w:color w:val="000000" w:themeColor="text1"/>
          <w:sz w:val="24"/>
          <w:szCs w:val="24"/>
        </w:rPr>
        <w:t>and HOI are</w:t>
      </w:r>
      <w:r w:rsidRPr="003F757E">
        <w:rPr>
          <w:rFonts w:ascii="Times New Roman" w:hAnsi="Times New Roman" w:cs="Times New Roman"/>
          <w:color w:val="000000" w:themeColor="text1"/>
          <w:sz w:val="24"/>
          <w:szCs w:val="24"/>
        </w:rPr>
        <w:t xml:space="preserve"> computed using a three-step procedure. First, we use the following separable logistic regression specification to estimate the conditional probability of access to a given basic opportunity.</w:t>
      </w:r>
    </w:p>
    <w:p w14:paraId="3CFBB16E" w14:textId="77777777" w:rsidR="00D56FD7" w:rsidRPr="003F757E" w:rsidRDefault="00D56FD7" w:rsidP="00D56FD7">
      <w:pPr>
        <w:spacing w:line="48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Ln</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I=1</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m</m:t>
                          </m:r>
                        </m:sub>
                      </m:sSub>
                    </m:e>
                  </m:d>
                </m:num>
                <m:den>
                  <m:r>
                    <w:rPr>
                      <w:rFonts w:ascii="Cambria Math" w:hAnsi="Cambria Math" w:cs="Times New Roman"/>
                      <w:color w:val="000000" w:themeColor="text1"/>
                      <w:sz w:val="24"/>
                      <w:szCs w:val="24"/>
                    </w:rPr>
                    <m:t>1-P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I=1</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m</m:t>
                          </m:r>
                        </m:sub>
                      </m:sSub>
                    </m:e>
                  </m:d>
                </m:den>
              </m:f>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k=1</m:t>
              </m:r>
            </m:sub>
            <m:sup>
              <m:r>
                <w:rPr>
                  <w:rFonts w:ascii="Cambria Math" w:eastAsiaTheme="minorEastAsia" w:hAnsi="Cambria Math" w:cs="Times New Roman"/>
                  <w:color w:val="000000" w:themeColor="text1"/>
                  <w:sz w:val="24"/>
                  <w:szCs w:val="24"/>
                </w:rPr>
                <m:t>m</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k</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x</m:t>
                  </m:r>
                </m:e>
                <m:sub>
                  <m:r>
                    <w:rPr>
                      <w:rFonts w:ascii="Cambria Math" w:eastAsiaTheme="minorEastAsia" w:hAnsi="Cambria Math" w:cs="Times New Roman"/>
                      <w:color w:val="000000" w:themeColor="text1"/>
                      <w:sz w:val="24"/>
                      <w:szCs w:val="24"/>
                    </w:rPr>
                    <m:t>k</m:t>
                  </m:r>
                </m:sub>
              </m:sSub>
              <m:r>
                <w:rPr>
                  <w:rFonts w:ascii="Cambria Math" w:eastAsiaTheme="minorEastAsia" w:hAnsi="Cambria Math" w:cs="Times New Roman"/>
                  <w:color w:val="000000" w:themeColor="text1"/>
                  <w:sz w:val="24"/>
                  <w:szCs w:val="24"/>
                </w:rPr>
                <m:t>)</m:t>
              </m:r>
            </m:e>
          </m:nary>
        </m:oMath>
      </m:oMathPara>
    </w:p>
    <w:p w14:paraId="1ED28F8C" w14:textId="77777777" w:rsidR="00D56FD7" w:rsidRPr="003F757E" w:rsidRDefault="00D56FD7" w:rsidP="00D56FD7">
      <w:pPr>
        <w:spacing w:line="480" w:lineRule="auto"/>
        <w:jc w:val="both"/>
        <w:rPr>
          <w:rFonts w:ascii="Times New Roman" w:hAnsi="Times New Roman" w:cs="Times New Roman"/>
          <w:color w:val="000000" w:themeColor="text1"/>
          <w:sz w:val="24"/>
          <w:szCs w:val="24"/>
        </w:rPr>
      </w:pPr>
      <w:r w:rsidRPr="003F757E">
        <w:rPr>
          <w:rFonts w:ascii="Times New Roman" w:hAnsi="Times New Roman" w:cs="Times New Roman"/>
          <w:color w:val="000000" w:themeColor="text1"/>
          <w:sz w:val="24"/>
          <w:szCs w:val="24"/>
        </w:rPr>
        <w:t xml:space="preserve">where for each child </w:t>
      </w:r>
      <m:oMath>
        <m:r>
          <w:rPr>
            <w:rFonts w:ascii="Cambria Math" w:hAnsi="Cambria Math" w:cs="Times New Roman"/>
            <w:color w:val="000000" w:themeColor="text1"/>
            <w:sz w:val="24"/>
            <w:szCs w:val="24"/>
          </w:rPr>
          <m:t>i</m:t>
        </m:r>
      </m:oMath>
      <w:r w:rsidRPr="003F757E">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 1</m:t>
        </m:r>
      </m:oMath>
      <w:r w:rsidRPr="003F757E">
        <w:rPr>
          <w:rFonts w:ascii="Times New Roman" w:hAnsi="Times New Roman" w:cs="Times New Roman"/>
          <w:color w:val="000000" w:themeColor="text1"/>
          <w:sz w:val="24"/>
          <w:szCs w:val="24"/>
        </w:rPr>
        <w:t xml:space="preserve"> if the child has access to the basic opportunity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 = 0</m:t>
        </m:r>
      </m:oMath>
      <w:r w:rsidRPr="003F757E">
        <w:rPr>
          <w:rFonts w:ascii="Times New Roman" w:hAnsi="Times New Roman" w:cs="Times New Roman"/>
          <w:color w:val="000000" w:themeColor="text1"/>
          <w:sz w:val="24"/>
          <w:szCs w:val="24"/>
        </w:rPr>
        <w:t xml:space="preserve"> otherwise;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k</m:t>
            </m:r>
          </m:sub>
        </m:sSub>
      </m:oMath>
      <w:r w:rsidRPr="003F757E">
        <w:rPr>
          <w:rFonts w:ascii="Times New Roman" w:eastAsiaTheme="minorEastAsia" w:hAnsi="Times New Roman" w:cs="Times New Roman"/>
          <w:color w:val="000000" w:themeColor="text1"/>
          <w:sz w:val="24"/>
          <w:szCs w:val="24"/>
        </w:rPr>
        <w:t xml:space="preserve"> </w:t>
      </w:r>
      <w:r w:rsidRPr="003F757E">
        <w:rPr>
          <w:rFonts w:ascii="Times New Roman" w:hAnsi="Times New Roman" w:cs="Times New Roman"/>
          <w:color w:val="000000" w:themeColor="text1"/>
          <w:sz w:val="24"/>
          <w:szCs w:val="24"/>
        </w:rPr>
        <w:t xml:space="preserve">denotes the vector of variables representing </w:t>
      </w:r>
      <m:oMath>
        <m:r>
          <w:rPr>
            <w:rFonts w:ascii="Cambria Math" w:hAnsi="Cambria Math" w:cs="Times New Roman"/>
            <w:color w:val="000000" w:themeColor="text1"/>
            <w:sz w:val="24"/>
            <w:szCs w:val="24"/>
          </w:rPr>
          <m:t>k</m:t>
        </m:r>
      </m:oMath>
      <w:r w:rsidRPr="003F757E">
        <w:rPr>
          <w:rFonts w:ascii="Times New Roman" w:hAnsi="Times New Roman" w:cs="Times New Roman"/>
          <w:color w:val="000000" w:themeColor="text1"/>
          <w:sz w:val="24"/>
          <w:szCs w:val="24"/>
        </w:rPr>
        <w:t>-dimension of circumstances, hen</w:t>
      </w:r>
      <w:proofErr w:type="spellStart"/>
      <w:r w:rsidRPr="003F757E">
        <w:rPr>
          <w:rFonts w:ascii="Times New Roman" w:hAnsi="Times New Roman" w:cs="Times New Roman"/>
          <w:color w:val="000000" w:themeColor="text1"/>
          <w:sz w:val="24"/>
          <w:szCs w:val="24"/>
        </w:rPr>
        <w:t>ce</w:t>
      </w:r>
      <w:proofErr w:type="spellEnd"/>
      <w:r w:rsidRPr="003F757E">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x=</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m</m:t>
            </m:r>
          </m:sub>
        </m:sSub>
        <m:r>
          <w:rPr>
            <w:rFonts w:ascii="Cambria Math" w:hAnsi="Cambria Math" w:cs="Times New Roman"/>
            <w:color w:val="000000" w:themeColor="text1"/>
            <w:sz w:val="24"/>
            <w:szCs w:val="24"/>
          </w:rPr>
          <m:t>)</m:t>
        </m:r>
      </m:oMath>
      <w:r w:rsidRPr="003F757E">
        <w:rPr>
          <w:rFonts w:ascii="Times New Roman" w:hAnsi="Times New Roman" w:cs="Times New Roman"/>
          <w:color w:val="000000" w:themeColor="text1"/>
          <w:sz w:val="24"/>
          <w:szCs w:val="24"/>
        </w:rPr>
        <w:t xml:space="preserve">. Second, using the predicted probability of access to a basic opportunity for every child, </w:t>
      </w:r>
      <w:r>
        <w:rPr>
          <w:rFonts w:ascii="Times New Roman" w:hAnsi="Times New Roman" w:cs="Times New Roman"/>
          <w:color w:val="000000" w:themeColor="text1"/>
          <w:sz w:val="24"/>
          <w:szCs w:val="24"/>
        </w:rPr>
        <w:t>we</w:t>
      </w:r>
      <w:r w:rsidRPr="003F757E">
        <w:rPr>
          <w:rFonts w:ascii="Times New Roman" w:hAnsi="Times New Roman" w:cs="Times New Roman"/>
          <w:color w:val="000000" w:themeColor="text1"/>
          <w:sz w:val="24"/>
          <w:szCs w:val="24"/>
        </w:rPr>
        <w:t xml:space="preserve"> obtain the average access rate </w:t>
      </w:r>
      <m:oMath>
        <m:r>
          <w:rPr>
            <w:rFonts w:ascii="Cambria Math" w:hAnsi="Cambria Math" w:cs="Times New Roman"/>
            <w:color w:val="000000" w:themeColor="text1"/>
            <w:sz w:val="24"/>
            <w:szCs w:val="24"/>
          </w:rPr>
          <m:t>[</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r>
          <w:rPr>
            <w:rFonts w:ascii="Cambria Math" w:hAnsi="Cambria Math" w:cs="Times New Roman"/>
            <w:color w:val="000000" w:themeColor="text1"/>
            <w:sz w:val="24"/>
            <w:szCs w:val="24"/>
          </w:rPr>
          <m:t>]</m:t>
        </m:r>
      </m:oMath>
      <w:r w:rsidRPr="003F757E">
        <w:rPr>
          <w:rFonts w:ascii="Times New Roman" w:eastAsiaTheme="minorEastAsia" w:hAnsi="Times New Roman" w:cs="Times New Roman"/>
          <w:color w:val="000000" w:themeColor="text1"/>
          <w:sz w:val="24"/>
          <w:szCs w:val="24"/>
        </w:rPr>
        <w:t xml:space="preserve"> </w:t>
      </w:r>
      <w:r w:rsidRPr="003F757E">
        <w:rPr>
          <w:rFonts w:ascii="Times New Roman" w:hAnsi="Times New Roman" w:cs="Times New Roman"/>
          <w:color w:val="000000" w:themeColor="text1"/>
          <w:sz w:val="24"/>
          <w:szCs w:val="24"/>
        </w:rPr>
        <w:t xml:space="preserve">and the D-index </w:t>
      </w:r>
      <m:oMath>
        <m:r>
          <w:rPr>
            <w:rFonts w:ascii="Cambria Math" w:hAnsi="Cambria Math" w:cs="Times New Roman"/>
            <w:color w:val="000000" w:themeColor="text1"/>
            <w:sz w:val="24"/>
            <w:szCs w:val="24"/>
          </w:rPr>
          <m:t>[D]</m:t>
        </m:r>
      </m:oMath>
      <w:r w:rsidRPr="003F757E">
        <w:rPr>
          <w:rFonts w:ascii="Times New Roman" w:eastAsiaTheme="minorEastAsia" w:hAnsi="Times New Roman" w:cs="Times New Roman"/>
          <w:color w:val="000000" w:themeColor="text1"/>
          <w:sz w:val="24"/>
          <w:szCs w:val="24"/>
        </w:rPr>
        <w:t xml:space="preserve"> </w:t>
      </w:r>
      <w:r w:rsidRPr="003F757E">
        <w:rPr>
          <w:rFonts w:ascii="Times New Roman" w:hAnsi="Times New Roman" w:cs="Times New Roman"/>
          <w:color w:val="000000" w:themeColor="text1"/>
          <w:sz w:val="24"/>
          <w:szCs w:val="24"/>
        </w:rPr>
        <w:t>using the following equations.</w:t>
      </w:r>
    </w:p>
    <w:p w14:paraId="0ED9A562" w14:textId="77777777" w:rsidR="00D56FD7" w:rsidRPr="003F757E" w:rsidRDefault="00D56FD7" w:rsidP="00D56FD7">
      <w:pPr>
        <w:spacing w:line="480" w:lineRule="auto"/>
        <w:jc w:val="both"/>
        <w:rPr>
          <w:rFonts w:ascii="Times New Roman" w:eastAsiaTheme="minorEastAsia" w:hAnsi="Times New Roman" w:cs="Times New Roman"/>
          <w:color w:val="000000" w:themeColor="text1"/>
          <w:sz w:val="24"/>
          <w:szCs w:val="24"/>
        </w:rPr>
      </w:pPr>
      <m:oMathPara>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r>
            <w:rPr>
              <w:rFonts w:ascii="Cambria Math" w:hAnsi="Cambria Math" w:cs="Times New Roman"/>
              <w:color w:val="000000" w:themeColor="text1"/>
              <w:sz w:val="24"/>
              <w:szCs w:val="24"/>
            </w:rPr>
            <m:t>=</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i</m:t>
                  </m:r>
                </m:sub>
              </m:sSub>
              <m:sSub>
                <m:sSubPr>
                  <m:ctrlPr>
                    <w:rPr>
                      <w:rFonts w:ascii="Cambria Math" w:hAnsi="Cambria Math" w:cs="Times New Roman"/>
                      <w:i/>
                      <w:color w:val="000000" w:themeColor="text1"/>
                      <w:sz w:val="24"/>
                      <w:szCs w:val="24"/>
                    </w:rPr>
                  </m:ctrlPr>
                </m:sSubPr>
                <m:e>
                  <m:acc>
                    <m:accPr>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e>
                <m:sub>
                  <m:r>
                    <w:rPr>
                      <w:rFonts w:ascii="Cambria Math" w:hAnsi="Cambria Math" w:cs="Times New Roman"/>
                      <w:color w:val="000000" w:themeColor="text1"/>
                      <w:sz w:val="24"/>
                      <w:szCs w:val="24"/>
                    </w:rPr>
                    <m:t>i</m:t>
                  </m:r>
                </m:sub>
              </m:sSub>
            </m:e>
          </m:nary>
        </m:oMath>
      </m:oMathPara>
    </w:p>
    <w:p w14:paraId="4EAA6AEE" w14:textId="77777777" w:rsidR="00D56FD7" w:rsidRPr="003F757E" w:rsidRDefault="00D56FD7" w:rsidP="00D56FD7">
      <w:pPr>
        <w:spacing w:line="48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D=</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2</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den>
          </m:f>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i</m:t>
                  </m:r>
                </m:sub>
              </m:sSub>
            </m:e>
          </m:nary>
          <m:d>
            <m:dPr>
              <m:begChr m:val="|"/>
              <m:endChr m:val="|"/>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acc>
                    <m:accPr>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e>
          </m:d>
        </m:oMath>
      </m:oMathPara>
    </w:p>
    <w:p w14:paraId="7AD50D7D" w14:textId="77777777" w:rsidR="00D56FD7" w:rsidRPr="0092707C" w:rsidRDefault="00D56FD7" w:rsidP="00D56FD7">
      <w:pPr>
        <w:spacing w:line="480" w:lineRule="auto"/>
        <w:jc w:val="both"/>
        <w:rPr>
          <w:rFonts w:ascii="Times New Roman" w:hAnsi="Times New Roman" w:cs="Times New Roman"/>
          <w:color w:val="000000" w:themeColor="text1"/>
          <w:sz w:val="24"/>
          <w:szCs w:val="24"/>
        </w:rPr>
      </w:pPr>
      <w:r w:rsidRPr="003F757E">
        <w:rPr>
          <w:rFonts w:ascii="Times New Roman" w:hAnsi="Times New Roman" w:cs="Times New Roman"/>
          <w:color w:val="000000" w:themeColor="text1"/>
          <w:sz w:val="24"/>
          <w:szCs w:val="24"/>
        </w:rPr>
        <w:t xml:space="preserve">where, </w:t>
      </w:r>
      <m:oMath>
        <m:sSub>
          <m:sSubPr>
            <m:ctrlPr>
              <w:rPr>
                <w:rFonts w:ascii="Cambria Math" w:hAnsi="Cambria Math" w:cs="Times New Roman"/>
                <w:i/>
                <w:color w:val="000000" w:themeColor="text1"/>
                <w:sz w:val="24"/>
                <w:szCs w:val="24"/>
              </w:rPr>
            </m:ctrlPr>
          </m:sSubPr>
          <m:e>
            <m:acc>
              <m:accPr>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e>
          <m:sub>
            <m:r>
              <w:rPr>
                <w:rFonts w:ascii="Cambria Math" w:hAnsi="Cambria Math" w:cs="Times New Roman"/>
                <w:color w:val="000000" w:themeColor="text1"/>
                <w:sz w:val="24"/>
                <w:szCs w:val="24"/>
              </w:rPr>
              <m:t>i</m:t>
            </m:r>
          </m:sub>
        </m:sSub>
      </m:oMath>
      <w:r w:rsidRPr="003F757E">
        <w:rPr>
          <w:rFonts w:ascii="Times New Roman" w:eastAsiaTheme="minorEastAsia" w:hAnsi="Times New Roman" w:cs="Times New Roman"/>
          <w:color w:val="000000" w:themeColor="text1"/>
          <w:sz w:val="24"/>
          <w:szCs w:val="24"/>
        </w:rPr>
        <w:t xml:space="preserve"> is the predicted probability of access to the basic opportunity for child </w:t>
      </w:r>
      <m:oMath>
        <m:r>
          <w:rPr>
            <w:rFonts w:ascii="Cambria Math" w:eastAsiaTheme="minorEastAsia" w:hAnsi="Cambria Math" w:cs="Times New Roman"/>
            <w:color w:val="000000" w:themeColor="text1"/>
            <w:sz w:val="24"/>
            <w:szCs w:val="24"/>
          </w:rPr>
          <m:t>i</m:t>
        </m:r>
      </m:oMath>
      <w:r w:rsidRPr="003F757E">
        <w:rPr>
          <w:rFonts w:ascii="Times New Roman" w:eastAsiaTheme="minorEastAsia" w:hAnsi="Times New Roman"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n</m:t>
            </m:r>
          </m:den>
        </m:f>
      </m:oMath>
      <w:r w:rsidRPr="003F757E">
        <w:rPr>
          <w:rFonts w:ascii="Times New Roman" w:eastAsiaTheme="minorEastAsia" w:hAnsi="Times New Roman" w:cs="Times New Roman"/>
          <w:color w:val="000000" w:themeColor="text1"/>
          <w:sz w:val="24"/>
          <w:szCs w:val="24"/>
        </w:rPr>
        <w:t xml:space="preserve"> or sampling weight.</w:t>
      </w:r>
      <w:r>
        <w:rPr>
          <w:rFonts w:ascii="Times New Roman" w:eastAsiaTheme="minorEastAsia" w:hAnsi="Times New Roman" w:cs="Times New Roman"/>
          <w:color w:val="000000" w:themeColor="text1"/>
          <w:sz w:val="24"/>
          <w:szCs w:val="24"/>
        </w:rPr>
        <w:t xml:space="preserve"> </w:t>
      </w:r>
      <w:bookmarkStart w:id="2" w:name="_Hlk109647670"/>
      <w:r w:rsidRPr="00676F1B">
        <w:rPr>
          <w:rFonts w:ascii="Times New Roman" w:hAnsi="Times New Roman" w:cs="Times New Roman"/>
          <w:color w:val="000000" w:themeColor="text1"/>
          <w:sz w:val="24"/>
          <w:szCs w:val="24"/>
        </w:rPr>
        <w:t xml:space="preserve">The D-index is the weighted average of absolute differences between group-specific access rates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i</m:t>
            </m:r>
          </m:sub>
        </m:sSub>
      </m:oMath>
      <w:r w:rsidRPr="00676F1B">
        <w:rPr>
          <w:rFonts w:ascii="Times New Roman" w:hAnsi="Times New Roman" w:cs="Times New Roman"/>
          <w:color w:val="000000" w:themeColor="text1"/>
          <w:sz w:val="24"/>
          <w:szCs w:val="24"/>
        </w:rPr>
        <w:t xml:space="preserve"> and the overall average access ra</w:t>
      </w:r>
      <w:proofErr w:type="spellStart"/>
      <w:r w:rsidRPr="00676F1B">
        <w:rPr>
          <w:rFonts w:ascii="Times New Roman" w:hAnsi="Times New Roman" w:cs="Times New Roman"/>
          <w:color w:val="000000" w:themeColor="text1"/>
          <w:sz w:val="24"/>
          <w:szCs w:val="24"/>
        </w:rPr>
        <w:t>te</w:t>
      </w:r>
      <w:proofErr w:type="spellEnd"/>
      <w:r w:rsidRPr="00676F1B">
        <w:rPr>
          <w:rFonts w:ascii="Times New Roman" w:hAnsi="Times New Roman" w:cs="Times New Roman"/>
          <w:color w:val="000000" w:themeColor="text1"/>
          <w:sz w:val="24"/>
          <w:szCs w:val="24"/>
        </w:rPr>
        <w:t xml:space="preserve"> </w:t>
      </w: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oMath>
      <w:r w:rsidRPr="00676F1B">
        <w:rPr>
          <w:rFonts w:ascii="Times New Roman" w:hAnsi="Times New Roman" w:cs="Times New Roman"/>
          <w:color w:val="000000" w:themeColor="text1"/>
          <w:sz w:val="24"/>
          <w:szCs w:val="24"/>
        </w:rPr>
        <w:t>.</w:t>
      </w:r>
      <w:bookmarkEnd w:id="2"/>
      <w:r w:rsidRPr="00676F1B">
        <w:rPr>
          <w:rFonts w:ascii="Times New Roman" w:hAnsi="Times New Roman" w:cs="Times New Roman"/>
          <w:color w:val="000000" w:themeColor="text1"/>
          <w:sz w:val="24"/>
          <w:szCs w:val="24"/>
        </w:rPr>
        <w:t xml:space="preserve"> For instance, if migrant and rural children are the two subgroups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s</m:t>
            </m:r>
          </m:sub>
        </m:sSub>
      </m:oMath>
      <w:r w:rsidRPr="00676F1B">
        <w:rPr>
          <w:rFonts w:ascii="Times New Roman" w:hAnsi="Times New Roman" w:cs="Times New Roman"/>
          <w:color w:val="000000" w:themeColor="text1"/>
          <w:sz w:val="24"/>
          <w:szCs w:val="24"/>
        </w:rPr>
        <w:t xml:space="preserve"> is the average probability that a migrant child will have access to health which is less than </w:t>
      </w: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oMath>
      <w:r w:rsidRPr="00676F1B">
        <w:rPr>
          <w:rFonts w:ascii="Times New Roman" w:eastAsiaTheme="minorEastAsia" w:hAnsi="Times New Roman" w:cs="Times New Roman"/>
          <w:color w:val="000000" w:themeColor="text1"/>
          <w:sz w:val="24"/>
          <w:szCs w:val="24"/>
        </w:rPr>
        <w:t>,</w:t>
      </w:r>
      <w:r w:rsidRPr="00676F1B">
        <w:rPr>
          <w:rFonts w:ascii="Times New Roman" w:hAnsi="Times New Roman" w:cs="Times New Roman"/>
          <w:color w:val="000000" w:themeColor="text1"/>
          <w:sz w:val="24"/>
          <w:szCs w:val="24"/>
        </w:rPr>
        <w:t xml:space="preserve"> that is, the average probability in the entire population that a child will have access to health, then it suggests that migrant children have a lower probability of having access to health than their rural counterparts.</w:t>
      </w:r>
      <w:r>
        <w:rPr>
          <w:rFonts w:ascii="Times New Roman" w:hAnsi="Times New Roman" w:cs="Times New Roman"/>
          <w:color w:val="000000" w:themeColor="text1"/>
          <w:sz w:val="24"/>
          <w:szCs w:val="24"/>
        </w:rPr>
        <w:t xml:space="preserve"> </w:t>
      </w:r>
      <w:r w:rsidRPr="00676F1B">
        <w:rPr>
          <w:rFonts w:ascii="Times New Roman" w:hAnsi="Times New Roman" w:cs="Times New Roman"/>
          <w:color w:val="000000" w:themeColor="text1"/>
          <w:sz w:val="24"/>
          <w:szCs w:val="24"/>
        </w:rPr>
        <w:t xml:space="preserve">If the equal opportunity principle is consistently applied, an exact correspondence between population and opportunity distribution </w:t>
      </w:r>
      <w:r w:rsidRPr="00676F1B">
        <w:rPr>
          <w:rFonts w:ascii="Times New Roman" w:hAnsi="Times New Roman" w:cs="Times New Roman"/>
          <w:color w:val="000000" w:themeColor="text1"/>
          <w:sz w:val="24"/>
          <w:szCs w:val="24"/>
        </w:rPr>
        <w:lastRenderedPageBreak/>
        <w:t>should be observed.</w:t>
      </w:r>
      <w:r>
        <w:rPr>
          <w:rFonts w:ascii="Times New Roman" w:hAnsi="Times New Roman" w:cs="Times New Roman"/>
          <w:color w:val="000000" w:themeColor="text1"/>
          <w:sz w:val="24"/>
          <w:szCs w:val="24"/>
        </w:rPr>
        <w:t xml:space="preserve"> </w:t>
      </w:r>
      <w:r w:rsidRPr="00676F1B">
        <w:rPr>
          <w:rFonts w:ascii="Times New Roman" w:hAnsi="Times New Roman" w:cs="Times New Roman"/>
          <w:color w:val="000000" w:themeColor="text1"/>
          <w:sz w:val="24"/>
          <w:szCs w:val="24"/>
        </w:rPr>
        <w:t>The D-index ranges from 0 to 1 (0 to 100 in percentage terms), and in a situation of perfect equality of opportunity, D will be zero). It is also important to note that the D-index is insensitive to a balanced increase in access rate, which means that if the new opportunities are distributed among circumstance groups in the same way as the preexisting distributions, there is no change in the D-index.</w:t>
      </w:r>
    </w:p>
    <w:p w14:paraId="5A737D3A" w14:textId="77777777" w:rsidR="00D56FD7" w:rsidRPr="003F757E" w:rsidRDefault="00D56FD7" w:rsidP="00D56FD7">
      <w:pPr>
        <w:spacing w:line="480" w:lineRule="auto"/>
        <w:jc w:val="both"/>
        <w:rPr>
          <w:rFonts w:ascii="Times New Roman" w:eastAsiaTheme="minorEastAsia" w:hAnsi="Times New Roman" w:cs="Times New Roman"/>
          <w:color w:val="000000" w:themeColor="text1"/>
          <w:sz w:val="24"/>
          <w:szCs w:val="24"/>
        </w:rPr>
      </w:pPr>
      <w:r w:rsidRPr="003F757E">
        <w:rPr>
          <w:rFonts w:ascii="Times New Roman" w:eastAsiaTheme="minorEastAsia" w:hAnsi="Times New Roman" w:cs="Times New Roman"/>
          <w:color w:val="000000" w:themeColor="text1"/>
          <w:sz w:val="24"/>
          <w:szCs w:val="24"/>
        </w:rPr>
        <w:t xml:space="preserve">Once the average access rate and the D-index have been estimated, the third step is to compute the HOI </w:t>
      </w:r>
      <m:oMath>
        <m:r>
          <w:rPr>
            <w:rFonts w:ascii="Cambria Math" w:eastAsiaTheme="minorEastAsia" w:hAnsi="Cambria Math" w:cs="Times New Roman"/>
            <w:color w:val="000000" w:themeColor="text1"/>
            <w:sz w:val="24"/>
            <w:szCs w:val="24"/>
          </w:rPr>
          <m:t>[O]</m:t>
        </m:r>
      </m:oMath>
      <w:r w:rsidRPr="003F757E">
        <w:rPr>
          <w:rFonts w:ascii="Times New Roman" w:eastAsiaTheme="minorEastAsia" w:hAnsi="Times New Roman" w:cs="Times New Roman"/>
          <w:color w:val="000000" w:themeColor="text1"/>
          <w:sz w:val="24"/>
          <w:szCs w:val="24"/>
        </w:rPr>
        <w:t>, which is simply a product of the average access rate and how equitably the access to basic opportunity is distributed across the population under consideration.</w:t>
      </w:r>
    </w:p>
    <w:p w14:paraId="1B980DFD" w14:textId="77777777" w:rsidR="00D56FD7" w:rsidRPr="003F757E" w:rsidRDefault="00D56FD7" w:rsidP="00D56FD7">
      <w:pPr>
        <w:spacing w:line="480" w:lineRule="auto"/>
        <w:jc w:val="both"/>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O=</m:t>
          </m:r>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p</m:t>
              </m:r>
            </m:e>
          </m:acc>
          <m:r>
            <w:rPr>
              <w:rFonts w:ascii="Cambria Math" w:eastAsiaTheme="minorEastAsia" w:hAnsi="Cambria Math" w:cs="Times New Roman"/>
              <w:color w:val="000000" w:themeColor="text1"/>
              <w:sz w:val="24"/>
              <w:szCs w:val="24"/>
            </w:rPr>
            <m:t>(1-D)</m:t>
          </m:r>
        </m:oMath>
      </m:oMathPara>
    </w:p>
    <w:p w14:paraId="3D5855A6" w14:textId="335D5650" w:rsidR="007B2807" w:rsidRPr="00D56FD7" w:rsidRDefault="00D56FD7" w:rsidP="00D56FD7">
      <w:pPr>
        <w:spacing w:line="480" w:lineRule="auto"/>
        <w:jc w:val="both"/>
        <w:rPr>
          <w:rFonts w:ascii="Times New Roman" w:eastAsiaTheme="minorEastAsia" w:hAnsi="Times New Roman" w:cs="Times New Roman"/>
          <w:color w:val="000000" w:themeColor="text1"/>
          <w:sz w:val="24"/>
          <w:szCs w:val="24"/>
        </w:rPr>
      </w:pPr>
      <w:r w:rsidRPr="003F757E">
        <w:rPr>
          <w:rFonts w:ascii="Times New Roman" w:eastAsiaTheme="minorEastAsia" w:hAnsi="Times New Roman" w:cs="Times New Roman"/>
          <w:color w:val="000000" w:themeColor="text1"/>
          <w:sz w:val="24"/>
          <w:szCs w:val="24"/>
        </w:rPr>
        <w:t>Similar to the D-index, the HOI also varies between 0 and 1. However, as opposed to the D-index for which a lower value implies more equity, a higher HOI is desirable. This is because HOI will be higher only when the average access rate is high, and the inequality in access rate is low.</w:t>
      </w:r>
      <w:r>
        <w:rPr>
          <w:rFonts w:ascii="Times New Roman" w:eastAsiaTheme="minorEastAsia" w:hAnsi="Times New Roman" w:cs="Times New Roman"/>
          <w:color w:val="000000" w:themeColor="text1"/>
          <w:sz w:val="24"/>
          <w:szCs w:val="24"/>
        </w:rPr>
        <w:t xml:space="preserve"> </w:t>
      </w:r>
      <w:r w:rsidRPr="00D56FD7">
        <w:rPr>
          <w:rFonts w:ascii="Times New Roman" w:eastAsiaTheme="minorEastAsia" w:hAnsi="Times New Roman" w:cs="Times New Roman"/>
          <w:color w:val="000000" w:themeColor="text1"/>
          <w:sz w:val="24"/>
          <w:szCs w:val="24"/>
        </w:rPr>
        <w:t xml:space="preserve">Because the HOI is also distribution-sensitive, it will improve further if the increased opportunities benefit the disadvantaged groups, that is, </w:t>
      </w:r>
      <m:oMath>
        <m:r>
          <w:rPr>
            <w:rFonts w:ascii="Cambria Math" w:eastAsiaTheme="minorEastAsia" w:hAnsi="Cambria Math" w:cs="Times New Roman"/>
            <w:color w:val="000000" w:themeColor="text1"/>
            <w:sz w:val="24"/>
            <w:szCs w:val="24"/>
          </w:rPr>
          <m:t>D</m:t>
        </m:r>
      </m:oMath>
      <w:r w:rsidRPr="00D56FD7">
        <w:rPr>
          <w:rFonts w:ascii="Times New Roman" w:eastAsiaTheme="minorEastAsia" w:hAnsi="Times New Roman" w:cs="Times New Roman"/>
          <w:color w:val="000000" w:themeColor="text1"/>
          <w:sz w:val="24"/>
          <w:szCs w:val="24"/>
        </w:rPr>
        <w:t xml:space="preserve"> is re</w:t>
      </w:r>
      <w:proofErr w:type="spellStart"/>
      <w:r w:rsidRPr="00D56FD7">
        <w:rPr>
          <w:rFonts w:ascii="Times New Roman" w:eastAsiaTheme="minorEastAsia" w:hAnsi="Times New Roman" w:cs="Times New Roman"/>
          <w:color w:val="000000" w:themeColor="text1"/>
          <w:sz w:val="24"/>
          <w:szCs w:val="24"/>
        </w:rPr>
        <w:t>duced</w:t>
      </w:r>
      <w:proofErr w:type="spellEnd"/>
      <w:r w:rsidRPr="00D56FD7">
        <w:rPr>
          <w:rFonts w:ascii="Times New Roman" w:eastAsiaTheme="minorEastAsia" w:hAnsi="Times New Roman" w:cs="Times New Roman"/>
          <w:color w:val="000000" w:themeColor="text1"/>
          <w:sz w:val="24"/>
          <w:szCs w:val="24"/>
        </w:rPr>
        <w:t>. Despite its distributive sensitivity, the HOI is Pareto-consistent in that an increase in the number of basic opportunities available to any group will always increase the index.</w:t>
      </w:r>
    </w:p>
    <w:sectPr w:rsidR="007B2807" w:rsidRPr="00D5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07"/>
    <w:rsid w:val="0031306A"/>
    <w:rsid w:val="00333F89"/>
    <w:rsid w:val="007B2807"/>
    <w:rsid w:val="00982ED2"/>
    <w:rsid w:val="009C6B52"/>
    <w:rsid w:val="00D56FD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1A02"/>
  <w15:chartTrackingRefBased/>
  <w15:docId w15:val="{268A9D3C-0E29-4C74-8B9D-ADB7B9C0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07"/>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Namrata Chindarkar</dc:creator>
  <cp:keywords/>
  <dc:description/>
  <cp:lastModifiedBy>Namrata Chindarkar</cp:lastModifiedBy>
  <cp:revision>2</cp:revision>
  <dcterms:created xsi:type="dcterms:W3CDTF">2022-08-10T08:50:00Z</dcterms:created>
  <dcterms:modified xsi:type="dcterms:W3CDTF">2022-08-10T08:50:00Z</dcterms:modified>
</cp:coreProperties>
</file>