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ECA7" w14:textId="0758713E" w:rsidR="00141E0C" w:rsidRDefault="008D1124" w:rsidP="00141E0C">
      <w:pPr>
        <w:pStyle w:val="Heading1"/>
        <w:rPr>
          <w:szCs w:val="24"/>
          <w:lang w:val="en-GB"/>
        </w:rPr>
      </w:pPr>
      <w:r>
        <w:rPr>
          <w:szCs w:val="24"/>
          <w:lang w:val="en-GB"/>
        </w:rPr>
        <w:t>Online a</w:t>
      </w:r>
      <w:r w:rsidR="00141E0C" w:rsidRPr="004D54F9">
        <w:rPr>
          <w:szCs w:val="24"/>
          <w:lang w:val="en-GB"/>
        </w:rPr>
        <w:t>ppendix</w:t>
      </w:r>
    </w:p>
    <w:p w14:paraId="3BEB77A0" w14:textId="276B9DFE" w:rsidR="00390AE9" w:rsidRPr="004D54F9" w:rsidRDefault="00390AE9" w:rsidP="00390AE9">
      <w:pPr>
        <w:pStyle w:val="Heading2"/>
        <w:rPr>
          <w:rFonts w:eastAsia="Calibri"/>
          <w:b w:val="0"/>
          <w:bCs w:val="0"/>
          <w:szCs w:val="24"/>
          <w:lang w:val="en-GB"/>
        </w:rPr>
      </w:pPr>
      <w:r w:rsidRPr="004D54F9">
        <w:rPr>
          <w:rFonts w:eastAsia="Calibri"/>
          <w:szCs w:val="24"/>
          <w:lang w:val="en-GB"/>
        </w:rPr>
        <w:t xml:space="preserve">Section A: </w:t>
      </w:r>
      <w:r>
        <w:rPr>
          <w:rFonts w:eastAsia="Calibri"/>
          <w:szCs w:val="24"/>
          <w:lang w:val="en-GB"/>
        </w:rPr>
        <w:t xml:space="preserve">IEWB Data </w:t>
      </w:r>
    </w:p>
    <w:p w14:paraId="5A47F2C4" w14:textId="1467521B" w:rsidR="00390AE9" w:rsidRPr="00DB2838" w:rsidRDefault="00687B71" w:rsidP="00390AE9">
      <w:pPr>
        <w:jc w:val="both"/>
        <w:rPr>
          <w:rFonts w:ascii="Times New Roman" w:eastAsia="Times New Roman" w:hAnsi="Times New Roman" w:cs="Times New Roman"/>
          <w:color w:val="000000" w:themeColor="text1"/>
          <w:sz w:val="24"/>
          <w:lang w:val="en-US"/>
        </w:rPr>
      </w:pPr>
      <w:r w:rsidRPr="00DB2838">
        <w:rPr>
          <w:rFonts w:ascii="Times New Roman" w:hAnsi="Times New Roman" w:cs="Times New Roman"/>
          <w:color w:val="000000" w:themeColor="text1"/>
          <w:lang w:val="en-GB"/>
        </w:rPr>
        <w:t xml:space="preserve">The </w:t>
      </w:r>
      <w:r w:rsidR="00390AE9" w:rsidRPr="00DB2838">
        <w:rPr>
          <w:rFonts w:ascii="Times New Roman" w:hAnsi="Times New Roman" w:cs="Times New Roman"/>
          <w:color w:val="000000" w:themeColor="text1"/>
          <w:lang w:val="en-GB"/>
        </w:rPr>
        <w:t xml:space="preserve">IEWB database provides annual data on old-age poverty rate and gap computed </w:t>
      </w:r>
      <w:r w:rsidR="00390AE9" w:rsidRPr="00DB2838">
        <w:rPr>
          <w:rFonts w:ascii="Times New Roman" w:eastAsia="Times New Roman" w:hAnsi="Times New Roman" w:cs="Times New Roman"/>
          <w:color w:val="000000" w:themeColor="text1"/>
          <w:sz w:val="24"/>
          <w:lang w:val="en-US"/>
        </w:rPr>
        <w:t xml:space="preserve">on after-tax equivalent income data. </w:t>
      </w:r>
    </w:p>
    <w:p w14:paraId="4E2CF5B5" w14:textId="6D441AD8" w:rsidR="00390AE9" w:rsidRPr="00DB2838" w:rsidRDefault="00390AE9" w:rsidP="00390AE9">
      <w:pPr>
        <w:jc w:val="both"/>
        <w:rPr>
          <w:rFonts w:ascii="Times New Roman" w:hAnsi="Times New Roman" w:cs="Times New Roman"/>
          <w:color w:val="000000" w:themeColor="text1"/>
          <w:lang w:val="en-US"/>
        </w:rPr>
      </w:pPr>
      <w:r w:rsidRPr="00DB2838">
        <w:rPr>
          <w:rFonts w:ascii="Times New Roman" w:eastAsia="Times New Roman" w:hAnsi="Times New Roman" w:cs="Times New Roman"/>
          <w:color w:val="000000" w:themeColor="text1"/>
          <w:sz w:val="24"/>
          <w:lang w:val="en-US"/>
        </w:rPr>
        <w:t xml:space="preserve">Information </w:t>
      </w:r>
      <w:r w:rsidRPr="00DB2838">
        <w:rPr>
          <w:rFonts w:ascii="Times New Roman" w:hAnsi="Times New Roman" w:cs="Times New Roman"/>
          <w:color w:val="000000" w:themeColor="text1"/>
          <w:lang w:val="en-US"/>
        </w:rPr>
        <w:t xml:space="preserve">on these two variables for European countries </w:t>
      </w:r>
      <w:r w:rsidR="00687B71" w:rsidRPr="00DB2838">
        <w:rPr>
          <w:rFonts w:ascii="Times New Roman" w:hAnsi="Times New Roman" w:cs="Times New Roman"/>
          <w:color w:val="000000" w:themeColor="text1"/>
          <w:lang w:val="en-US"/>
        </w:rPr>
        <w:t xml:space="preserve">is </w:t>
      </w:r>
      <w:r w:rsidRPr="00DB2838">
        <w:rPr>
          <w:rFonts w:ascii="Times New Roman" w:hAnsi="Times New Roman" w:cs="Times New Roman"/>
          <w:color w:val="000000" w:themeColor="text1"/>
          <w:lang w:val="en-US"/>
        </w:rPr>
        <w:t xml:space="preserve">obtained from the Luxembourg Income Study for the 1980-1994 period and from Eurostat for the 1995-2014 period. This latter period is coverable by combining EU-SILC data with European Community Household Panel survey (ECHP) information. Data on for Canada are obtained from Statistics Canada’s Canadian Income Survey available through CANSIM. Data for Australia for 1980-2000 are from the Luxembourg Income Study; for 2001-2013, the estimates were calculated using microdata based on the Household, Income and </w:t>
      </w:r>
      <w:proofErr w:type="spellStart"/>
      <w:r w:rsidRPr="00DB2838">
        <w:rPr>
          <w:rFonts w:ascii="Times New Roman" w:hAnsi="Times New Roman" w:cs="Times New Roman"/>
          <w:color w:val="000000" w:themeColor="text1"/>
          <w:lang w:val="en-US"/>
        </w:rPr>
        <w:t>Labour</w:t>
      </w:r>
      <w:proofErr w:type="spellEnd"/>
      <w:r w:rsidRPr="00DB2838">
        <w:rPr>
          <w:rFonts w:ascii="Times New Roman" w:hAnsi="Times New Roman" w:cs="Times New Roman"/>
          <w:color w:val="000000" w:themeColor="text1"/>
          <w:lang w:val="en-US"/>
        </w:rPr>
        <w:t xml:space="preserve"> Dynamics in Australia Survey. Data for the United States are from the Luxembourg Income Study for 1980-1994; for 1995-2014, the estimates were calculated using microdata from the Annual Social and Economic Supplement to the Current Population Survey. </w:t>
      </w:r>
      <w:r w:rsidRPr="00DB2838">
        <w:rPr>
          <w:rFonts w:ascii="Times New Roman" w:hAnsi="Times New Roman" w:cs="Times New Roman"/>
          <w:color w:val="000000" w:themeColor="text1"/>
          <w:lang w:val="en-GB"/>
        </w:rPr>
        <w:t>For each country, missing values are interpolated using the average annual growth rate between observations. Furthermore, the methodology used by Eurostat on EU-SILC data was employed to develop EU comparable estimates for the non-EU countries included in the IEWB dataset, i.e.</w:t>
      </w:r>
      <w:r w:rsidR="00775D98" w:rsidRPr="00DB2838">
        <w:rPr>
          <w:rFonts w:ascii="Times New Roman" w:hAnsi="Times New Roman" w:cs="Times New Roman"/>
          <w:color w:val="000000" w:themeColor="text1"/>
          <w:lang w:val="en-GB"/>
        </w:rPr>
        <w:t>,</w:t>
      </w:r>
      <w:r w:rsidRPr="00DB2838">
        <w:rPr>
          <w:rFonts w:ascii="Times New Roman" w:hAnsi="Times New Roman" w:cs="Times New Roman"/>
          <w:color w:val="000000" w:themeColor="text1"/>
          <w:lang w:val="en-GB"/>
        </w:rPr>
        <w:t xml:space="preserve"> the United States, Australia, and Canada. For more detail, see:</w:t>
      </w:r>
    </w:p>
    <w:p w14:paraId="4644F9F3" w14:textId="0BD1720E" w:rsidR="00390AE9" w:rsidRPr="00A75A3B" w:rsidRDefault="00390AE9" w:rsidP="00390AE9">
      <w:pPr>
        <w:spacing w:after="0" w:line="240" w:lineRule="auto"/>
        <w:jc w:val="both"/>
        <w:rPr>
          <w:rFonts w:ascii="Times New Roman" w:hAnsi="Times New Roman" w:cs="Times New Roman"/>
          <w:lang w:val="en-GB"/>
        </w:rPr>
      </w:pPr>
      <w:r w:rsidRPr="00A75A3B">
        <w:rPr>
          <w:rFonts w:ascii="Times New Roman" w:hAnsi="Times New Roman" w:cs="Times New Roman"/>
          <w:lang w:val="en-GB"/>
        </w:rPr>
        <w:t>Andrews, B</w:t>
      </w:r>
      <w:r w:rsidR="0065714B">
        <w:rPr>
          <w:rFonts w:ascii="Times New Roman" w:hAnsi="Times New Roman" w:cs="Times New Roman"/>
          <w:lang w:val="en-GB"/>
        </w:rPr>
        <w:t>.</w:t>
      </w:r>
      <w:r w:rsidRPr="00A75A3B">
        <w:rPr>
          <w:rFonts w:ascii="Times New Roman" w:hAnsi="Times New Roman" w:cs="Times New Roman"/>
          <w:lang w:val="en-GB"/>
        </w:rPr>
        <w:t xml:space="preserve"> and Thomas</w:t>
      </w:r>
      <w:r w:rsidR="0065714B">
        <w:rPr>
          <w:rFonts w:ascii="Times New Roman" w:hAnsi="Times New Roman" w:cs="Times New Roman"/>
          <w:lang w:val="en-GB"/>
        </w:rPr>
        <w:t>, J.</w:t>
      </w:r>
      <w:r w:rsidRPr="00A75A3B">
        <w:rPr>
          <w:rFonts w:ascii="Times New Roman" w:hAnsi="Times New Roman" w:cs="Times New Roman"/>
          <w:lang w:val="en-GB"/>
        </w:rPr>
        <w:t xml:space="preserve"> (2015)</w:t>
      </w:r>
      <w:r w:rsidR="0065714B">
        <w:rPr>
          <w:rFonts w:ascii="Times New Roman" w:hAnsi="Times New Roman" w:cs="Times New Roman"/>
          <w:lang w:val="en-GB"/>
        </w:rPr>
        <w:t>,</w:t>
      </w:r>
      <w:r w:rsidRPr="00A75A3B">
        <w:rPr>
          <w:rFonts w:ascii="Times New Roman" w:hAnsi="Times New Roman" w:cs="Times New Roman"/>
          <w:lang w:val="en-GB"/>
        </w:rPr>
        <w:t xml:space="preserve"> Estimation of EU-Comparable Poverty-Related Variables in Australia, 2001-2013, </w:t>
      </w:r>
      <w:r w:rsidRPr="0065714B">
        <w:rPr>
          <w:rFonts w:ascii="Times New Roman" w:hAnsi="Times New Roman" w:cs="Times New Roman"/>
          <w:i/>
          <w:iCs/>
          <w:lang w:val="en-GB"/>
        </w:rPr>
        <w:t>CSLS Research Report 2015-13, September</w:t>
      </w:r>
      <w:r w:rsidRPr="00A75A3B">
        <w:rPr>
          <w:rFonts w:ascii="Times New Roman" w:hAnsi="Times New Roman" w:cs="Times New Roman"/>
          <w:lang w:val="en-GB"/>
        </w:rPr>
        <w:t>.</w:t>
      </w:r>
    </w:p>
    <w:p w14:paraId="192A7B31" w14:textId="0DC4D4A8" w:rsidR="0065714B" w:rsidRPr="00A75A3B" w:rsidRDefault="00A22FF7" w:rsidP="00390AE9">
      <w:pPr>
        <w:spacing w:after="0" w:line="240" w:lineRule="auto"/>
        <w:jc w:val="both"/>
        <w:rPr>
          <w:rFonts w:ascii="Times New Roman" w:hAnsi="Times New Roman" w:cs="Times New Roman"/>
          <w:lang w:val="en-GB"/>
        </w:rPr>
      </w:pPr>
      <w:hyperlink r:id="rId11" w:history="1">
        <w:r w:rsidR="00390AE9" w:rsidRPr="00A75A3B">
          <w:rPr>
            <w:rFonts w:ascii="Times New Roman" w:hAnsi="Times New Roman" w:cs="Times New Roman"/>
            <w:lang w:val="en-GB"/>
          </w:rPr>
          <w:t>http://www.csls.ca/reports/csls2015-13.pdf</w:t>
        </w:r>
      </w:hyperlink>
      <w:r w:rsidR="00390AE9" w:rsidRPr="00A75A3B">
        <w:rPr>
          <w:rFonts w:ascii="Times New Roman" w:hAnsi="Times New Roman" w:cs="Times New Roman"/>
          <w:lang w:val="en-GB"/>
        </w:rPr>
        <w:t>.</w:t>
      </w:r>
    </w:p>
    <w:p w14:paraId="2A8FEB22" w14:textId="77777777" w:rsidR="00390AE9" w:rsidRPr="004231A7" w:rsidRDefault="00390AE9" w:rsidP="00390AE9">
      <w:pPr>
        <w:spacing w:after="0" w:line="240" w:lineRule="auto"/>
        <w:jc w:val="both"/>
        <w:rPr>
          <w:rFonts w:ascii="Times New Roman" w:hAnsi="Times New Roman" w:cs="Times New Roman"/>
          <w:sz w:val="6"/>
          <w:szCs w:val="6"/>
          <w:lang w:val="en-GB"/>
        </w:rPr>
      </w:pPr>
    </w:p>
    <w:p w14:paraId="6E3C4221" w14:textId="097102A2" w:rsidR="00390AE9" w:rsidRPr="00A75A3B" w:rsidRDefault="00390AE9" w:rsidP="00390AE9">
      <w:pPr>
        <w:spacing w:after="0" w:line="240" w:lineRule="auto"/>
        <w:jc w:val="both"/>
        <w:rPr>
          <w:rFonts w:ascii="Times New Roman" w:hAnsi="Times New Roman" w:cs="Times New Roman"/>
          <w:lang w:val="en-GB"/>
        </w:rPr>
      </w:pPr>
      <w:r w:rsidRPr="00A75A3B">
        <w:rPr>
          <w:rFonts w:ascii="Times New Roman" w:hAnsi="Times New Roman" w:cs="Times New Roman"/>
          <w:lang w:val="en-GB"/>
        </w:rPr>
        <w:t>Andrews, B</w:t>
      </w:r>
      <w:r w:rsidR="0065714B">
        <w:rPr>
          <w:rFonts w:ascii="Times New Roman" w:hAnsi="Times New Roman" w:cs="Times New Roman"/>
          <w:lang w:val="en-GB"/>
        </w:rPr>
        <w:t>.</w:t>
      </w:r>
      <w:r w:rsidRPr="00A75A3B">
        <w:rPr>
          <w:rFonts w:ascii="Times New Roman" w:hAnsi="Times New Roman" w:cs="Times New Roman"/>
          <w:lang w:val="en-GB"/>
        </w:rPr>
        <w:t>, Thomas</w:t>
      </w:r>
      <w:r w:rsidR="0065714B">
        <w:rPr>
          <w:rFonts w:ascii="Times New Roman" w:hAnsi="Times New Roman" w:cs="Times New Roman"/>
          <w:lang w:val="en-GB"/>
        </w:rPr>
        <w:t>, J.</w:t>
      </w:r>
      <w:r w:rsidRPr="00A75A3B">
        <w:rPr>
          <w:rFonts w:ascii="Times New Roman" w:hAnsi="Times New Roman" w:cs="Times New Roman"/>
          <w:lang w:val="en-GB"/>
        </w:rPr>
        <w:t xml:space="preserve"> and </w:t>
      </w:r>
      <w:proofErr w:type="spellStart"/>
      <w:r w:rsidRPr="00A75A3B">
        <w:rPr>
          <w:rFonts w:ascii="Times New Roman" w:hAnsi="Times New Roman" w:cs="Times New Roman"/>
          <w:lang w:val="en-GB"/>
        </w:rPr>
        <w:t>Palesch</w:t>
      </w:r>
      <w:proofErr w:type="spellEnd"/>
      <w:r w:rsidR="0065714B">
        <w:rPr>
          <w:rFonts w:ascii="Times New Roman" w:hAnsi="Times New Roman" w:cs="Times New Roman"/>
          <w:lang w:val="en-GB"/>
        </w:rPr>
        <w:t>, N.</w:t>
      </w:r>
      <w:r w:rsidRPr="00A75A3B">
        <w:rPr>
          <w:rFonts w:ascii="Times New Roman" w:hAnsi="Times New Roman" w:cs="Times New Roman"/>
          <w:lang w:val="en-GB"/>
        </w:rPr>
        <w:t xml:space="preserve"> (2015)</w:t>
      </w:r>
      <w:r w:rsidR="0065714B">
        <w:rPr>
          <w:rFonts w:ascii="Times New Roman" w:hAnsi="Times New Roman" w:cs="Times New Roman"/>
          <w:lang w:val="en-GB"/>
        </w:rPr>
        <w:t>,</w:t>
      </w:r>
      <w:r w:rsidRPr="00A75A3B">
        <w:rPr>
          <w:rFonts w:ascii="Times New Roman" w:hAnsi="Times New Roman" w:cs="Times New Roman"/>
          <w:lang w:val="en-GB"/>
        </w:rPr>
        <w:t xml:space="preserve"> Estimation of EU-comparable Poverty-Related Variables in the United States, 1995-2014, </w:t>
      </w:r>
      <w:r w:rsidRPr="0065714B">
        <w:rPr>
          <w:rFonts w:ascii="Times New Roman" w:hAnsi="Times New Roman" w:cs="Times New Roman"/>
          <w:i/>
          <w:iCs/>
          <w:lang w:val="en-GB"/>
        </w:rPr>
        <w:t>CSLS Research Report 2015-12, September</w:t>
      </w:r>
      <w:r w:rsidRPr="00A75A3B">
        <w:rPr>
          <w:rFonts w:ascii="Times New Roman" w:hAnsi="Times New Roman" w:cs="Times New Roman"/>
          <w:lang w:val="en-GB"/>
        </w:rPr>
        <w:t>.</w:t>
      </w:r>
    </w:p>
    <w:p w14:paraId="18C1D078" w14:textId="77777777" w:rsidR="00390AE9" w:rsidRPr="00A75A3B" w:rsidRDefault="00A22FF7" w:rsidP="00390AE9">
      <w:pPr>
        <w:spacing w:after="0" w:line="240" w:lineRule="auto"/>
        <w:jc w:val="both"/>
        <w:rPr>
          <w:rFonts w:ascii="Times New Roman" w:hAnsi="Times New Roman" w:cs="Times New Roman"/>
          <w:lang w:val="en-GB"/>
        </w:rPr>
      </w:pPr>
      <w:hyperlink r:id="rId12" w:history="1">
        <w:r w:rsidR="00390AE9" w:rsidRPr="00A75A3B">
          <w:rPr>
            <w:rFonts w:ascii="Times New Roman" w:hAnsi="Times New Roman" w:cs="Times New Roman"/>
            <w:lang w:val="en-GB"/>
          </w:rPr>
          <w:t>http://www.csls.ca/reports/csls2015-12.pdf</w:t>
        </w:r>
      </w:hyperlink>
      <w:r w:rsidR="00390AE9" w:rsidRPr="00A75A3B">
        <w:rPr>
          <w:rFonts w:ascii="Times New Roman" w:hAnsi="Times New Roman" w:cs="Times New Roman"/>
          <w:lang w:val="en-GB"/>
        </w:rPr>
        <w:t>.</w:t>
      </w:r>
    </w:p>
    <w:p w14:paraId="5E675566" w14:textId="77777777" w:rsidR="00390AE9" w:rsidRPr="004231A7" w:rsidRDefault="00390AE9" w:rsidP="00390AE9">
      <w:pPr>
        <w:spacing w:after="0" w:line="240" w:lineRule="auto"/>
        <w:jc w:val="both"/>
        <w:rPr>
          <w:rFonts w:ascii="Times New Roman" w:hAnsi="Times New Roman" w:cs="Times New Roman"/>
          <w:sz w:val="6"/>
          <w:szCs w:val="6"/>
          <w:lang w:val="en-GB"/>
        </w:rPr>
      </w:pPr>
    </w:p>
    <w:p w14:paraId="3D4400AC" w14:textId="3482313A" w:rsidR="00390AE9" w:rsidRDefault="00390AE9" w:rsidP="00390AE9">
      <w:pPr>
        <w:autoSpaceDE w:val="0"/>
        <w:autoSpaceDN w:val="0"/>
        <w:adjustRightInd w:val="0"/>
        <w:spacing w:after="0" w:line="240" w:lineRule="auto"/>
        <w:jc w:val="both"/>
        <w:rPr>
          <w:rFonts w:ascii="Times New Roman" w:hAnsi="Times New Roman" w:cs="Times New Roman"/>
          <w:lang w:val="en-GB"/>
        </w:rPr>
      </w:pPr>
      <w:r w:rsidRPr="00A75A3B">
        <w:rPr>
          <w:rFonts w:ascii="Times New Roman" w:hAnsi="Times New Roman" w:cs="Times New Roman"/>
          <w:lang w:val="en-GB"/>
        </w:rPr>
        <w:t>Thomas, J</w:t>
      </w:r>
      <w:r w:rsidR="0065714B">
        <w:rPr>
          <w:rFonts w:ascii="Times New Roman" w:hAnsi="Times New Roman" w:cs="Times New Roman"/>
          <w:lang w:val="en-GB"/>
        </w:rPr>
        <w:t>.</w:t>
      </w:r>
      <w:r w:rsidRPr="00A75A3B">
        <w:rPr>
          <w:rFonts w:ascii="Times New Roman" w:hAnsi="Times New Roman" w:cs="Times New Roman"/>
          <w:lang w:val="en-GB"/>
        </w:rPr>
        <w:t xml:space="preserve">, and </w:t>
      </w:r>
      <w:proofErr w:type="spellStart"/>
      <w:r w:rsidRPr="00A75A3B">
        <w:rPr>
          <w:rFonts w:ascii="Times New Roman" w:hAnsi="Times New Roman" w:cs="Times New Roman"/>
          <w:lang w:val="en-GB"/>
        </w:rPr>
        <w:t>Uguccioni</w:t>
      </w:r>
      <w:proofErr w:type="spellEnd"/>
      <w:r w:rsidR="0065714B">
        <w:rPr>
          <w:rFonts w:ascii="Times New Roman" w:hAnsi="Times New Roman" w:cs="Times New Roman"/>
          <w:lang w:val="en-GB"/>
        </w:rPr>
        <w:t>, J.</w:t>
      </w:r>
      <w:r w:rsidRPr="00A75A3B">
        <w:rPr>
          <w:rFonts w:ascii="Times New Roman" w:hAnsi="Times New Roman" w:cs="Times New Roman"/>
          <w:lang w:val="en-GB"/>
        </w:rPr>
        <w:t xml:space="preserve"> (2016)</w:t>
      </w:r>
      <w:r w:rsidR="0065714B">
        <w:rPr>
          <w:rFonts w:ascii="Times New Roman" w:hAnsi="Times New Roman" w:cs="Times New Roman"/>
          <w:lang w:val="en-GB"/>
        </w:rPr>
        <w:t>,</w:t>
      </w:r>
      <w:r w:rsidRPr="00A75A3B">
        <w:rPr>
          <w:rFonts w:ascii="Times New Roman" w:hAnsi="Times New Roman" w:cs="Times New Roman"/>
          <w:lang w:val="en-GB"/>
        </w:rPr>
        <w:t xml:space="preserve"> Equality and Economic Security Take a Hit: The Index of Economic Well-being for Selected OECD Countries, 1980-2014, </w:t>
      </w:r>
      <w:r w:rsidRPr="0065714B">
        <w:rPr>
          <w:rFonts w:ascii="Times New Roman" w:hAnsi="Times New Roman" w:cs="Times New Roman"/>
          <w:i/>
          <w:iCs/>
          <w:lang w:val="en-GB"/>
        </w:rPr>
        <w:t>CSLS Research Report 2016-06, June</w:t>
      </w:r>
      <w:r w:rsidRPr="00A75A3B">
        <w:rPr>
          <w:rFonts w:ascii="Times New Roman" w:hAnsi="Times New Roman" w:cs="Times New Roman"/>
          <w:lang w:val="en-GB"/>
        </w:rPr>
        <w:t xml:space="preserve">. </w:t>
      </w:r>
      <w:hyperlink r:id="rId13" w:history="1">
        <w:r w:rsidRPr="00A75A3B">
          <w:rPr>
            <w:rFonts w:ascii="Times New Roman" w:hAnsi="Times New Roman" w:cs="Times New Roman"/>
            <w:lang w:val="en-GB"/>
          </w:rPr>
          <w:t>http://www.csls.ca/reports/csls2016-06.pdf</w:t>
        </w:r>
      </w:hyperlink>
      <w:r w:rsidRPr="00A75A3B">
        <w:rPr>
          <w:rFonts w:ascii="Times New Roman" w:hAnsi="Times New Roman" w:cs="Times New Roman"/>
          <w:lang w:val="en-GB"/>
        </w:rPr>
        <w:t>.</w:t>
      </w:r>
    </w:p>
    <w:p w14:paraId="01A751FE" w14:textId="0B014189" w:rsidR="00624118" w:rsidRDefault="00624118" w:rsidP="00390AE9">
      <w:pPr>
        <w:autoSpaceDE w:val="0"/>
        <w:autoSpaceDN w:val="0"/>
        <w:adjustRightInd w:val="0"/>
        <w:spacing w:after="0" w:line="240" w:lineRule="auto"/>
        <w:jc w:val="both"/>
        <w:rPr>
          <w:rFonts w:ascii="Times New Roman" w:hAnsi="Times New Roman" w:cs="Times New Roman"/>
          <w:lang w:val="en-GB"/>
        </w:rPr>
      </w:pPr>
    </w:p>
    <w:p w14:paraId="779E46A1" w14:textId="77777777" w:rsidR="00624118" w:rsidRPr="00DB2838" w:rsidRDefault="00624118" w:rsidP="004231A7">
      <w:pPr>
        <w:spacing w:after="0"/>
        <w:rPr>
          <w:rFonts w:ascii="Times New Roman" w:hAnsi="Times New Roman" w:cs="Times New Roman"/>
          <w:b/>
          <w:bCs/>
          <w:color w:val="000000" w:themeColor="text1"/>
          <w:lang w:val="en-GB"/>
        </w:rPr>
      </w:pPr>
      <w:r w:rsidRPr="00DB2838">
        <w:rPr>
          <w:rFonts w:ascii="Times New Roman" w:hAnsi="Times New Roman" w:cs="Times New Roman"/>
          <w:b/>
          <w:bCs/>
          <w:color w:val="000000" w:themeColor="text1"/>
          <w:lang w:val="en-GB"/>
        </w:rPr>
        <w:t xml:space="preserve">Income information </w:t>
      </w:r>
    </w:p>
    <w:p w14:paraId="0E0898F6" w14:textId="77777777" w:rsidR="00624118" w:rsidRPr="00DB2838" w:rsidRDefault="00624118" w:rsidP="00624118">
      <w:pPr>
        <w:autoSpaceDE w:val="0"/>
        <w:autoSpaceDN w:val="0"/>
        <w:adjustRightInd w:val="0"/>
        <w:spacing w:line="240" w:lineRule="auto"/>
        <w:jc w:val="both"/>
        <w:rPr>
          <w:rFonts w:ascii="Times New Roman" w:hAnsi="Times New Roman" w:cs="Times New Roman"/>
          <w:color w:val="000000" w:themeColor="text1"/>
          <w:lang w:val="en-US"/>
        </w:rPr>
      </w:pPr>
      <w:r w:rsidRPr="00DB2838">
        <w:rPr>
          <w:rFonts w:ascii="Times New Roman" w:hAnsi="Times New Roman" w:cs="Times New Roman"/>
          <w:color w:val="000000" w:themeColor="text1"/>
          <w:lang w:val="en-US"/>
        </w:rPr>
        <w:t xml:space="preserve">Main sources for IEWB poverty variables are LIS and EUROSTAT (and, also, national sources for USA, </w:t>
      </w:r>
      <w:proofErr w:type="gramStart"/>
      <w:r w:rsidRPr="00DB2838">
        <w:rPr>
          <w:rFonts w:ascii="Times New Roman" w:hAnsi="Times New Roman" w:cs="Times New Roman"/>
          <w:color w:val="000000" w:themeColor="text1"/>
          <w:lang w:val="en-US"/>
        </w:rPr>
        <w:t>Canada</w:t>
      </w:r>
      <w:proofErr w:type="gramEnd"/>
      <w:r w:rsidRPr="00DB2838">
        <w:rPr>
          <w:rFonts w:ascii="Times New Roman" w:hAnsi="Times New Roman" w:cs="Times New Roman"/>
          <w:color w:val="000000" w:themeColor="text1"/>
          <w:lang w:val="en-US"/>
        </w:rPr>
        <w:t xml:space="preserve"> and Australia, however these sources were harmonized to be consistent with the rest of data). </w:t>
      </w:r>
    </w:p>
    <w:p w14:paraId="7AE0BC40"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color w:val="000000" w:themeColor="text1"/>
          <w:lang w:val="en-US"/>
        </w:rPr>
      </w:pPr>
      <w:r w:rsidRPr="00DB2838">
        <w:rPr>
          <w:rFonts w:ascii="Times New Roman" w:hAnsi="Times New Roman" w:cs="Times New Roman"/>
          <w:color w:val="000000" w:themeColor="text1"/>
          <w:lang w:val="en-US"/>
        </w:rPr>
        <w:t>In the case of LIS data, IEWB uses DPI variable which captures cash disposable household income. In LIS documentation, they define this variable in the following way: “</w:t>
      </w:r>
      <w:r w:rsidRPr="00DB2838">
        <w:rPr>
          <w:rFonts w:ascii="Times New Roman" w:hAnsi="Times New Roman" w:cs="Times New Roman"/>
          <w:i/>
          <w:iCs/>
          <w:color w:val="000000" w:themeColor="text1"/>
          <w:lang w:val="en-US"/>
        </w:rPr>
        <w:t>Total monetary current income net of income taxes and social security contributions; this variable is defined (as well as named) in exactly the same way as the old LIS DPI variable</w:t>
      </w:r>
      <w:r w:rsidRPr="00DB2838">
        <w:rPr>
          <w:rFonts w:ascii="Times New Roman" w:hAnsi="Times New Roman" w:cs="Times New Roman"/>
          <w:color w:val="000000" w:themeColor="text1"/>
          <w:lang w:val="en-US"/>
        </w:rPr>
        <w:t xml:space="preserve">”. </w:t>
      </w:r>
    </w:p>
    <w:p w14:paraId="1AA2EDDF"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color w:val="000000" w:themeColor="text1"/>
          <w:lang w:val="en-US"/>
        </w:rPr>
      </w:pPr>
      <w:r w:rsidRPr="00DB2838">
        <w:rPr>
          <w:rFonts w:ascii="Times New Roman" w:hAnsi="Times New Roman" w:cs="Times New Roman"/>
          <w:color w:val="000000" w:themeColor="text1"/>
          <w:lang w:val="en-US"/>
        </w:rPr>
        <w:t xml:space="preserve">The components of this variable are: </w:t>
      </w:r>
    </w:p>
    <w:p w14:paraId="778C38FC" w14:textId="77777777" w:rsidR="00624118" w:rsidRPr="00DB2838" w:rsidRDefault="00624118" w:rsidP="00624118">
      <w:pPr>
        <w:pStyle w:val="ListParagraph"/>
        <w:numPr>
          <w:ilvl w:val="0"/>
          <w:numId w:val="1"/>
        </w:numPr>
        <w:autoSpaceDE w:val="0"/>
        <w:autoSpaceDN w:val="0"/>
        <w:adjustRightInd w:val="0"/>
        <w:spacing w:after="0" w:line="240" w:lineRule="auto"/>
        <w:jc w:val="both"/>
        <w:rPr>
          <w:rFonts w:ascii="Times New Roman" w:hAnsi="Times New Roman" w:cs="Times New Roman"/>
          <w:i/>
          <w:iCs/>
          <w:color w:val="000000" w:themeColor="text1"/>
          <w:lang w:val="en-US"/>
        </w:rPr>
      </w:pPr>
      <w:r w:rsidRPr="00DB2838">
        <w:rPr>
          <w:rFonts w:ascii="Times New Roman" w:hAnsi="Times New Roman" w:cs="Times New Roman"/>
          <w:i/>
          <w:iCs/>
          <w:color w:val="000000" w:themeColor="text1"/>
          <w:lang w:val="en-US"/>
        </w:rPr>
        <w:t xml:space="preserve">Total monetary payments from </w:t>
      </w:r>
      <w:proofErr w:type="spellStart"/>
      <w:r w:rsidRPr="00DB2838">
        <w:rPr>
          <w:rFonts w:ascii="Times New Roman" w:hAnsi="Times New Roman" w:cs="Times New Roman"/>
          <w:i/>
          <w:iCs/>
          <w:color w:val="000000" w:themeColor="text1"/>
          <w:lang w:val="en-US"/>
        </w:rPr>
        <w:t>labour</w:t>
      </w:r>
      <w:proofErr w:type="spellEnd"/>
      <w:r w:rsidRPr="00DB2838">
        <w:rPr>
          <w:rFonts w:ascii="Times New Roman" w:hAnsi="Times New Roman" w:cs="Times New Roman"/>
          <w:i/>
          <w:iCs/>
          <w:color w:val="000000" w:themeColor="text1"/>
          <w:lang w:val="en-US"/>
        </w:rPr>
        <w:t>, property, and social or private transfers.</w:t>
      </w:r>
    </w:p>
    <w:p w14:paraId="5973057F" w14:textId="77777777" w:rsidR="00624118" w:rsidRPr="00DB2838" w:rsidRDefault="00624118" w:rsidP="00624118">
      <w:pPr>
        <w:pStyle w:val="ListParagraph"/>
        <w:numPr>
          <w:ilvl w:val="0"/>
          <w:numId w:val="1"/>
        </w:numPr>
        <w:autoSpaceDE w:val="0"/>
        <w:autoSpaceDN w:val="0"/>
        <w:adjustRightInd w:val="0"/>
        <w:spacing w:line="240" w:lineRule="auto"/>
        <w:jc w:val="both"/>
        <w:rPr>
          <w:rFonts w:ascii="Times New Roman" w:hAnsi="Times New Roman" w:cs="Times New Roman"/>
          <w:i/>
          <w:iCs/>
          <w:color w:val="000000" w:themeColor="text1"/>
          <w:lang w:val="en-US"/>
        </w:rPr>
      </w:pPr>
      <w:r w:rsidRPr="00DB2838">
        <w:rPr>
          <w:rFonts w:ascii="Times New Roman" w:hAnsi="Times New Roman" w:cs="Times New Roman"/>
          <w:i/>
          <w:iCs/>
          <w:color w:val="000000" w:themeColor="text1"/>
          <w:lang w:val="en-US"/>
        </w:rPr>
        <w:t xml:space="preserve">Total value of non-monetary goods and services received from </w:t>
      </w:r>
      <w:proofErr w:type="spellStart"/>
      <w:r w:rsidRPr="00DB2838">
        <w:rPr>
          <w:rFonts w:ascii="Times New Roman" w:hAnsi="Times New Roman" w:cs="Times New Roman"/>
          <w:i/>
          <w:iCs/>
          <w:color w:val="000000" w:themeColor="text1"/>
          <w:lang w:val="en-US"/>
        </w:rPr>
        <w:t>labour</w:t>
      </w:r>
      <w:proofErr w:type="spellEnd"/>
      <w:r w:rsidRPr="00DB2838">
        <w:rPr>
          <w:rFonts w:ascii="Times New Roman" w:hAnsi="Times New Roman" w:cs="Times New Roman"/>
          <w:i/>
          <w:iCs/>
          <w:color w:val="000000" w:themeColor="text1"/>
          <w:lang w:val="en-US"/>
        </w:rPr>
        <w:t xml:space="preserve"> and social or private transfers, excluding social transfers in kind such as universal health insurance, universal education benefits, and near cash benefits from public housing. </w:t>
      </w:r>
    </w:p>
    <w:p w14:paraId="2CA6ACFC"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color w:val="000000" w:themeColor="text1"/>
          <w:lang w:val="en-US"/>
        </w:rPr>
      </w:pPr>
      <w:r w:rsidRPr="00DB2838">
        <w:rPr>
          <w:rFonts w:ascii="Times New Roman" w:hAnsi="Times New Roman" w:cs="Times New Roman"/>
          <w:color w:val="000000" w:themeColor="text1"/>
          <w:lang w:val="en-US"/>
        </w:rPr>
        <w:t xml:space="preserve">Moreover, in the income from rent voice, they add this note: </w:t>
      </w:r>
    </w:p>
    <w:p w14:paraId="1146FCD7" w14:textId="77777777" w:rsidR="00624118" w:rsidRPr="00DB2838" w:rsidRDefault="00624118" w:rsidP="00624118">
      <w:pPr>
        <w:pStyle w:val="ListParagraph"/>
        <w:numPr>
          <w:ilvl w:val="0"/>
          <w:numId w:val="1"/>
        </w:numPr>
        <w:autoSpaceDE w:val="0"/>
        <w:autoSpaceDN w:val="0"/>
        <w:adjustRightInd w:val="0"/>
        <w:spacing w:line="240" w:lineRule="auto"/>
        <w:jc w:val="both"/>
        <w:rPr>
          <w:rFonts w:ascii="Times New Roman" w:hAnsi="Times New Roman" w:cs="Times New Roman"/>
          <w:i/>
          <w:iCs/>
          <w:color w:val="000000" w:themeColor="text1"/>
          <w:lang w:val="en-US"/>
        </w:rPr>
      </w:pPr>
      <w:r w:rsidRPr="00DB2838">
        <w:rPr>
          <w:rFonts w:ascii="Times New Roman" w:hAnsi="Times New Roman" w:cs="Times New Roman"/>
          <w:i/>
          <w:iCs/>
          <w:color w:val="000000" w:themeColor="text1"/>
          <w:lang w:val="en-US"/>
        </w:rPr>
        <w:t>Imputed rent is not considered as current income and hence not included in the income variables; if available in the original dataset, imputed rent is reported in the LIS variables among non-monetary consumption items.</w:t>
      </w:r>
    </w:p>
    <w:p w14:paraId="6B5E8DE8"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color w:val="000000" w:themeColor="text1"/>
          <w:lang w:val="en-US"/>
        </w:rPr>
      </w:pPr>
      <w:r w:rsidRPr="00DB2838">
        <w:rPr>
          <w:rFonts w:ascii="Times New Roman" w:hAnsi="Times New Roman" w:cs="Times New Roman"/>
          <w:color w:val="000000" w:themeColor="text1"/>
          <w:lang w:val="en-US"/>
        </w:rPr>
        <w:lastRenderedPageBreak/>
        <w:t xml:space="preserve">Therefore, while monetary social benefits, including housing, are part of the income variable in LIS, imputed rents are not. </w:t>
      </w:r>
    </w:p>
    <w:p w14:paraId="606BB547" w14:textId="3B920E87" w:rsidR="00624118" w:rsidRPr="00DB2838" w:rsidRDefault="00624118" w:rsidP="00624118">
      <w:pPr>
        <w:autoSpaceDE w:val="0"/>
        <w:autoSpaceDN w:val="0"/>
        <w:adjustRightInd w:val="0"/>
        <w:spacing w:before="240" w:after="0" w:line="240" w:lineRule="auto"/>
        <w:jc w:val="both"/>
        <w:rPr>
          <w:rFonts w:ascii="Times New Roman" w:hAnsi="Times New Roman" w:cs="Times New Roman"/>
          <w:i/>
          <w:iCs/>
          <w:color w:val="000000" w:themeColor="text1"/>
          <w:lang w:val="en-US"/>
        </w:rPr>
      </w:pPr>
      <w:r w:rsidRPr="00DB2838">
        <w:rPr>
          <w:rFonts w:ascii="Times New Roman" w:hAnsi="Times New Roman" w:cs="Times New Roman"/>
          <w:color w:val="000000" w:themeColor="text1"/>
          <w:lang w:val="en-US"/>
        </w:rPr>
        <w:t xml:space="preserve">In the case of EUROSTAT data, the income information is derived from EUSILC. In </w:t>
      </w:r>
      <w:r w:rsidR="004231A7" w:rsidRPr="00DB2838">
        <w:rPr>
          <w:rFonts w:ascii="Times New Roman" w:hAnsi="Times New Roman" w:cs="Times New Roman"/>
          <w:color w:val="000000" w:themeColor="text1"/>
          <w:lang w:val="en-US"/>
        </w:rPr>
        <w:t xml:space="preserve">the </w:t>
      </w:r>
      <w:proofErr w:type="gramStart"/>
      <w:r w:rsidRPr="00DB2838">
        <w:rPr>
          <w:rFonts w:ascii="Times New Roman" w:hAnsi="Times New Roman" w:cs="Times New Roman"/>
          <w:color w:val="000000" w:themeColor="text1"/>
          <w:lang w:val="en-US"/>
        </w:rPr>
        <w:t>EUROSTAT  website</w:t>
      </w:r>
      <w:proofErr w:type="gramEnd"/>
      <w:r w:rsidRPr="00DB2838">
        <w:rPr>
          <w:rFonts w:ascii="Times New Roman" w:hAnsi="Times New Roman" w:cs="Times New Roman"/>
          <w:color w:val="000000" w:themeColor="text1"/>
          <w:lang w:val="en-US"/>
        </w:rPr>
        <w:t>, they define income as follows: “</w:t>
      </w:r>
      <w:r w:rsidRPr="00DB2838">
        <w:rPr>
          <w:rFonts w:ascii="Times New Roman" w:hAnsi="Times New Roman" w:cs="Times New Roman"/>
          <w:i/>
          <w:iCs/>
          <w:color w:val="000000" w:themeColor="text1"/>
          <w:lang w:val="en-US"/>
        </w:rPr>
        <w:t xml:space="preserve">The </w:t>
      </w:r>
      <w:proofErr w:type="spellStart"/>
      <w:r w:rsidRPr="00DB2838">
        <w:rPr>
          <w:rFonts w:ascii="Times New Roman" w:hAnsi="Times New Roman" w:cs="Times New Roman"/>
          <w:i/>
          <w:iCs/>
          <w:color w:val="000000" w:themeColor="text1"/>
          <w:lang w:val="en-US"/>
        </w:rPr>
        <w:t>equivalised</w:t>
      </w:r>
      <w:proofErr w:type="spellEnd"/>
      <w:r w:rsidRPr="00DB2838">
        <w:rPr>
          <w:rFonts w:ascii="Times New Roman" w:hAnsi="Times New Roman" w:cs="Times New Roman"/>
          <w:i/>
          <w:iCs/>
          <w:color w:val="000000" w:themeColor="text1"/>
          <w:lang w:val="en-US"/>
        </w:rPr>
        <w:t xml:space="preserve"> disposable income is the total income of a household, after tax and other deductions, that is available for spending or saving, divided by the number of household members converted into </w:t>
      </w:r>
      <w:proofErr w:type="spellStart"/>
      <w:r w:rsidRPr="00DB2838">
        <w:rPr>
          <w:rFonts w:ascii="Times New Roman" w:hAnsi="Times New Roman" w:cs="Times New Roman"/>
          <w:i/>
          <w:iCs/>
          <w:color w:val="000000" w:themeColor="text1"/>
          <w:lang w:val="en-US"/>
        </w:rPr>
        <w:t>equalised</w:t>
      </w:r>
      <w:proofErr w:type="spellEnd"/>
      <w:r w:rsidRPr="00DB2838">
        <w:rPr>
          <w:rFonts w:ascii="Times New Roman" w:hAnsi="Times New Roman" w:cs="Times New Roman"/>
          <w:i/>
          <w:iCs/>
          <w:color w:val="000000" w:themeColor="text1"/>
          <w:lang w:val="en-US"/>
        </w:rPr>
        <w:t xml:space="preserve"> adults”. </w:t>
      </w:r>
      <w:r w:rsidRPr="00DB2838">
        <w:rPr>
          <w:rFonts w:ascii="Times New Roman" w:hAnsi="Times New Roman" w:cs="Times New Roman"/>
          <w:color w:val="000000" w:themeColor="text1"/>
          <w:lang w:val="en-US"/>
        </w:rPr>
        <w:t>EUSILC documentation, on the other side, reports the following information regarding their income variable: “</w:t>
      </w:r>
      <w:r w:rsidRPr="00DB2838">
        <w:rPr>
          <w:rFonts w:ascii="Times New Roman" w:hAnsi="Times New Roman" w:cs="Times New Roman"/>
          <w:i/>
          <w:iCs/>
          <w:color w:val="000000" w:themeColor="text1"/>
          <w:lang w:val="en-US"/>
        </w:rPr>
        <w:t>All monetary incomes received from any source by each member of a household are added up; these include income from work, investment and social benefits, plus any other household income; taxes and social contributions that have been paid, are deducted from this sum;”</w:t>
      </w:r>
    </w:p>
    <w:p w14:paraId="1F1655F0" w14:textId="77777777" w:rsidR="00624118" w:rsidRPr="00DB2838" w:rsidRDefault="00624118" w:rsidP="00624118">
      <w:pPr>
        <w:autoSpaceDE w:val="0"/>
        <w:autoSpaceDN w:val="0"/>
        <w:adjustRightInd w:val="0"/>
        <w:spacing w:before="240" w:after="0" w:line="240" w:lineRule="auto"/>
        <w:jc w:val="both"/>
        <w:rPr>
          <w:rFonts w:ascii="Times New Roman" w:hAnsi="Times New Roman" w:cs="Times New Roman"/>
          <w:color w:val="000000" w:themeColor="text1"/>
          <w:lang w:val="en-GB"/>
        </w:rPr>
      </w:pPr>
      <w:r w:rsidRPr="00DB2838">
        <w:rPr>
          <w:rFonts w:ascii="Times New Roman" w:hAnsi="Times New Roman" w:cs="Times New Roman"/>
          <w:color w:val="000000" w:themeColor="text1"/>
          <w:lang w:val="en-GB"/>
        </w:rPr>
        <w:t>The components of household income variable (</w:t>
      </w:r>
      <w:r w:rsidRPr="00DB2838">
        <w:rPr>
          <w:rFonts w:ascii="Times New Roman" w:hAnsi="Times New Roman" w:cs="Times New Roman"/>
          <w:color w:val="000000" w:themeColor="text1"/>
          <w:lang w:val="en-US"/>
        </w:rPr>
        <w:t>HY010)</w:t>
      </w:r>
      <w:r w:rsidRPr="00DB2838">
        <w:rPr>
          <w:rFonts w:ascii="Times New Roman" w:hAnsi="Times New Roman" w:cs="Times New Roman"/>
          <w:color w:val="000000" w:themeColor="text1"/>
          <w:lang w:val="en-GB"/>
        </w:rPr>
        <w:t xml:space="preserve"> are the following ones: </w:t>
      </w:r>
    </w:p>
    <w:p w14:paraId="36EB964E"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color w:val="000000" w:themeColor="text1"/>
          <w:lang w:val="en-GB"/>
        </w:rPr>
      </w:pPr>
      <w:r w:rsidRPr="00DB2838">
        <w:rPr>
          <w:rFonts w:ascii="Times New Roman" w:hAnsi="Times New Roman" w:cs="Times New Roman"/>
          <w:color w:val="000000" w:themeColor="text1"/>
          <w:lang w:val="en-GB"/>
        </w:rPr>
        <w:t xml:space="preserve"> -</w:t>
      </w:r>
      <w:r w:rsidRPr="00DB2838">
        <w:rPr>
          <w:rFonts w:ascii="Times New Roman" w:hAnsi="Times New Roman" w:cs="Times New Roman"/>
          <w:i/>
          <w:iCs/>
          <w:color w:val="000000" w:themeColor="text1"/>
          <w:lang w:val="en-US"/>
        </w:rPr>
        <w:t xml:space="preserve"> gross employee cash or near cash income (PY010G),</w:t>
      </w:r>
    </w:p>
    <w:p w14:paraId="06F1F812"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i/>
          <w:iCs/>
          <w:color w:val="000000" w:themeColor="text1"/>
          <w:lang w:val="en-US"/>
        </w:rPr>
      </w:pPr>
      <w:r w:rsidRPr="00DB2838">
        <w:rPr>
          <w:rFonts w:ascii="Times New Roman" w:hAnsi="Times New Roman" w:cs="Times New Roman"/>
          <w:i/>
          <w:iCs/>
          <w:color w:val="000000" w:themeColor="text1"/>
          <w:lang w:val="en-US"/>
        </w:rPr>
        <w:t>- company car (PY021G),</w:t>
      </w:r>
    </w:p>
    <w:p w14:paraId="0BC673D4"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i/>
          <w:iCs/>
          <w:color w:val="000000" w:themeColor="text1"/>
          <w:lang w:val="en-US"/>
        </w:rPr>
      </w:pPr>
      <w:r w:rsidRPr="00DB2838">
        <w:rPr>
          <w:rFonts w:ascii="Times New Roman" w:hAnsi="Times New Roman" w:cs="Times New Roman"/>
          <w:i/>
          <w:iCs/>
          <w:color w:val="000000" w:themeColor="text1"/>
          <w:lang w:val="en-US"/>
        </w:rPr>
        <w:t>- gross cash benefits or losses from self-employment (including royalties) (PY050G),</w:t>
      </w:r>
    </w:p>
    <w:p w14:paraId="575642B6"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i/>
          <w:iCs/>
          <w:color w:val="000000" w:themeColor="text1"/>
          <w:lang w:val="en-US"/>
        </w:rPr>
      </w:pPr>
      <w:r w:rsidRPr="00DB2838">
        <w:rPr>
          <w:rFonts w:ascii="Times New Roman" w:hAnsi="Times New Roman" w:cs="Times New Roman"/>
          <w:i/>
          <w:iCs/>
          <w:color w:val="000000" w:themeColor="text1"/>
          <w:lang w:val="en-US"/>
        </w:rPr>
        <w:t>- pensions received from individual private plans (other than those covered under ESSPROS) (PY080G),</w:t>
      </w:r>
    </w:p>
    <w:p w14:paraId="234A30E3"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i/>
          <w:iCs/>
          <w:color w:val="000000" w:themeColor="text1"/>
          <w:lang w:val="en-US"/>
        </w:rPr>
      </w:pPr>
      <w:r w:rsidRPr="00DB2838">
        <w:rPr>
          <w:rFonts w:ascii="Times New Roman" w:hAnsi="Times New Roman" w:cs="Times New Roman"/>
          <w:i/>
          <w:iCs/>
          <w:color w:val="000000" w:themeColor="text1"/>
          <w:lang w:val="en-US"/>
        </w:rPr>
        <w:t>- unemployment benefits (PY090G),</w:t>
      </w:r>
    </w:p>
    <w:p w14:paraId="70423619"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i/>
          <w:iCs/>
          <w:color w:val="000000" w:themeColor="text1"/>
          <w:lang w:val="en-US"/>
        </w:rPr>
      </w:pPr>
      <w:r w:rsidRPr="00DB2838">
        <w:rPr>
          <w:rFonts w:ascii="Times New Roman" w:hAnsi="Times New Roman" w:cs="Times New Roman"/>
          <w:i/>
          <w:iCs/>
          <w:color w:val="000000" w:themeColor="text1"/>
          <w:lang w:val="en-US"/>
        </w:rPr>
        <w:t>- old-age benefits (PY100G),</w:t>
      </w:r>
    </w:p>
    <w:p w14:paraId="372261C8"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i/>
          <w:iCs/>
          <w:color w:val="000000" w:themeColor="text1"/>
          <w:lang w:val="en-US"/>
        </w:rPr>
      </w:pPr>
      <w:r w:rsidRPr="00DB2838">
        <w:rPr>
          <w:rFonts w:ascii="Times New Roman" w:hAnsi="Times New Roman" w:cs="Times New Roman"/>
          <w:i/>
          <w:iCs/>
          <w:color w:val="000000" w:themeColor="text1"/>
          <w:lang w:val="en-US"/>
        </w:rPr>
        <w:t>- survivor' benefits (PY110G),</w:t>
      </w:r>
    </w:p>
    <w:p w14:paraId="3D0E0382"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i/>
          <w:iCs/>
          <w:color w:val="000000" w:themeColor="text1"/>
          <w:lang w:val="en-US"/>
        </w:rPr>
      </w:pPr>
      <w:r w:rsidRPr="00DB2838">
        <w:rPr>
          <w:rFonts w:ascii="Times New Roman" w:hAnsi="Times New Roman" w:cs="Times New Roman"/>
          <w:i/>
          <w:iCs/>
          <w:color w:val="000000" w:themeColor="text1"/>
          <w:lang w:val="en-US"/>
        </w:rPr>
        <w:t>- sickness benefits (PY120G),</w:t>
      </w:r>
    </w:p>
    <w:p w14:paraId="5DA96180"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i/>
          <w:iCs/>
          <w:color w:val="000000" w:themeColor="text1"/>
          <w:lang w:val="en-US"/>
        </w:rPr>
      </w:pPr>
      <w:r w:rsidRPr="00DB2838">
        <w:rPr>
          <w:rFonts w:ascii="Times New Roman" w:hAnsi="Times New Roman" w:cs="Times New Roman"/>
          <w:i/>
          <w:iCs/>
          <w:color w:val="000000" w:themeColor="text1"/>
          <w:lang w:val="en-US"/>
        </w:rPr>
        <w:t>- disability benefits (PY130G),</w:t>
      </w:r>
    </w:p>
    <w:p w14:paraId="460E4C15"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i/>
          <w:iCs/>
          <w:color w:val="000000" w:themeColor="text1"/>
          <w:lang w:val="en-US"/>
        </w:rPr>
      </w:pPr>
      <w:r w:rsidRPr="00DB2838">
        <w:rPr>
          <w:rFonts w:ascii="Times New Roman" w:hAnsi="Times New Roman" w:cs="Times New Roman"/>
          <w:i/>
          <w:iCs/>
          <w:color w:val="000000" w:themeColor="text1"/>
          <w:lang w:val="en-US"/>
        </w:rPr>
        <w:t>- education-related allowances (PY140G</w:t>
      </w:r>
      <w:proofErr w:type="gramStart"/>
      <w:r w:rsidRPr="00DB2838">
        <w:rPr>
          <w:rFonts w:ascii="Times New Roman" w:hAnsi="Times New Roman" w:cs="Times New Roman"/>
          <w:i/>
          <w:iCs/>
          <w:color w:val="000000" w:themeColor="text1"/>
          <w:lang w:val="en-US"/>
        </w:rPr>
        <w:t>);</w:t>
      </w:r>
      <w:proofErr w:type="gramEnd"/>
    </w:p>
    <w:p w14:paraId="2D89A0A4" w14:textId="77777777" w:rsidR="00624118" w:rsidRPr="00DB2838" w:rsidRDefault="00624118" w:rsidP="00624118">
      <w:pPr>
        <w:autoSpaceDE w:val="0"/>
        <w:autoSpaceDN w:val="0"/>
        <w:adjustRightInd w:val="0"/>
        <w:spacing w:before="240" w:line="240" w:lineRule="auto"/>
        <w:jc w:val="both"/>
        <w:rPr>
          <w:rFonts w:ascii="Times New Roman" w:hAnsi="Times New Roman" w:cs="Times New Roman"/>
          <w:color w:val="000000" w:themeColor="text1"/>
          <w:lang w:val="en-US"/>
        </w:rPr>
      </w:pPr>
      <w:proofErr w:type="gramStart"/>
      <w:r w:rsidRPr="00DB2838">
        <w:rPr>
          <w:rFonts w:ascii="Times New Roman" w:hAnsi="Times New Roman" w:cs="Times New Roman"/>
          <w:color w:val="000000" w:themeColor="text1"/>
          <w:lang w:val="en-US"/>
        </w:rPr>
        <w:t>plus</w:t>
      </w:r>
      <w:proofErr w:type="gramEnd"/>
      <w:r w:rsidRPr="00DB2838">
        <w:rPr>
          <w:rFonts w:ascii="Times New Roman" w:hAnsi="Times New Roman" w:cs="Times New Roman"/>
          <w:color w:val="000000" w:themeColor="text1"/>
          <w:lang w:val="en-US"/>
        </w:rPr>
        <w:t xml:space="preserve"> gross income components at household level:</w:t>
      </w:r>
    </w:p>
    <w:p w14:paraId="13E47358"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i/>
          <w:iCs/>
          <w:color w:val="000000" w:themeColor="text1"/>
          <w:lang w:val="en-US"/>
        </w:rPr>
      </w:pPr>
      <w:r w:rsidRPr="00DB2838">
        <w:rPr>
          <w:rFonts w:ascii="Times New Roman" w:hAnsi="Times New Roman" w:cs="Times New Roman"/>
          <w:i/>
          <w:iCs/>
          <w:color w:val="000000" w:themeColor="text1"/>
          <w:lang w:val="en-US"/>
        </w:rPr>
        <w:t>- income from rental of a property or land (HY040G),</w:t>
      </w:r>
    </w:p>
    <w:p w14:paraId="3E29C08C"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i/>
          <w:iCs/>
          <w:color w:val="000000" w:themeColor="text1"/>
          <w:lang w:val="en-US"/>
        </w:rPr>
      </w:pPr>
      <w:r w:rsidRPr="00DB2838">
        <w:rPr>
          <w:rFonts w:ascii="Times New Roman" w:hAnsi="Times New Roman" w:cs="Times New Roman"/>
          <w:i/>
          <w:iCs/>
          <w:color w:val="000000" w:themeColor="text1"/>
          <w:lang w:val="en-US"/>
        </w:rPr>
        <w:t>- family/children related allowances (HY050G),</w:t>
      </w:r>
    </w:p>
    <w:p w14:paraId="62CCA2EF"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i/>
          <w:iCs/>
          <w:color w:val="000000" w:themeColor="text1"/>
          <w:lang w:val="en-US"/>
        </w:rPr>
      </w:pPr>
      <w:r w:rsidRPr="00DB2838">
        <w:rPr>
          <w:rFonts w:ascii="Times New Roman" w:hAnsi="Times New Roman" w:cs="Times New Roman"/>
          <w:i/>
          <w:iCs/>
          <w:color w:val="000000" w:themeColor="text1"/>
          <w:lang w:val="en-US"/>
        </w:rPr>
        <w:t>- social exclusion not elsewhere classified (HY060G),</w:t>
      </w:r>
    </w:p>
    <w:p w14:paraId="5F939020"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i/>
          <w:iCs/>
          <w:color w:val="000000" w:themeColor="text1"/>
          <w:lang w:val="en-US"/>
        </w:rPr>
      </w:pPr>
      <w:r w:rsidRPr="00DB2838">
        <w:rPr>
          <w:rFonts w:ascii="Times New Roman" w:hAnsi="Times New Roman" w:cs="Times New Roman"/>
          <w:i/>
          <w:iCs/>
          <w:color w:val="000000" w:themeColor="text1"/>
          <w:lang w:val="en-US"/>
        </w:rPr>
        <w:t>- housing allowances (HY070G)</w:t>
      </w:r>
    </w:p>
    <w:p w14:paraId="3B0D0BA5" w14:textId="77777777" w:rsidR="00624118" w:rsidRPr="00DB2838" w:rsidRDefault="00624118" w:rsidP="00624118">
      <w:pPr>
        <w:autoSpaceDE w:val="0"/>
        <w:autoSpaceDN w:val="0"/>
        <w:adjustRightInd w:val="0"/>
        <w:spacing w:before="240" w:after="0" w:line="240" w:lineRule="auto"/>
        <w:jc w:val="both"/>
        <w:rPr>
          <w:rFonts w:ascii="Times New Roman" w:hAnsi="Times New Roman" w:cs="Times New Roman"/>
          <w:color w:val="000000" w:themeColor="text1"/>
          <w:lang w:val="en-US"/>
        </w:rPr>
      </w:pPr>
      <w:r w:rsidRPr="00DB2838">
        <w:rPr>
          <w:rFonts w:ascii="Times New Roman" w:hAnsi="Times New Roman" w:cs="Times New Roman"/>
          <w:color w:val="000000" w:themeColor="text1"/>
          <w:lang w:val="en-US"/>
        </w:rPr>
        <w:t>As in the case of LIS data, imputed rents are available in the following variable (HY030</w:t>
      </w:r>
      <w:proofErr w:type="gramStart"/>
      <w:r w:rsidRPr="00DB2838">
        <w:rPr>
          <w:rFonts w:ascii="Times New Roman" w:hAnsi="Times New Roman" w:cs="Times New Roman"/>
          <w:color w:val="000000" w:themeColor="text1"/>
          <w:lang w:val="en-US"/>
        </w:rPr>
        <w:t>)</w:t>
      </w:r>
      <w:proofErr w:type="gramEnd"/>
      <w:r w:rsidRPr="00DB2838">
        <w:rPr>
          <w:rFonts w:ascii="Times New Roman" w:hAnsi="Times New Roman" w:cs="Times New Roman"/>
          <w:color w:val="000000" w:themeColor="text1"/>
          <w:lang w:val="en-US"/>
        </w:rPr>
        <w:t xml:space="preserve"> but they are not part of the household income calculation. Social housing benefits as housing allowances (HY070G) are instead included in the calculation of household income. </w:t>
      </w:r>
    </w:p>
    <w:p w14:paraId="7E84819E"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color w:val="000000" w:themeColor="text1"/>
          <w:lang w:val="en-US"/>
        </w:rPr>
      </w:pPr>
      <w:r w:rsidRPr="00DB2838">
        <w:rPr>
          <w:rFonts w:ascii="Times New Roman" w:hAnsi="Times New Roman" w:cs="Times New Roman"/>
          <w:color w:val="000000" w:themeColor="text1"/>
          <w:lang w:val="en-US"/>
        </w:rPr>
        <w:t xml:space="preserve">Overall, we think that social housing benefits should not be our main source of concert since they are already monetized in the income variable. However, we cannot account for different rates of retirees’ homeownership across countries. Further, it is also possible that there are other sources of capital income that are not captured by survey data. For this reason, we tried to tackle potential unobserved heterogeneities across countries, employing an instrumental variable approach. </w:t>
      </w:r>
    </w:p>
    <w:p w14:paraId="3C6D91F2" w14:textId="77777777" w:rsidR="00624118" w:rsidRPr="00DB2838" w:rsidRDefault="00624118" w:rsidP="00624118">
      <w:pPr>
        <w:autoSpaceDE w:val="0"/>
        <w:autoSpaceDN w:val="0"/>
        <w:adjustRightInd w:val="0"/>
        <w:spacing w:before="240" w:line="240" w:lineRule="auto"/>
        <w:jc w:val="both"/>
        <w:rPr>
          <w:rFonts w:ascii="Times New Roman" w:hAnsi="Times New Roman" w:cs="Times New Roman"/>
          <w:color w:val="000000" w:themeColor="text1"/>
          <w:lang w:val="en-US"/>
        </w:rPr>
      </w:pPr>
      <w:r w:rsidRPr="00DB2838">
        <w:rPr>
          <w:rFonts w:ascii="Times New Roman" w:hAnsi="Times New Roman" w:cs="Times New Roman"/>
          <w:color w:val="000000" w:themeColor="text1"/>
          <w:lang w:val="en-US"/>
        </w:rPr>
        <w:t xml:space="preserve">Consulted documentation: </w:t>
      </w:r>
    </w:p>
    <w:p w14:paraId="5284BB04"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color w:val="000000" w:themeColor="text1"/>
          <w:lang w:val="en-US"/>
        </w:rPr>
      </w:pPr>
      <w:r w:rsidRPr="00DB2838">
        <w:rPr>
          <w:rFonts w:ascii="Times New Roman" w:hAnsi="Times New Roman" w:cs="Times New Roman"/>
          <w:color w:val="000000" w:themeColor="text1"/>
          <w:lang w:val="en-US"/>
        </w:rPr>
        <w:t>LIS</w:t>
      </w:r>
    </w:p>
    <w:bookmarkStart w:id="0" w:name="_Hlk60667299"/>
    <w:p w14:paraId="49077AF1" w14:textId="77777777" w:rsidR="00624118" w:rsidRPr="00DB2838" w:rsidRDefault="00624118" w:rsidP="00624118">
      <w:pPr>
        <w:autoSpaceDE w:val="0"/>
        <w:autoSpaceDN w:val="0"/>
        <w:adjustRightInd w:val="0"/>
        <w:spacing w:after="0" w:line="240" w:lineRule="auto"/>
        <w:jc w:val="both"/>
        <w:rPr>
          <w:rStyle w:val="Hyperlink"/>
          <w:rFonts w:ascii="Times New Roman" w:hAnsi="Times New Roman" w:cs="Times New Roman"/>
          <w:color w:val="000000" w:themeColor="text1"/>
          <w:lang w:val="en-US"/>
        </w:rPr>
      </w:pPr>
      <w:r w:rsidRPr="00DB2838">
        <w:rPr>
          <w:rFonts w:ascii="Times New Roman" w:hAnsi="Times New Roman" w:cs="Times New Roman"/>
          <w:color w:val="000000" w:themeColor="text1"/>
        </w:rPr>
        <w:fldChar w:fldCharType="begin"/>
      </w:r>
      <w:r w:rsidRPr="00DB2838">
        <w:rPr>
          <w:rFonts w:ascii="Times New Roman" w:hAnsi="Times New Roman" w:cs="Times New Roman"/>
          <w:color w:val="000000" w:themeColor="text1"/>
          <w:lang w:val="en-US"/>
        </w:rPr>
        <w:instrText xml:space="preserve"> HYPERLINK "https://www.lisdatacenter.org/documentation/" </w:instrText>
      </w:r>
      <w:r w:rsidRPr="00DB2838">
        <w:rPr>
          <w:rFonts w:ascii="Times New Roman" w:hAnsi="Times New Roman" w:cs="Times New Roman"/>
          <w:color w:val="000000" w:themeColor="text1"/>
        </w:rPr>
        <w:fldChar w:fldCharType="separate"/>
      </w:r>
      <w:r w:rsidRPr="00DB2838">
        <w:rPr>
          <w:rStyle w:val="Hyperlink"/>
          <w:rFonts w:ascii="Times New Roman" w:hAnsi="Times New Roman" w:cs="Times New Roman"/>
          <w:color w:val="000000" w:themeColor="text1"/>
          <w:lang w:val="en-US"/>
        </w:rPr>
        <w:t>https://www.lisdatacenter.org/documentation/</w:t>
      </w:r>
      <w:r w:rsidRPr="00DB2838">
        <w:rPr>
          <w:rFonts w:ascii="Times New Roman" w:hAnsi="Times New Roman" w:cs="Times New Roman"/>
          <w:color w:val="000000" w:themeColor="text1"/>
        </w:rPr>
        <w:fldChar w:fldCharType="end"/>
      </w:r>
    </w:p>
    <w:p w14:paraId="3F045E5F" w14:textId="77777777" w:rsidR="00624118" w:rsidRPr="00DB2838" w:rsidRDefault="00624118" w:rsidP="00624118">
      <w:pPr>
        <w:autoSpaceDE w:val="0"/>
        <w:autoSpaceDN w:val="0"/>
        <w:adjustRightInd w:val="0"/>
        <w:spacing w:line="240" w:lineRule="auto"/>
        <w:jc w:val="both"/>
        <w:rPr>
          <w:rFonts w:ascii="Times New Roman" w:hAnsi="Times New Roman" w:cs="Times New Roman"/>
          <w:color w:val="000000" w:themeColor="text1"/>
          <w:lang w:val="en-US"/>
        </w:rPr>
      </w:pPr>
      <w:r w:rsidRPr="00DB2838">
        <w:rPr>
          <w:rFonts w:ascii="Times New Roman" w:hAnsi="Times New Roman" w:cs="Times New Roman"/>
          <w:color w:val="000000" w:themeColor="text1"/>
          <w:lang w:val="en-US"/>
        </w:rPr>
        <w:t>our-lis-documentation-variables-definition.xlsx</w:t>
      </w:r>
    </w:p>
    <w:p w14:paraId="25A52ECA" w14:textId="77777777" w:rsidR="00624118" w:rsidRPr="00DB2838" w:rsidRDefault="00A22FF7" w:rsidP="00624118">
      <w:pPr>
        <w:autoSpaceDE w:val="0"/>
        <w:autoSpaceDN w:val="0"/>
        <w:adjustRightInd w:val="0"/>
        <w:spacing w:line="240" w:lineRule="auto"/>
        <w:jc w:val="both"/>
        <w:rPr>
          <w:rFonts w:ascii="Times New Roman" w:hAnsi="Times New Roman" w:cs="Times New Roman"/>
          <w:color w:val="000000" w:themeColor="text1"/>
          <w:u w:val="single"/>
          <w:lang w:val="en-US"/>
        </w:rPr>
      </w:pPr>
      <w:hyperlink r:id="rId14" w:history="1">
        <w:r w:rsidR="00624118" w:rsidRPr="00DB2838">
          <w:rPr>
            <w:rStyle w:val="Hyperlink"/>
            <w:rFonts w:ascii="Times New Roman" w:hAnsi="Times New Roman" w:cs="Times New Roman"/>
            <w:color w:val="000000" w:themeColor="text1"/>
            <w:lang w:val="en-US"/>
          </w:rPr>
          <w:t>https://www.lisdatacenter.org/wp-content/uploads/files/data-lis-variables.pdf</w:t>
        </w:r>
      </w:hyperlink>
    </w:p>
    <w:p w14:paraId="4D00D1C6"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color w:val="000000" w:themeColor="text1"/>
        </w:rPr>
      </w:pPr>
      <w:r w:rsidRPr="00DB2838">
        <w:rPr>
          <w:rFonts w:ascii="Times New Roman" w:hAnsi="Times New Roman" w:cs="Times New Roman"/>
          <w:color w:val="000000" w:themeColor="text1"/>
        </w:rPr>
        <w:t xml:space="preserve">EUROSTAT </w:t>
      </w:r>
    </w:p>
    <w:p w14:paraId="337C8354" w14:textId="77777777" w:rsidR="00624118" w:rsidRPr="00DB2838" w:rsidRDefault="00A22FF7" w:rsidP="00624118">
      <w:pPr>
        <w:autoSpaceDE w:val="0"/>
        <w:autoSpaceDN w:val="0"/>
        <w:adjustRightInd w:val="0"/>
        <w:spacing w:after="0" w:line="240" w:lineRule="auto"/>
        <w:jc w:val="both"/>
        <w:rPr>
          <w:rFonts w:ascii="Times New Roman" w:hAnsi="Times New Roman" w:cs="Times New Roman"/>
          <w:color w:val="000000" w:themeColor="text1"/>
        </w:rPr>
      </w:pPr>
      <w:hyperlink r:id="rId15" w:history="1">
        <w:r w:rsidR="00624118" w:rsidRPr="00DB2838">
          <w:rPr>
            <w:rStyle w:val="Hyperlink"/>
            <w:rFonts w:ascii="Times New Roman" w:hAnsi="Times New Roman" w:cs="Times New Roman"/>
            <w:color w:val="000000" w:themeColor="text1"/>
          </w:rPr>
          <w:t>https://ec.europa.eu/eurostat/statisticsexplained/index.php?title=Glossary:Equivalised_disposable_income</w:t>
        </w:r>
      </w:hyperlink>
    </w:p>
    <w:p w14:paraId="4AC704A8" w14:textId="77777777" w:rsidR="00624118" w:rsidRPr="00DB2838" w:rsidRDefault="00624118" w:rsidP="00624118">
      <w:pPr>
        <w:autoSpaceDE w:val="0"/>
        <w:autoSpaceDN w:val="0"/>
        <w:adjustRightInd w:val="0"/>
        <w:spacing w:after="0" w:line="240" w:lineRule="auto"/>
        <w:jc w:val="both"/>
        <w:rPr>
          <w:rFonts w:ascii="Times New Roman" w:hAnsi="Times New Roman" w:cs="Times New Roman"/>
          <w:color w:val="000000" w:themeColor="text1"/>
          <w:lang w:val="en-GB"/>
        </w:rPr>
      </w:pPr>
      <w:r w:rsidRPr="00DB2838">
        <w:rPr>
          <w:rFonts w:ascii="Times New Roman" w:hAnsi="Times New Roman" w:cs="Times New Roman"/>
          <w:color w:val="000000" w:themeColor="text1"/>
          <w:lang w:val="en-GB"/>
        </w:rPr>
        <w:t xml:space="preserve">EUSILC data documentation: </w:t>
      </w:r>
    </w:p>
    <w:p w14:paraId="790200FC" w14:textId="55D4B11A" w:rsidR="00390AE9" w:rsidRPr="00DB2838" w:rsidRDefault="00624118" w:rsidP="009D3C75">
      <w:pPr>
        <w:autoSpaceDE w:val="0"/>
        <w:autoSpaceDN w:val="0"/>
        <w:adjustRightInd w:val="0"/>
        <w:spacing w:after="0" w:line="240" w:lineRule="auto"/>
        <w:jc w:val="both"/>
        <w:rPr>
          <w:color w:val="000000" w:themeColor="text1"/>
          <w:lang w:val="en-GB"/>
        </w:rPr>
      </w:pPr>
      <w:r w:rsidRPr="00DB2838">
        <w:rPr>
          <w:rFonts w:ascii="Times New Roman" w:hAnsi="Times New Roman" w:cs="Times New Roman"/>
          <w:color w:val="000000" w:themeColor="text1"/>
          <w:lang w:val="en-GB"/>
        </w:rPr>
        <w:t xml:space="preserve">EU-SILC Description Target Variables Household Data (H-file), </w:t>
      </w:r>
      <w:proofErr w:type="spellStart"/>
      <w:r w:rsidRPr="00DB2838">
        <w:rPr>
          <w:rFonts w:ascii="Times New Roman" w:hAnsi="Times New Roman" w:cs="Times New Roman"/>
          <w:color w:val="000000" w:themeColor="text1"/>
          <w:lang w:val="en-GB"/>
        </w:rPr>
        <w:t>pag</w:t>
      </w:r>
      <w:proofErr w:type="spellEnd"/>
      <w:r w:rsidRPr="00DB2838">
        <w:rPr>
          <w:rFonts w:ascii="Times New Roman" w:hAnsi="Times New Roman" w:cs="Times New Roman"/>
          <w:color w:val="000000" w:themeColor="text1"/>
          <w:lang w:val="en-GB"/>
        </w:rPr>
        <w:t>. 1-27</w:t>
      </w:r>
      <w:bookmarkEnd w:id="0"/>
    </w:p>
    <w:p w14:paraId="3F5AC1AC" w14:textId="2FA41CE4" w:rsidR="00141E0C" w:rsidRPr="004D54F9" w:rsidRDefault="00141E0C" w:rsidP="00141E0C">
      <w:pPr>
        <w:pStyle w:val="Heading2"/>
        <w:rPr>
          <w:rFonts w:eastAsia="Calibri"/>
          <w:b w:val="0"/>
          <w:bCs w:val="0"/>
          <w:szCs w:val="24"/>
          <w:lang w:val="en-GB"/>
        </w:rPr>
      </w:pPr>
      <w:bookmarkStart w:id="1" w:name="_Hlk60238045"/>
      <w:r w:rsidRPr="004D54F9">
        <w:rPr>
          <w:rFonts w:eastAsia="Calibri"/>
          <w:szCs w:val="24"/>
          <w:lang w:val="en-GB"/>
        </w:rPr>
        <w:lastRenderedPageBreak/>
        <w:t xml:space="preserve">Section </w:t>
      </w:r>
      <w:r w:rsidR="00390AE9">
        <w:rPr>
          <w:rFonts w:eastAsia="Calibri"/>
          <w:szCs w:val="24"/>
          <w:lang w:val="en-GB"/>
        </w:rPr>
        <w:t>B</w:t>
      </w:r>
      <w:r w:rsidRPr="004D54F9">
        <w:rPr>
          <w:rFonts w:eastAsia="Calibri"/>
          <w:szCs w:val="24"/>
          <w:lang w:val="en-GB"/>
        </w:rPr>
        <w:t xml:space="preserve">: </w:t>
      </w:r>
      <w:bookmarkEnd w:id="1"/>
      <w:r w:rsidRPr="004D54F9">
        <w:rPr>
          <w:rFonts w:eastAsia="Calibri"/>
          <w:szCs w:val="24"/>
          <w:lang w:val="en-GB"/>
        </w:rPr>
        <w:t xml:space="preserve">List of controls </w:t>
      </w:r>
    </w:p>
    <w:p w14:paraId="70F092B6" w14:textId="65CCB62B" w:rsidR="00141E0C" w:rsidRPr="00091B8D" w:rsidRDefault="00141E0C" w:rsidP="00141E0C">
      <w:pPr>
        <w:autoSpaceDE w:val="0"/>
        <w:autoSpaceDN w:val="0"/>
        <w:adjustRightInd w:val="0"/>
        <w:spacing w:after="0" w:line="240" w:lineRule="auto"/>
        <w:jc w:val="both"/>
        <w:rPr>
          <w:rFonts w:ascii="Times New Roman" w:hAnsi="Times New Roman" w:cs="Times New Roman"/>
          <w:color w:val="000000"/>
          <w:lang w:val="en-GB"/>
        </w:rPr>
      </w:pPr>
      <w:r w:rsidRPr="00091B8D">
        <w:rPr>
          <w:rFonts w:ascii="Times New Roman" w:hAnsi="Times New Roman" w:cs="Times New Roman"/>
          <w:color w:val="000000"/>
          <w:lang w:val="en-GB"/>
        </w:rPr>
        <w:t xml:space="preserve">Table </w:t>
      </w:r>
      <w:r w:rsidR="00390AE9">
        <w:rPr>
          <w:rFonts w:ascii="Times New Roman" w:hAnsi="Times New Roman" w:cs="Times New Roman"/>
          <w:color w:val="000000"/>
          <w:lang w:val="en-GB"/>
        </w:rPr>
        <w:t>B</w:t>
      </w:r>
      <w:r w:rsidRPr="00091B8D">
        <w:rPr>
          <w:rFonts w:ascii="Times New Roman" w:hAnsi="Times New Roman" w:cs="Times New Roman"/>
          <w:color w:val="000000"/>
          <w:lang w:val="en-GB"/>
        </w:rPr>
        <w:t xml:space="preserve">.1: Description of control variables  </w:t>
      </w:r>
    </w:p>
    <w:tbl>
      <w:tblPr>
        <w:tblStyle w:val="TableGrid"/>
        <w:tblW w:w="9216" w:type="dxa"/>
        <w:tblLook w:val="04A0" w:firstRow="1" w:lastRow="0" w:firstColumn="1" w:lastColumn="0" w:noHBand="0" w:noVBand="1"/>
      </w:tblPr>
      <w:tblGrid>
        <w:gridCol w:w="1792"/>
        <w:gridCol w:w="2314"/>
        <w:gridCol w:w="1200"/>
        <w:gridCol w:w="3910"/>
      </w:tblGrid>
      <w:tr w:rsidR="00141E0C" w:rsidRPr="00C457DF" w14:paraId="040A2BEF" w14:textId="77777777" w:rsidTr="00894406">
        <w:trPr>
          <w:trHeight w:val="202"/>
        </w:trPr>
        <w:tc>
          <w:tcPr>
            <w:tcW w:w="1792" w:type="dxa"/>
            <w:noWrap/>
            <w:hideMark/>
          </w:tcPr>
          <w:p w14:paraId="58393EB6" w14:textId="77777777" w:rsidR="00141E0C" w:rsidRPr="00C457DF" w:rsidRDefault="00141E0C" w:rsidP="00C457DF">
            <w:pPr>
              <w:autoSpaceDE w:val="0"/>
              <w:autoSpaceDN w:val="0"/>
              <w:adjustRightInd w:val="0"/>
              <w:spacing w:after="0"/>
              <w:jc w:val="center"/>
              <w:rPr>
                <w:b/>
                <w:bCs/>
                <w:color w:val="000000"/>
                <w:sz w:val="20"/>
                <w:szCs w:val="20"/>
                <w:lang w:val="en-GB"/>
              </w:rPr>
            </w:pPr>
            <w:r w:rsidRPr="00C457DF">
              <w:rPr>
                <w:b/>
                <w:bCs/>
                <w:color w:val="000000"/>
                <w:sz w:val="20"/>
                <w:szCs w:val="20"/>
                <w:lang w:val="en-GB"/>
              </w:rPr>
              <w:t>Dimension</w:t>
            </w:r>
          </w:p>
        </w:tc>
        <w:tc>
          <w:tcPr>
            <w:tcW w:w="2314" w:type="dxa"/>
            <w:noWrap/>
            <w:hideMark/>
          </w:tcPr>
          <w:p w14:paraId="2727A9DB" w14:textId="77777777" w:rsidR="00141E0C" w:rsidRPr="00C457DF" w:rsidRDefault="00141E0C" w:rsidP="00C457DF">
            <w:pPr>
              <w:autoSpaceDE w:val="0"/>
              <w:autoSpaceDN w:val="0"/>
              <w:adjustRightInd w:val="0"/>
              <w:spacing w:after="0"/>
              <w:jc w:val="center"/>
              <w:rPr>
                <w:b/>
                <w:bCs/>
                <w:color w:val="000000"/>
                <w:sz w:val="20"/>
                <w:szCs w:val="20"/>
                <w:lang w:val="en-GB"/>
              </w:rPr>
            </w:pPr>
            <w:r w:rsidRPr="00C457DF">
              <w:rPr>
                <w:b/>
                <w:bCs/>
                <w:color w:val="000000"/>
                <w:sz w:val="20"/>
                <w:szCs w:val="20"/>
                <w:lang w:val="en-GB"/>
              </w:rPr>
              <w:t>Variable</w:t>
            </w:r>
          </w:p>
        </w:tc>
        <w:tc>
          <w:tcPr>
            <w:tcW w:w="1200" w:type="dxa"/>
            <w:noWrap/>
            <w:hideMark/>
          </w:tcPr>
          <w:p w14:paraId="37ABF2F4" w14:textId="77777777" w:rsidR="00141E0C" w:rsidRPr="00C457DF" w:rsidRDefault="00141E0C" w:rsidP="00C457DF">
            <w:pPr>
              <w:autoSpaceDE w:val="0"/>
              <w:autoSpaceDN w:val="0"/>
              <w:adjustRightInd w:val="0"/>
              <w:spacing w:after="0"/>
              <w:jc w:val="center"/>
              <w:rPr>
                <w:b/>
                <w:bCs/>
                <w:color w:val="000000"/>
                <w:sz w:val="20"/>
                <w:szCs w:val="20"/>
                <w:lang w:val="en-GB"/>
              </w:rPr>
            </w:pPr>
            <w:r w:rsidRPr="00C457DF">
              <w:rPr>
                <w:b/>
                <w:bCs/>
                <w:color w:val="000000"/>
                <w:sz w:val="20"/>
                <w:szCs w:val="20"/>
                <w:lang w:val="en-GB"/>
              </w:rPr>
              <w:t>Source</w:t>
            </w:r>
          </w:p>
        </w:tc>
        <w:tc>
          <w:tcPr>
            <w:tcW w:w="3910" w:type="dxa"/>
            <w:noWrap/>
            <w:hideMark/>
          </w:tcPr>
          <w:p w14:paraId="5A943D8D" w14:textId="77777777" w:rsidR="00141E0C" w:rsidRPr="00C457DF" w:rsidRDefault="00141E0C" w:rsidP="00C457DF">
            <w:pPr>
              <w:autoSpaceDE w:val="0"/>
              <w:autoSpaceDN w:val="0"/>
              <w:adjustRightInd w:val="0"/>
              <w:spacing w:after="0"/>
              <w:jc w:val="center"/>
              <w:rPr>
                <w:b/>
                <w:bCs/>
                <w:color w:val="000000"/>
                <w:sz w:val="20"/>
                <w:szCs w:val="20"/>
                <w:lang w:val="en-GB"/>
              </w:rPr>
            </w:pPr>
            <w:r w:rsidRPr="00C457DF">
              <w:rPr>
                <w:b/>
                <w:bCs/>
                <w:color w:val="000000"/>
                <w:sz w:val="20"/>
                <w:szCs w:val="20"/>
                <w:lang w:val="en-GB"/>
              </w:rPr>
              <w:t>Description</w:t>
            </w:r>
          </w:p>
        </w:tc>
      </w:tr>
      <w:tr w:rsidR="00141E0C" w:rsidRPr="001B584B" w14:paraId="520F68DD" w14:textId="77777777" w:rsidTr="00C457DF">
        <w:trPr>
          <w:trHeight w:val="631"/>
        </w:trPr>
        <w:tc>
          <w:tcPr>
            <w:tcW w:w="1792" w:type="dxa"/>
            <w:noWrap/>
            <w:hideMark/>
          </w:tcPr>
          <w:p w14:paraId="15441DE8"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Pension system</w:t>
            </w:r>
          </w:p>
        </w:tc>
        <w:tc>
          <w:tcPr>
            <w:tcW w:w="2314" w:type="dxa"/>
            <w:noWrap/>
            <w:hideMark/>
          </w:tcPr>
          <w:p w14:paraId="713C1BF4" w14:textId="1BD7A22B" w:rsidR="00141E0C" w:rsidRPr="00C457DF" w:rsidRDefault="00894406" w:rsidP="00C457DF">
            <w:pPr>
              <w:autoSpaceDE w:val="0"/>
              <w:autoSpaceDN w:val="0"/>
              <w:adjustRightInd w:val="0"/>
              <w:spacing w:after="0"/>
              <w:rPr>
                <w:color w:val="000000"/>
                <w:sz w:val="20"/>
                <w:szCs w:val="20"/>
                <w:lang w:val="en-GB"/>
              </w:rPr>
            </w:pPr>
            <w:r w:rsidRPr="00C457DF">
              <w:rPr>
                <w:color w:val="000000"/>
                <w:sz w:val="20"/>
                <w:szCs w:val="20"/>
                <w:lang w:val="en-GB"/>
              </w:rPr>
              <w:t>Survivor ‘pensions</w:t>
            </w:r>
            <w:r w:rsidR="00141E0C" w:rsidRPr="00C457DF">
              <w:rPr>
                <w:color w:val="000000"/>
                <w:sz w:val="20"/>
                <w:szCs w:val="20"/>
                <w:lang w:val="en-GB"/>
              </w:rPr>
              <w:t xml:space="preserve"> expenditure as share of total pension expenditure </w:t>
            </w:r>
          </w:p>
        </w:tc>
        <w:tc>
          <w:tcPr>
            <w:tcW w:w="1200" w:type="dxa"/>
            <w:noWrap/>
            <w:hideMark/>
          </w:tcPr>
          <w:p w14:paraId="2A095534"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 xml:space="preserve">OECD </w:t>
            </w:r>
          </w:p>
        </w:tc>
        <w:tc>
          <w:tcPr>
            <w:tcW w:w="3910" w:type="dxa"/>
            <w:hideMark/>
          </w:tcPr>
          <w:p w14:paraId="43168594"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Reflects the relative importance of survivors’ pension benefits in total pension provision</w:t>
            </w:r>
          </w:p>
        </w:tc>
      </w:tr>
      <w:tr w:rsidR="00141E0C" w:rsidRPr="001B584B" w14:paraId="0DAB8734" w14:textId="77777777" w:rsidTr="00894406">
        <w:trPr>
          <w:trHeight w:val="407"/>
        </w:trPr>
        <w:tc>
          <w:tcPr>
            <w:tcW w:w="1792" w:type="dxa"/>
            <w:noWrap/>
            <w:hideMark/>
          </w:tcPr>
          <w:p w14:paraId="3436C7EB"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Pension system</w:t>
            </w:r>
          </w:p>
        </w:tc>
        <w:tc>
          <w:tcPr>
            <w:tcW w:w="2314" w:type="dxa"/>
            <w:hideMark/>
          </w:tcPr>
          <w:p w14:paraId="34A04FD9" w14:textId="77777777" w:rsidR="00141E0C" w:rsidRPr="00C457DF" w:rsidRDefault="00141E0C" w:rsidP="00C457DF">
            <w:pPr>
              <w:autoSpaceDE w:val="0"/>
              <w:autoSpaceDN w:val="0"/>
              <w:adjustRightInd w:val="0"/>
              <w:spacing w:after="0"/>
              <w:rPr>
                <w:color w:val="000000"/>
                <w:sz w:val="20"/>
                <w:szCs w:val="20"/>
                <w:lang w:val="en-GB"/>
              </w:rPr>
            </w:pPr>
            <w:r w:rsidRPr="00C457DF">
              <w:rPr>
                <w:color w:val="000000"/>
                <w:sz w:val="20"/>
                <w:szCs w:val="20"/>
                <w:lang w:val="en-GB"/>
              </w:rPr>
              <w:t>Public pension expenditure (old-age and survivors) as a % of GDP</w:t>
            </w:r>
          </w:p>
        </w:tc>
        <w:tc>
          <w:tcPr>
            <w:tcW w:w="1200" w:type="dxa"/>
            <w:noWrap/>
            <w:hideMark/>
          </w:tcPr>
          <w:p w14:paraId="05240AA2"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 xml:space="preserve">OECD </w:t>
            </w:r>
          </w:p>
        </w:tc>
        <w:tc>
          <w:tcPr>
            <w:tcW w:w="3910" w:type="dxa"/>
            <w:hideMark/>
          </w:tcPr>
          <w:p w14:paraId="52B89150"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Measures the overall public financial effort of a country regarding pensions.</w:t>
            </w:r>
          </w:p>
        </w:tc>
      </w:tr>
      <w:tr w:rsidR="00141E0C" w:rsidRPr="001B584B" w14:paraId="399835BF" w14:textId="77777777" w:rsidTr="00894406">
        <w:trPr>
          <w:trHeight w:val="818"/>
        </w:trPr>
        <w:tc>
          <w:tcPr>
            <w:tcW w:w="1792" w:type="dxa"/>
            <w:noWrap/>
            <w:hideMark/>
          </w:tcPr>
          <w:p w14:paraId="086E80E7"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Pension system</w:t>
            </w:r>
          </w:p>
        </w:tc>
        <w:tc>
          <w:tcPr>
            <w:tcW w:w="2314" w:type="dxa"/>
            <w:noWrap/>
            <w:hideMark/>
          </w:tcPr>
          <w:p w14:paraId="1253DB70" w14:textId="77777777" w:rsidR="00141E0C" w:rsidRPr="00C457DF" w:rsidRDefault="00141E0C" w:rsidP="00C457DF">
            <w:pPr>
              <w:autoSpaceDE w:val="0"/>
              <w:autoSpaceDN w:val="0"/>
              <w:adjustRightInd w:val="0"/>
              <w:spacing w:after="0"/>
              <w:rPr>
                <w:color w:val="000000"/>
                <w:sz w:val="20"/>
                <w:szCs w:val="20"/>
                <w:lang w:val="en-GB"/>
              </w:rPr>
            </w:pPr>
            <w:r w:rsidRPr="00C457DF">
              <w:rPr>
                <w:color w:val="000000"/>
                <w:sz w:val="20"/>
                <w:szCs w:val="20"/>
                <w:lang w:val="en-GB"/>
              </w:rPr>
              <w:t>Retirement age (average women/men)</w:t>
            </w:r>
          </w:p>
        </w:tc>
        <w:tc>
          <w:tcPr>
            <w:tcW w:w="1200" w:type="dxa"/>
            <w:noWrap/>
            <w:hideMark/>
          </w:tcPr>
          <w:p w14:paraId="36161009"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CWED2</w:t>
            </w:r>
          </w:p>
        </w:tc>
        <w:tc>
          <w:tcPr>
            <w:tcW w:w="3910" w:type="dxa"/>
            <w:hideMark/>
          </w:tcPr>
          <w:p w14:paraId="0771F387"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 xml:space="preserve">The higher the pension system retirement age/the longer people </w:t>
            </w:r>
            <w:proofErr w:type="gramStart"/>
            <w:r w:rsidRPr="00C457DF">
              <w:rPr>
                <w:color w:val="000000"/>
                <w:sz w:val="20"/>
                <w:szCs w:val="20"/>
                <w:lang w:val="en-GB"/>
              </w:rPr>
              <w:t>have to</w:t>
            </w:r>
            <w:proofErr w:type="gramEnd"/>
            <w:r w:rsidRPr="00C457DF">
              <w:rPr>
                <w:color w:val="000000"/>
                <w:sz w:val="20"/>
                <w:szCs w:val="20"/>
                <w:lang w:val="en-GB"/>
              </w:rPr>
              <w:t xml:space="preserve"> work before retiring, the higher their income in later years and therefore, the lower the poverty rate of 65+ should be.</w:t>
            </w:r>
          </w:p>
        </w:tc>
      </w:tr>
      <w:tr w:rsidR="00141E0C" w:rsidRPr="001B584B" w14:paraId="752BF5DA" w14:textId="77777777" w:rsidTr="00894406">
        <w:trPr>
          <w:trHeight w:val="612"/>
        </w:trPr>
        <w:tc>
          <w:tcPr>
            <w:tcW w:w="1792" w:type="dxa"/>
            <w:hideMark/>
          </w:tcPr>
          <w:p w14:paraId="1F52A09A"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Labour market and income</w:t>
            </w:r>
          </w:p>
        </w:tc>
        <w:tc>
          <w:tcPr>
            <w:tcW w:w="2314" w:type="dxa"/>
            <w:noWrap/>
            <w:hideMark/>
          </w:tcPr>
          <w:p w14:paraId="3FE800F9" w14:textId="77777777" w:rsidR="00141E0C" w:rsidRPr="00C457DF" w:rsidRDefault="00141E0C" w:rsidP="00C457DF">
            <w:pPr>
              <w:autoSpaceDE w:val="0"/>
              <w:autoSpaceDN w:val="0"/>
              <w:adjustRightInd w:val="0"/>
              <w:spacing w:after="0"/>
              <w:rPr>
                <w:color w:val="000000"/>
                <w:sz w:val="20"/>
                <w:szCs w:val="20"/>
                <w:lang w:val="en-GB"/>
              </w:rPr>
            </w:pPr>
            <w:r w:rsidRPr="00C457DF">
              <w:rPr>
                <w:color w:val="000000"/>
                <w:sz w:val="20"/>
                <w:szCs w:val="20"/>
                <w:lang w:val="en-GB"/>
              </w:rPr>
              <w:t xml:space="preserve">Share of over 65 employed </w:t>
            </w:r>
          </w:p>
        </w:tc>
        <w:tc>
          <w:tcPr>
            <w:tcW w:w="1200" w:type="dxa"/>
            <w:noWrap/>
            <w:hideMark/>
          </w:tcPr>
          <w:p w14:paraId="427A1FCE"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OECD</w:t>
            </w:r>
          </w:p>
        </w:tc>
        <w:tc>
          <w:tcPr>
            <w:tcW w:w="3910" w:type="dxa"/>
            <w:hideMark/>
          </w:tcPr>
          <w:p w14:paraId="62230963"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The higher the labour market participation rate, the higher the income in the population 65+, and the lower the poverty.</w:t>
            </w:r>
          </w:p>
        </w:tc>
      </w:tr>
      <w:tr w:rsidR="00141E0C" w:rsidRPr="001B584B" w14:paraId="46764826" w14:textId="77777777" w:rsidTr="00894406">
        <w:trPr>
          <w:trHeight w:val="407"/>
        </w:trPr>
        <w:tc>
          <w:tcPr>
            <w:tcW w:w="1792" w:type="dxa"/>
            <w:hideMark/>
          </w:tcPr>
          <w:p w14:paraId="328392B3"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Labour market and income</w:t>
            </w:r>
          </w:p>
        </w:tc>
        <w:tc>
          <w:tcPr>
            <w:tcW w:w="2314" w:type="dxa"/>
            <w:noWrap/>
            <w:hideMark/>
          </w:tcPr>
          <w:p w14:paraId="7C9FA315"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Gini index (after taxation)</w:t>
            </w:r>
          </w:p>
        </w:tc>
        <w:tc>
          <w:tcPr>
            <w:tcW w:w="1200" w:type="dxa"/>
            <w:noWrap/>
            <w:hideMark/>
          </w:tcPr>
          <w:p w14:paraId="13405677"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IEWB</w:t>
            </w:r>
          </w:p>
        </w:tc>
        <w:tc>
          <w:tcPr>
            <w:tcW w:w="3910" w:type="dxa"/>
            <w:hideMark/>
          </w:tcPr>
          <w:p w14:paraId="2641D432"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Level of income inequality across countries. Even if the pension system features redistributive elements, overall high-income inequality may outweigh those effects for pension income.</w:t>
            </w:r>
          </w:p>
        </w:tc>
      </w:tr>
      <w:tr w:rsidR="00141E0C" w:rsidRPr="001B584B" w14:paraId="5C529BB9" w14:textId="77777777" w:rsidTr="00894406">
        <w:trPr>
          <w:trHeight w:val="407"/>
        </w:trPr>
        <w:tc>
          <w:tcPr>
            <w:tcW w:w="1792" w:type="dxa"/>
            <w:hideMark/>
          </w:tcPr>
          <w:p w14:paraId="42BAA64E"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Labour market and income</w:t>
            </w:r>
          </w:p>
        </w:tc>
        <w:tc>
          <w:tcPr>
            <w:tcW w:w="2314" w:type="dxa"/>
            <w:noWrap/>
            <w:hideMark/>
          </w:tcPr>
          <w:p w14:paraId="0D8AE9A3"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GDP per capita (log)</w:t>
            </w:r>
          </w:p>
        </w:tc>
        <w:tc>
          <w:tcPr>
            <w:tcW w:w="1200" w:type="dxa"/>
            <w:noWrap/>
            <w:hideMark/>
          </w:tcPr>
          <w:p w14:paraId="2531C9E3"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PENN table</w:t>
            </w:r>
          </w:p>
        </w:tc>
        <w:tc>
          <w:tcPr>
            <w:tcW w:w="3910" w:type="dxa"/>
            <w:hideMark/>
          </w:tcPr>
          <w:p w14:paraId="021AE1BC"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The higher the overall wealth, the lower the poverty.</w:t>
            </w:r>
          </w:p>
        </w:tc>
      </w:tr>
      <w:tr w:rsidR="00141E0C" w:rsidRPr="001B584B" w14:paraId="547905DF" w14:textId="77777777" w:rsidTr="00894406">
        <w:trPr>
          <w:trHeight w:val="407"/>
        </w:trPr>
        <w:tc>
          <w:tcPr>
            <w:tcW w:w="1792" w:type="dxa"/>
            <w:hideMark/>
          </w:tcPr>
          <w:p w14:paraId="682CEB6A"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Labour market and income</w:t>
            </w:r>
          </w:p>
        </w:tc>
        <w:tc>
          <w:tcPr>
            <w:tcW w:w="2314" w:type="dxa"/>
            <w:noWrap/>
            <w:hideMark/>
          </w:tcPr>
          <w:p w14:paraId="1E501EDF"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 xml:space="preserve">Annual growth of GDP per capita </w:t>
            </w:r>
          </w:p>
        </w:tc>
        <w:tc>
          <w:tcPr>
            <w:tcW w:w="1200" w:type="dxa"/>
            <w:noWrap/>
            <w:hideMark/>
          </w:tcPr>
          <w:p w14:paraId="02BD10EE"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PENN table</w:t>
            </w:r>
          </w:p>
        </w:tc>
        <w:tc>
          <w:tcPr>
            <w:tcW w:w="3910" w:type="dxa"/>
            <w:hideMark/>
          </w:tcPr>
          <w:p w14:paraId="2A3F2B9E"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 xml:space="preserve">Economic cycles affecting the poverty rate via fluctuations in working age incomes. </w:t>
            </w:r>
          </w:p>
        </w:tc>
      </w:tr>
      <w:tr w:rsidR="00141E0C" w:rsidRPr="001B584B" w14:paraId="4A60862D" w14:textId="77777777" w:rsidTr="00894406">
        <w:trPr>
          <w:trHeight w:val="407"/>
        </w:trPr>
        <w:tc>
          <w:tcPr>
            <w:tcW w:w="1792" w:type="dxa"/>
            <w:hideMark/>
          </w:tcPr>
          <w:p w14:paraId="41E312B4"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Labour market and income</w:t>
            </w:r>
          </w:p>
        </w:tc>
        <w:tc>
          <w:tcPr>
            <w:tcW w:w="2314" w:type="dxa"/>
            <w:noWrap/>
            <w:hideMark/>
          </w:tcPr>
          <w:p w14:paraId="3F51634D" w14:textId="77777777" w:rsidR="00141E0C" w:rsidRPr="00C457DF" w:rsidRDefault="00141E0C" w:rsidP="00C457DF">
            <w:pPr>
              <w:autoSpaceDE w:val="0"/>
              <w:autoSpaceDN w:val="0"/>
              <w:adjustRightInd w:val="0"/>
              <w:spacing w:after="0"/>
              <w:rPr>
                <w:color w:val="000000"/>
                <w:sz w:val="20"/>
                <w:szCs w:val="20"/>
                <w:lang w:val="en-GB"/>
              </w:rPr>
            </w:pPr>
            <w:r w:rsidRPr="00C457DF">
              <w:rPr>
                <w:color w:val="000000"/>
                <w:sz w:val="20"/>
                <w:szCs w:val="20"/>
                <w:lang w:val="en-GB"/>
              </w:rPr>
              <w:t xml:space="preserve">Average production worker wage (log) </w:t>
            </w:r>
          </w:p>
        </w:tc>
        <w:tc>
          <w:tcPr>
            <w:tcW w:w="1200" w:type="dxa"/>
            <w:noWrap/>
            <w:hideMark/>
          </w:tcPr>
          <w:p w14:paraId="305B47A2"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CWED2</w:t>
            </w:r>
          </w:p>
        </w:tc>
        <w:tc>
          <w:tcPr>
            <w:tcW w:w="3910" w:type="dxa"/>
            <w:hideMark/>
          </w:tcPr>
          <w:p w14:paraId="38D7D058"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Average level of wages across countries.</w:t>
            </w:r>
          </w:p>
        </w:tc>
      </w:tr>
      <w:tr w:rsidR="00141E0C" w:rsidRPr="001B584B" w14:paraId="19112DEB" w14:textId="77777777" w:rsidTr="00894406">
        <w:trPr>
          <w:trHeight w:val="818"/>
        </w:trPr>
        <w:tc>
          <w:tcPr>
            <w:tcW w:w="1792" w:type="dxa"/>
            <w:noWrap/>
            <w:hideMark/>
          </w:tcPr>
          <w:p w14:paraId="74084DC0"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Demographic</w:t>
            </w:r>
          </w:p>
        </w:tc>
        <w:tc>
          <w:tcPr>
            <w:tcW w:w="2314" w:type="dxa"/>
            <w:noWrap/>
            <w:hideMark/>
          </w:tcPr>
          <w:p w14:paraId="7D9BC40B" w14:textId="77777777" w:rsidR="00141E0C" w:rsidRPr="00C457DF" w:rsidRDefault="00141E0C" w:rsidP="00C457DF">
            <w:pPr>
              <w:autoSpaceDE w:val="0"/>
              <w:autoSpaceDN w:val="0"/>
              <w:adjustRightInd w:val="0"/>
              <w:spacing w:after="0"/>
              <w:rPr>
                <w:color w:val="000000"/>
                <w:sz w:val="20"/>
                <w:szCs w:val="20"/>
                <w:lang w:val="en-GB"/>
              </w:rPr>
            </w:pPr>
            <w:r w:rsidRPr="00C457DF">
              <w:rPr>
                <w:color w:val="000000"/>
                <w:sz w:val="20"/>
                <w:szCs w:val="20"/>
                <w:lang w:val="en-GB"/>
              </w:rPr>
              <w:t xml:space="preserve">The share of women in the older population </w:t>
            </w:r>
          </w:p>
        </w:tc>
        <w:tc>
          <w:tcPr>
            <w:tcW w:w="1200" w:type="dxa"/>
            <w:noWrap/>
            <w:hideMark/>
          </w:tcPr>
          <w:p w14:paraId="5BBCDF98"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CWS</w:t>
            </w:r>
          </w:p>
        </w:tc>
        <w:tc>
          <w:tcPr>
            <w:tcW w:w="3910" w:type="dxa"/>
            <w:hideMark/>
          </w:tcPr>
          <w:p w14:paraId="77DA9EF6"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 xml:space="preserve">Women tend to have shorter employment careers and are thus at risk of getting lower pensions. They could be considered the population with higher risk of poverty in old age. </w:t>
            </w:r>
          </w:p>
        </w:tc>
      </w:tr>
      <w:tr w:rsidR="00141E0C" w:rsidRPr="001B584B" w14:paraId="1102E1F3" w14:textId="77777777" w:rsidTr="00894406">
        <w:trPr>
          <w:trHeight w:val="612"/>
        </w:trPr>
        <w:tc>
          <w:tcPr>
            <w:tcW w:w="1792" w:type="dxa"/>
            <w:noWrap/>
            <w:hideMark/>
          </w:tcPr>
          <w:p w14:paraId="431B4F3C"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Demographic</w:t>
            </w:r>
          </w:p>
        </w:tc>
        <w:tc>
          <w:tcPr>
            <w:tcW w:w="2314" w:type="dxa"/>
            <w:hideMark/>
          </w:tcPr>
          <w:p w14:paraId="09BB99DA" w14:textId="77777777" w:rsidR="00141E0C" w:rsidRPr="00C457DF" w:rsidRDefault="00141E0C" w:rsidP="00C457DF">
            <w:pPr>
              <w:autoSpaceDE w:val="0"/>
              <w:autoSpaceDN w:val="0"/>
              <w:adjustRightInd w:val="0"/>
              <w:spacing w:after="0"/>
              <w:rPr>
                <w:color w:val="000000"/>
                <w:sz w:val="20"/>
                <w:szCs w:val="20"/>
                <w:lang w:val="en-GB"/>
              </w:rPr>
            </w:pPr>
            <w:r w:rsidRPr="00C457DF">
              <w:rPr>
                <w:color w:val="000000"/>
                <w:sz w:val="20"/>
                <w:szCs w:val="20"/>
                <w:lang w:val="en-GB"/>
              </w:rPr>
              <w:t>Dependency ratio in the period 1980-2010 (</w:t>
            </w:r>
            <w:proofErr w:type="gramStart"/>
            <w:r w:rsidRPr="00C457DF">
              <w:rPr>
                <w:color w:val="000000"/>
                <w:sz w:val="20"/>
                <w:szCs w:val="20"/>
                <w:lang w:val="en-GB"/>
              </w:rPr>
              <w:t>i.e.</w:t>
            </w:r>
            <w:proofErr w:type="gramEnd"/>
            <w:r w:rsidRPr="00C457DF">
              <w:rPr>
                <w:color w:val="000000"/>
                <w:sz w:val="20"/>
                <w:szCs w:val="20"/>
                <w:lang w:val="en-GB"/>
              </w:rPr>
              <w:t xml:space="preserve"> the ratio between persons aged over 64 years and the number of employees)</w:t>
            </w:r>
          </w:p>
        </w:tc>
        <w:tc>
          <w:tcPr>
            <w:tcW w:w="1200" w:type="dxa"/>
            <w:noWrap/>
            <w:hideMark/>
          </w:tcPr>
          <w:p w14:paraId="7D09E6A1"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CWS</w:t>
            </w:r>
          </w:p>
        </w:tc>
        <w:tc>
          <w:tcPr>
            <w:tcW w:w="3910" w:type="dxa"/>
            <w:hideMark/>
          </w:tcPr>
          <w:p w14:paraId="7FE1B5A8"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 xml:space="preserve">A high dependency ratio puts pressure on the pension system to lower the generosity to keep the system financially sustainable. </w:t>
            </w:r>
          </w:p>
        </w:tc>
      </w:tr>
      <w:tr w:rsidR="00141E0C" w:rsidRPr="001B584B" w14:paraId="11EC8D44" w14:textId="77777777" w:rsidTr="00894406">
        <w:trPr>
          <w:trHeight w:val="407"/>
        </w:trPr>
        <w:tc>
          <w:tcPr>
            <w:tcW w:w="1792" w:type="dxa"/>
            <w:noWrap/>
            <w:hideMark/>
          </w:tcPr>
          <w:p w14:paraId="36A2DAC1"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Demographic</w:t>
            </w:r>
          </w:p>
        </w:tc>
        <w:tc>
          <w:tcPr>
            <w:tcW w:w="2314" w:type="dxa"/>
            <w:noWrap/>
            <w:hideMark/>
          </w:tcPr>
          <w:p w14:paraId="20AEEFCA" w14:textId="77777777" w:rsidR="00141E0C" w:rsidRPr="00C457DF" w:rsidRDefault="00141E0C" w:rsidP="00C457DF">
            <w:pPr>
              <w:autoSpaceDE w:val="0"/>
              <w:autoSpaceDN w:val="0"/>
              <w:adjustRightInd w:val="0"/>
              <w:spacing w:after="0"/>
              <w:rPr>
                <w:color w:val="000000"/>
                <w:sz w:val="20"/>
                <w:szCs w:val="20"/>
                <w:lang w:val="en-GB"/>
              </w:rPr>
            </w:pPr>
            <w:r w:rsidRPr="00C457DF">
              <w:rPr>
                <w:color w:val="000000"/>
                <w:sz w:val="20"/>
                <w:szCs w:val="20"/>
                <w:lang w:val="en-GB"/>
              </w:rPr>
              <w:t>Male life expectancy at age 65</w:t>
            </w:r>
          </w:p>
        </w:tc>
        <w:tc>
          <w:tcPr>
            <w:tcW w:w="1200" w:type="dxa"/>
            <w:noWrap/>
            <w:hideMark/>
          </w:tcPr>
          <w:p w14:paraId="7231CB68"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CWS</w:t>
            </w:r>
          </w:p>
        </w:tc>
        <w:tc>
          <w:tcPr>
            <w:tcW w:w="3910" w:type="dxa"/>
            <w:hideMark/>
          </w:tcPr>
          <w:p w14:paraId="7B55495E"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 xml:space="preserve">The longer the life expectancy, the higher the potential share of retirees with lower pensions due to relatively low incomes counting for their pension accrual. </w:t>
            </w:r>
          </w:p>
        </w:tc>
      </w:tr>
      <w:tr w:rsidR="00141E0C" w:rsidRPr="001B584B" w14:paraId="04319449" w14:textId="77777777" w:rsidTr="00894406">
        <w:trPr>
          <w:trHeight w:val="612"/>
        </w:trPr>
        <w:tc>
          <w:tcPr>
            <w:tcW w:w="1792" w:type="dxa"/>
            <w:noWrap/>
            <w:hideMark/>
          </w:tcPr>
          <w:p w14:paraId="3AF435C2"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Demographic</w:t>
            </w:r>
          </w:p>
        </w:tc>
        <w:tc>
          <w:tcPr>
            <w:tcW w:w="2314" w:type="dxa"/>
            <w:noWrap/>
            <w:hideMark/>
          </w:tcPr>
          <w:p w14:paraId="45BF14F7" w14:textId="77777777" w:rsidR="00141E0C" w:rsidRPr="00C457DF" w:rsidRDefault="00141E0C" w:rsidP="00C457DF">
            <w:pPr>
              <w:autoSpaceDE w:val="0"/>
              <w:autoSpaceDN w:val="0"/>
              <w:adjustRightInd w:val="0"/>
              <w:spacing w:after="0"/>
              <w:rPr>
                <w:color w:val="000000"/>
                <w:sz w:val="20"/>
                <w:szCs w:val="20"/>
                <w:lang w:val="en-GB"/>
              </w:rPr>
            </w:pPr>
            <w:r w:rsidRPr="00C457DF">
              <w:rPr>
                <w:color w:val="000000"/>
                <w:sz w:val="20"/>
                <w:szCs w:val="20"/>
                <w:lang w:val="en-GB"/>
              </w:rPr>
              <w:t>Female life expectancy at age 65</w:t>
            </w:r>
          </w:p>
        </w:tc>
        <w:tc>
          <w:tcPr>
            <w:tcW w:w="1200" w:type="dxa"/>
            <w:noWrap/>
            <w:hideMark/>
          </w:tcPr>
          <w:p w14:paraId="4E941821"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CWS</w:t>
            </w:r>
          </w:p>
        </w:tc>
        <w:tc>
          <w:tcPr>
            <w:tcW w:w="3910" w:type="dxa"/>
            <w:hideMark/>
          </w:tcPr>
          <w:p w14:paraId="226E8002" w14:textId="62D81E59"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The longer the life expectancy, the higher the potential share of retirees with lower pensions due to relatively low incomes counting for their pension accrual.</w:t>
            </w:r>
            <w:r w:rsidR="00182CB1">
              <w:rPr>
                <w:color w:val="000000"/>
                <w:sz w:val="20"/>
                <w:szCs w:val="20"/>
                <w:lang w:val="en-GB"/>
              </w:rPr>
              <w:t xml:space="preserve"> </w:t>
            </w:r>
            <w:r w:rsidR="00182CB1" w:rsidRPr="00C457DF">
              <w:rPr>
                <w:color w:val="000000"/>
                <w:sz w:val="20"/>
                <w:szCs w:val="20"/>
                <w:lang w:val="en-GB"/>
              </w:rPr>
              <w:t>Women</w:t>
            </w:r>
            <w:r w:rsidRPr="00C457DF">
              <w:rPr>
                <w:color w:val="000000"/>
                <w:sz w:val="20"/>
                <w:szCs w:val="20"/>
                <w:lang w:val="en-GB"/>
              </w:rPr>
              <w:t xml:space="preserve"> tend to live longer than men and have lower pensions.</w:t>
            </w:r>
          </w:p>
        </w:tc>
      </w:tr>
      <w:tr w:rsidR="00141E0C" w:rsidRPr="001B584B" w14:paraId="2A0249F7" w14:textId="77777777" w:rsidTr="00894406">
        <w:trPr>
          <w:trHeight w:val="407"/>
        </w:trPr>
        <w:tc>
          <w:tcPr>
            <w:tcW w:w="1792" w:type="dxa"/>
            <w:noWrap/>
            <w:hideMark/>
          </w:tcPr>
          <w:p w14:paraId="7D1279E6"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 xml:space="preserve">Health system </w:t>
            </w:r>
          </w:p>
        </w:tc>
        <w:tc>
          <w:tcPr>
            <w:tcW w:w="2314" w:type="dxa"/>
            <w:hideMark/>
          </w:tcPr>
          <w:p w14:paraId="48DB7466" w14:textId="77777777" w:rsidR="00141E0C" w:rsidRPr="00C457DF" w:rsidRDefault="00141E0C" w:rsidP="00C457DF">
            <w:pPr>
              <w:autoSpaceDE w:val="0"/>
              <w:autoSpaceDN w:val="0"/>
              <w:adjustRightInd w:val="0"/>
              <w:spacing w:after="0"/>
              <w:rPr>
                <w:color w:val="000000"/>
                <w:sz w:val="20"/>
                <w:szCs w:val="20"/>
                <w:lang w:val="en-GB"/>
              </w:rPr>
            </w:pPr>
            <w:r w:rsidRPr="00C457DF">
              <w:rPr>
                <w:color w:val="000000"/>
                <w:sz w:val="20"/>
                <w:szCs w:val="20"/>
                <w:lang w:val="en-GB"/>
              </w:rPr>
              <w:t>Public expenditure on health, as a percentage of GDP</w:t>
            </w:r>
          </w:p>
        </w:tc>
        <w:tc>
          <w:tcPr>
            <w:tcW w:w="1200" w:type="dxa"/>
            <w:noWrap/>
            <w:hideMark/>
          </w:tcPr>
          <w:p w14:paraId="260D5309"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CWS</w:t>
            </w:r>
          </w:p>
        </w:tc>
        <w:tc>
          <w:tcPr>
            <w:tcW w:w="3910" w:type="dxa"/>
            <w:hideMark/>
          </w:tcPr>
          <w:p w14:paraId="68373BE9" w14:textId="77777777" w:rsidR="00141E0C" w:rsidRPr="00C457DF" w:rsidRDefault="00141E0C" w:rsidP="00C457DF">
            <w:pPr>
              <w:autoSpaceDE w:val="0"/>
              <w:autoSpaceDN w:val="0"/>
              <w:adjustRightInd w:val="0"/>
              <w:spacing w:after="0"/>
              <w:jc w:val="both"/>
              <w:rPr>
                <w:color w:val="000000"/>
                <w:sz w:val="20"/>
                <w:szCs w:val="20"/>
                <w:lang w:val="en-GB"/>
              </w:rPr>
            </w:pPr>
            <w:r w:rsidRPr="00C457DF">
              <w:rPr>
                <w:color w:val="000000"/>
                <w:sz w:val="20"/>
                <w:szCs w:val="20"/>
                <w:lang w:val="en-GB"/>
              </w:rPr>
              <w:t>It captures health benefits which might be particularly important for older people.</w:t>
            </w:r>
          </w:p>
        </w:tc>
      </w:tr>
    </w:tbl>
    <w:p w14:paraId="75B04C23" w14:textId="77777777" w:rsidR="0053543F" w:rsidRDefault="0053543F" w:rsidP="00141E0C">
      <w:pPr>
        <w:rPr>
          <w:lang w:val="en-GB"/>
        </w:rPr>
      </w:pPr>
    </w:p>
    <w:p w14:paraId="6AC86CE4" w14:textId="6795320C" w:rsidR="0053543F" w:rsidRPr="00DB2838" w:rsidRDefault="0053543F" w:rsidP="00141E0C">
      <w:pPr>
        <w:rPr>
          <w:rFonts w:ascii="Times New Roman" w:hAnsi="Times New Roman" w:cs="Times New Roman"/>
          <w:b/>
          <w:bCs/>
          <w:color w:val="000000" w:themeColor="text1"/>
          <w:lang w:val="en-GB"/>
        </w:rPr>
      </w:pPr>
      <w:r w:rsidRPr="00DB2838">
        <w:rPr>
          <w:rFonts w:ascii="Times New Roman" w:hAnsi="Times New Roman" w:cs="Times New Roman"/>
          <w:b/>
          <w:bCs/>
          <w:color w:val="000000" w:themeColor="text1"/>
          <w:lang w:val="en-GB"/>
        </w:rPr>
        <w:lastRenderedPageBreak/>
        <w:t xml:space="preserve">Sources: </w:t>
      </w:r>
    </w:p>
    <w:p w14:paraId="61ADF3F0" w14:textId="0546D261" w:rsidR="0053543F" w:rsidRPr="00DB2838" w:rsidRDefault="0053543F" w:rsidP="00BC49E0">
      <w:pPr>
        <w:spacing w:after="0"/>
        <w:rPr>
          <w:rFonts w:ascii="Times New Roman" w:hAnsi="Times New Roman" w:cs="Times New Roman"/>
          <w:b/>
          <w:bCs/>
          <w:color w:val="000000" w:themeColor="text1"/>
          <w:lang w:val="en-GB"/>
        </w:rPr>
      </w:pPr>
      <w:r w:rsidRPr="00DB2838">
        <w:rPr>
          <w:rFonts w:ascii="Times New Roman" w:hAnsi="Times New Roman" w:cs="Times New Roman"/>
          <w:b/>
          <w:bCs/>
          <w:color w:val="000000" w:themeColor="text1"/>
          <w:lang w:val="en-GB"/>
        </w:rPr>
        <w:t>Comparative Welfare Entitlements Dataset (CWED):</w:t>
      </w:r>
    </w:p>
    <w:p w14:paraId="51EEE098" w14:textId="6A25F9F0" w:rsidR="0053543F" w:rsidRDefault="00BC49E0" w:rsidP="008F139D">
      <w:pPr>
        <w:spacing w:after="160" w:line="240" w:lineRule="auto"/>
        <w:jc w:val="both"/>
        <w:rPr>
          <w:lang w:val="en-GB"/>
        </w:rPr>
      </w:pPr>
      <w:r w:rsidRPr="002A1A6E">
        <w:rPr>
          <w:rFonts w:ascii="Times New Roman" w:eastAsia="Calibri" w:hAnsi="Times New Roman" w:cs="Times New Roman"/>
          <w:lang w:val="en-GB"/>
        </w:rPr>
        <w:t xml:space="preserve">Scruggs, L., Jahn, D. and </w:t>
      </w:r>
      <w:proofErr w:type="spellStart"/>
      <w:r w:rsidRPr="002A1A6E">
        <w:rPr>
          <w:rFonts w:ascii="Times New Roman" w:eastAsia="Calibri" w:hAnsi="Times New Roman" w:cs="Times New Roman"/>
          <w:lang w:val="en-GB"/>
        </w:rPr>
        <w:t>Kuitto</w:t>
      </w:r>
      <w:proofErr w:type="spellEnd"/>
      <w:r w:rsidRPr="002A1A6E">
        <w:rPr>
          <w:rFonts w:ascii="Times New Roman" w:eastAsia="Calibri" w:hAnsi="Times New Roman" w:cs="Times New Roman"/>
          <w:lang w:val="en-GB"/>
        </w:rPr>
        <w:t xml:space="preserve">, K. (2018), </w:t>
      </w:r>
      <w:r w:rsidRPr="002A1A6E">
        <w:rPr>
          <w:rFonts w:ascii="Times New Roman" w:eastAsia="Calibri" w:hAnsi="Times New Roman" w:cs="Times New Roman"/>
          <w:i/>
          <w:iCs/>
          <w:lang w:val="en-GB"/>
        </w:rPr>
        <w:t>Comparative Welfare Entitlements Dataset 2, version 2018</w:t>
      </w:r>
      <w:r w:rsidRPr="002A1A6E">
        <w:rPr>
          <w:rFonts w:ascii="Times New Roman" w:eastAsia="Calibri" w:hAnsi="Times New Roman" w:cs="Times New Roman"/>
          <w:lang w:val="en-GB"/>
        </w:rPr>
        <w:t xml:space="preserve">, University of Connecticut &amp; University of Greifswald, </w:t>
      </w:r>
      <w:r w:rsidRPr="00BC49E0">
        <w:rPr>
          <w:rFonts w:ascii="Times New Roman" w:hAnsi="Times New Roman" w:cs="Times New Roman"/>
          <w:lang w:val="en-GB"/>
        </w:rPr>
        <w:t>Available for download at</w:t>
      </w:r>
      <w:r>
        <w:rPr>
          <w:lang w:val="en-GB"/>
        </w:rPr>
        <w:t xml:space="preserve"> </w:t>
      </w:r>
      <w:hyperlink r:id="rId16" w:history="1">
        <w:r w:rsidR="0053543F" w:rsidRPr="00594BF4">
          <w:rPr>
            <w:rStyle w:val="Hyperlink"/>
            <w:lang w:val="en-GB"/>
          </w:rPr>
          <w:t>http://cwed2.org/</w:t>
        </w:r>
      </w:hyperlink>
    </w:p>
    <w:p w14:paraId="5AF3FA62" w14:textId="7446D2F8" w:rsidR="0053543F" w:rsidRPr="00DB2838" w:rsidRDefault="0053543F" w:rsidP="0053543F">
      <w:pPr>
        <w:spacing w:after="0"/>
        <w:rPr>
          <w:rFonts w:ascii="Times New Roman" w:hAnsi="Times New Roman" w:cs="Times New Roman"/>
          <w:b/>
          <w:bCs/>
          <w:color w:val="000000" w:themeColor="text1"/>
          <w:lang w:val="en-GB"/>
        </w:rPr>
      </w:pPr>
      <w:r w:rsidRPr="00DB2838">
        <w:rPr>
          <w:rFonts w:ascii="Times New Roman" w:hAnsi="Times New Roman" w:cs="Times New Roman"/>
          <w:b/>
          <w:bCs/>
          <w:color w:val="000000" w:themeColor="text1"/>
          <w:lang w:val="en-GB"/>
        </w:rPr>
        <w:t xml:space="preserve">Comparative Welfare State (CWS): </w:t>
      </w:r>
    </w:p>
    <w:p w14:paraId="33DE294B" w14:textId="7DC1A672" w:rsidR="0053543F" w:rsidRDefault="0053543F" w:rsidP="00141E0C">
      <w:pPr>
        <w:rPr>
          <w:rFonts w:ascii="Times New Roman" w:hAnsi="Times New Roman" w:cs="Times New Roman"/>
          <w:lang w:val="en-GB"/>
        </w:rPr>
      </w:pPr>
      <w:r w:rsidRPr="00BC49E0">
        <w:rPr>
          <w:rFonts w:ascii="Times New Roman" w:hAnsi="Times New Roman" w:cs="Times New Roman"/>
          <w:lang w:val="en-GB"/>
        </w:rPr>
        <w:t xml:space="preserve">Brady, D., Huber, E., and Stephens, J.D. (2020). </w:t>
      </w:r>
      <w:r w:rsidRPr="008F139D">
        <w:rPr>
          <w:rFonts w:ascii="Times New Roman" w:hAnsi="Times New Roman" w:cs="Times New Roman"/>
          <w:i/>
          <w:iCs/>
          <w:lang w:val="en-GB"/>
        </w:rPr>
        <w:t>Comparative Welfare States Data Set</w:t>
      </w:r>
      <w:r w:rsidRPr="00BC49E0">
        <w:rPr>
          <w:rFonts w:ascii="Times New Roman" w:hAnsi="Times New Roman" w:cs="Times New Roman"/>
          <w:lang w:val="en-GB"/>
        </w:rPr>
        <w:t xml:space="preserve">.  University of North Carolina and WZB Berlin Social Science </w:t>
      </w:r>
      <w:proofErr w:type="spellStart"/>
      <w:r w:rsidRPr="00BC49E0">
        <w:rPr>
          <w:rFonts w:ascii="Times New Roman" w:hAnsi="Times New Roman" w:cs="Times New Roman"/>
          <w:lang w:val="en-GB"/>
        </w:rPr>
        <w:t>Center</w:t>
      </w:r>
      <w:proofErr w:type="spellEnd"/>
      <w:r w:rsidRPr="00BC49E0">
        <w:rPr>
          <w:rFonts w:ascii="Times New Roman" w:hAnsi="Times New Roman" w:cs="Times New Roman"/>
          <w:lang w:val="en-GB"/>
        </w:rPr>
        <w:t xml:space="preserve">.  </w:t>
      </w:r>
      <w:r w:rsidR="00BC49E0" w:rsidRPr="00BC49E0">
        <w:rPr>
          <w:rFonts w:ascii="Times New Roman" w:hAnsi="Times New Roman" w:cs="Times New Roman"/>
          <w:lang w:val="en-GB"/>
        </w:rPr>
        <w:t>A</w:t>
      </w:r>
      <w:r w:rsidRPr="00BC49E0">
        <w:rPr>
          <w:rFonts w:ascii="Times New Roman" w:hAnsi="Times New Roman" w:cs="Times New Roman"/>
          <w:lang w:val="en-GB"/>
        </w:rPr>
        <w:t xml:space="preserve">vailable for download at </w:t>
      </w:r>
      <w:hyperlink r:id="rId17" w:history="1">
        <w:r w:rsidRPr="00BC49E0">
          <w:rPr>
            <w:rStyle w:val="Hyperlink"/>
            <w:rFonts w:ascii="Times New Roman" w:hAnsi="Times New Roman" w:cs="Times New Roman"/>
            <w:lang w:val="en-GB"/>
          </w:rPr>
          <w:t>https://www.lisdatacenter.org/news-and-events/comparative-welfare-states-dataset-2020/</w:t>
        </w:r>
      </w:hyperlink>
    </w:p>
    <w:p w14:paraId="04BE0401" w14:textId="66CB3400" w:rsidR="00BC49E0" w:rsidRPr="00DB2838" w:rsidRDefault="00BC49E0" w:rsidP="00BC49E0">
      <w:pPr>
        <w:spacing w:after="0" w:line="240" w:lineRule="auto"/>
        <w:jc w:val="both"/>
        <w:rPr>
          <w:rFonts w:ascii="Times New Roman" w:eastAsia="Calibri" w:hAnsi="Times New Roman" w:cs="Times New Roman"/>
          <w:b/>
          <w:bCs/>
          <w:color w:val="000000" w:themeColor="text1"/>
          <w:lang w:val="en-GB"/>
        </w:rPr>
      </w:pPr>
      <w:r w:rsidRPr="00DB2838">
        <w:rPr>
          <w:rFonts w:ascii="Times New Roman" w:eastAsia="Calibri" w:hAnsi="Times New Roman" w:cs="Times New Roman"/>
          <w:b/>
          <w:bCs/>
          <w:color w:val="000000" w:themeColor="text1"/>
          <w:lang w:val="en-GB"/>
        </w:rPr>
        <w:t>Index of Economic Well-being (IEWB):</w:t>
      </w:r>
    </w:p>
    <w:p w14:paraId="7BAC8C00" w14:textId="49921860" w:rsidR="00BC49E0" w:rsidRPr="00CD3BE5" w:rsidRDefault="00BC49E0" w:rsidP="00BC49E0">
      <w:pPr>
        <w:spacing w:after="0" w:line="240" w:lineRule="auto"/>
        <w:jc w:val="both"/>
        <w:rPr>
          <w:rFonts w:ascii="Times New Roman" w:eastAsia="Calibri" w:hAnsi="Times New Roman" w:cs="Times New Roman"/>
          <w:lang w:val="en-GB"/>
        </w:rPr>
      </w:pPr>
      <w:proofErr w:type="spellStart"/>
      <w:r w:rsidRPr="002A1A6E">
        <w:rPr>
          <w:rFonts w:ascii="Times New Roman" w:eastAsia="Calibri" w:hAnsi="Times New Roman" w:cs="Times New Roman"/>
          <w:lang w:val="en-GB"/>
        </w:rPr>
        <w:t>Osberg</w:t>
      </w:r>
      <w:proofErr w:type="spellEnd"/>
      <w:r w:rsidRPr="002A1A6E">
        <w:rPr>
          <w:rFonts w:ascii="Times New Roman" w:eastAsia="Calibri" w:hAnsi="Times New Roman" w:cs="Times New Roman"/>
          <w:lang w:val="en-GB"/>
        </w:rPr>
        <w:t xml:space="preserve">, L. and Sharpe, A. (2016), </w:t>
      </w:r>
      <w:r w:rsidRPr="002A1A6E">
        <w:rPr>
          <w:rFonts w:ascii="Times New Roman" w:eastAsia="Calibri" w:hAnsi="Times New Roman" w:cs="Times New Roman"/>
          <w:i/>
          <w:iCs/>
          <w:lang w:val="en-GB"/>
        </w:rPr>
        <w:t>Database of the Index of Economic Well-being for selected OECD countries and Alberta, 1980–2014</w:t>
      </w:r>
      <w:r>
        <w:rPr>
          <w:rFonts w:ascii="Times New Roman" w:eastAsia="Calibri" w:hAnsi="Times New Roman" w:cs="Times New Roman"/>
          <w:lang w:val="en-GB"/>
        </w:rPr>
        <w:t xml:space="preserve">. </w:t>
      </w:r>
      <w:r w:rsidRPr="00BC49E0">
        <w:rPr>
          <w:rFonts w:ascii="Times New Roman" w:hAnsi="Times New Roman" w:cs="Times New Roman"/>
          <w:lang w:val="en-GB"/>
        </w:rPr>
        <w:t>Available for download at</w:t>
      </w:r>
      <w:r w:rsidRPr="002A1A6E">
        <w:rPr>
          <w:rFonts w:ascii="Times New Roman" w:eastAsia="Calibri" w:hAnsi="Times New Roman" w:cs="Times New Roman"/>
          <w:lang w:val="en-GB"/>
        </w:rPr>
        <w:t xml:space="preserve"> </w:t>
      </w:r>
      <w:r>
        <w:rPr>
          <w:rFonts w:ascii="Times New Roman" w:eastAsia="Calibri" w:hAnsi="Times New Roman" w:cs="Times New Roman"/>
          <w:lang w:val="en-GB"/>
        </w:rPr>
        <w:fldChar w:fldCharType="begin"/>
      </w:r>
      <w:r>
        <w:rPr>
          <w:rFonts w:ascii="Times New Roman" w:eastAsia="Calibri" w:hAnsi="Times New Roman" w:cs="Times New Roman"/>
          <w:lang w:val="en-GB"/>
        </w:rPr>
        <w:instrText xml:space="preserve"> HYPERLINK "</w:instrText>
      </w:r>
      <w:r w:rsidRPr="00CD3BE5">
        <w:rPr>
          <w:rFonts w:ascii="Times New Roman" w:eastAsia="Calibri" w:hAnsi="Times New Roman" w:cs="Times New Roman"/>
          <w:lang w:val="en-GB"/>
        </w:rPr>
        <w:instrText>http://www.csls.ca/iwb/oecd.asp.</w:instrText>
      </w:r>
    </w:p>
    <w:p w14:paraId="2583D709" w14:textId="77777777" w:rsidR="00BC49E0" w:rsidRPr="00800B60" w:rsidRDefault="00BC49E0" w:rsidP="00BC49E0">
      <w:pPr>
        <w:spacing w:after="160" w:line="240" w:lineRule="auto"/>
        <w:jc w:val="both"/>
        <w:rPr>
          <w:rStyle w:val="Hyperlink"/>
          <w:rFonts w:ascii="Times New Roman" w:eastAsia="Calibri" w:hAnsi="Times New Roman" w:cs="Times New Roman"/>
          <w:lang w:val="en-GB"/>
        </w:rPr>
      </w:pPr>
      <w:r>
        <w:rPr>
          <w:rFonts w:ascii="Times New Roman" w:eastAsia="Calibri" w:hAnsi="Times New Roman" w:cs="Times New Roman"/>
          <w:lang w:val="en-GB"/>
        </w:rPr>
        <w:instrText xml:space="preserve">" </w:instrText>
      </w:r>
      <w:r>
        <w:rPr>
          <w:rFonts w:ascii="Times New Roman" w:eastAsia="Calibri" w:hAnsi="Times New Roman" w:cs="Times New Roman"/>
          <w:lang w:val="en-GB"/>
        </w:rPr>
        <w:fldChar w:fldCharType="separate"/>
      </w:r>
      <w:r w:rsidRPr="00800B60">
        <w:rPr>
          <w:rStyle w:val="Hyperlink"/>
          <w:rFonts w:ascii="Times New Roman" w:eastAsia="Calibri" w:hAnsi="Times New Roman" w:cs="Times New Roman"/>
          <w:lang w:val="en-GB"/>
        </w:rPr>
        <w:t>http://www.csls.ca/iwb/oecd.asp.</w:t>
      </w:r>
    </w:p>
    <w:p w14:paraId="5277D88E" w14:textId="0C529519" w:rsidR="0053543F" w:rsidRPr="00DB2838" w:rsidRDefault="00BC49E0" w:rsidP="00BC49E0">
      <w:pPr>
        <w:spacing w:after="0"/>
        <w:rPr>
          <w:rFonts w:ascii="Times New Roman" w:hAnsi="Times New Roman" w:cs="Times New Roman"/>
          <w:b/>
          <w:bCs/>
          <w:color w:val="000000" w:themeColor="text1"/>
          <w:lang w:val="en-GB"/>
        </w:rPr>
      </w:pPr>
      <w:r>
        <w:rPr>
          <w:rFonts w:ascii="Times New Roman" w:eastAsia="Calibri" w:hAnsi="Times New Roman" w:cs="Times New Roman"/>
          <w:lang w:val="en-GB"/>
        </w:rPr>
        <w:fldChar w:fldCharType="end"/>
      </w:r>
      <w:r w:rsidR="0053543F" w:rsidRPr="00DB2838">
        <w:rPr>
          <w:rFonts w:ascii="Times New Roman" w:hAnsi="Times New Roman" w:cs="Times New Roman"/>
          <w:b/>
          <w:bCs/>
          <w:color w:val="000000" w:themeColor="text1"/>
          <w:lang w:val="en-GB"/>
        </w:rPr>
        <w:t xml:space="preserve">Penn World Table: </w:t>
      </w:r>
    </w:p>
    <w:p w14:paraId="0D5E89F6" w14:textId="00DB2DAC" w:rsidR="0053543F" w:rsidRPr="00BC49E0" w:rsidRDefault="0053543F" w:rsidP="00141E0C">
      <w:pPr>
        <w:rPr>
          <w:rFonts w:ascii="Times New Roman" w:hAnsi="Times New Roman" w:cs="Times New Roman"/>
          <w:lang w:val="en-GB"/>
        </w:rPr>
      </w:pPr>
      <w:proofErr w:type="spellStart"/>
      <w:r w:rsidRPr="00BC49E0">
        <w:rPr>
          <w:rFonts w:ascii="Times New Roman" w:hAnsi="Times New Roman" w:cs="Times New Roman"/>
          <w:lang w:val="en-GB"/>
        </w:rPr>
        <w:t>Feenstra</w:t>
      </w:r>
      <w:proofErr w:type="spellEnd"/>
      <w:r w:rsidRPr="00BC49E0">
        <w:rPr>
          <w:rFonts w:ascii="Times New Roman" w:hAnsi="Times New Roman" w:cs="Times New Roman"/>
          <w:lang w:val="en-GB"/>
        </w:rPr>
        <w:t xml:space="preserve">, R.C., </w:t>
      </w:r>
      <w:proofErr w:type="spellStart"/>
      <w:r w:rsidRPr="00BC49E0">
        <w:rPr>
          <w:rFonts w:ascii="Times New Roman" w:hAnsi="Times New Roman" w:cs="Times New Roman"/>
          <w:lang w:val="en-GB"/>
        </w:rPr>
        <w:t>Inklaar</w:t>
      </w:r>
      <w:proofErr w:type="spellEnd"/>
      <w:r w:rsidRPr="00BC49E0">
        <w:rPr>
          <w:rFonts w:ascii="Times New Roman" w:hAnsi="Times New Roman" w:cs="Times New Roman"/>
          <w:lang w:val="en-GB"/>
        </w:rPr>
        <w:t xml:space="preserve">, R. and Timmer, M.P. (2015). </w:t>
      </w:r>
      <w:r w:rsidRPr="008F139D">
        <w:rPr>
          <w:rFonts w:ascii="Times New Roman" w:hAnsi="Times New Roman" w:cs="Times New Roman"/>
          <w:i/>
          <w:iCs/>
          <w:lang w:val="en-GB"/>
        </w:rPr>
        <w:t>The Next Generation of the Penn World Table</w:t>
      </w:r>
      <w:r w:rsidR="008F139D">
        <w:rPr>
          <w:rFonts w:ascii="Times New Roman" w:hAnsi="Times New Roman" w:cs="Times New Roman"/>
          <w:lang w:val="en-GB"/>
        </w:rPr>
        <w:t>.</w:t>
      </w:r>
      <w:r w:rsidRPr="00BC49E0">
        <w:rPr>
          <w:rFonts w:ascii="Times New Roman" w:hAnsi="Times New Roman" w:cs="Times New Roman"/>
          <w:lang w:val="en-GB"/>
        </w:rPr>
        <w:t xml:space="preserve"> American Economic Review, 105(10), 3150-3182, available for download at </w:t>
      </w:r>
      <w:hyperlink r:id="rId18" w:history="1">
        <w:r w:rsidRPr="00BC49E0">
          <w:rPr>
            <w:rStyle w:val="Hyperlink"/>
            <w:rFonts w:ascii="Times New Roman" w:hAnsi="Times New Roman" w:cs="Times New Roman"/>
            <w:lang w:val="en-GB"/>
          </w:rPr>
          <w:t>www.ggdc.net/pwt</w:t>
        </w:r>
      </w:hyperlink>
    </w:p>
    <w:p w14:paraId="02567E75" w14:textId="0AC89368" w:rsidR="00BC49E0" w:rsidRPr="00DB2838" w:rsidRDefault="00BC49E0" w:rsidP="00BC49E0">
      <w:pPr>
        <w:spacing w:after="0"/>
        <w:rPr>
          <w:rFonts w:ascii="Times New Roman" w:hAnsi="Times New Roman" w:cs="Times New Roman"/>
          <w:b/>
          <w:bCs/>
          <w:color w:val="000000" w:themeColor="text1"/>
          <w:lang w:val="en-GB"/>
        </w:rPr>
      </w:pPr>
      <w:r w:rsidRPr="00DB2838">
        <w:rPr>
          <w:rFonts w:ascii="Times New Roman" w:hAnsi="Times New Roman" w:cs="Times New Roman"/>
          <w:b/>
          <w:bCs/>
          <w:color w:val="000000" w:themeColor="text1"/>
          <w:lang w:val="en-GB"/>
        </w:rPr>
        <w:t>OECD</w:t>
      </w:r>
    </w:p>
    <w:p w14:paraId="44B6C6FC" w14:textId="085A114D" w:rsidR="0053543F" w:rsidRPr="00BC49E0" w:rsidRDefault="0053543F" w:rsidP="00BC49E0">
      <w:pPr>
        <w:spacing w:after="0"/>
        <w:rPr>
          <w:rFonts w:ascii="Times New Roman" w:hAnsi="Times New Roman" w:cs="Times New Roman"/>
          <w:lang w:val="en-GB"/>
        </w:rPr>
      </w:pPr>
      <w:r w:rsidRPr="00BC49E0">
        <w:rPr>
          <w:rFonts w:ascii="Times New Roman" w:hAnsi="Times New Roman" w:cs="Times New Roman"/>
          <w:lang w:val="en-GB"/>
        </w:rPr>
        <w:t xml:space="preserve">Labour Force Statistics in OECD countries:  </w:t>
      </w:r>
      <w:hyperlink r:id="rId19" w:history="1">
        <w:r w:rsidRPr="00BC49E0">
          <w:rPr>
            <w:rStyle w:val="Hyperlink"/>
            <w:rFonts w:ascii="Times New Roman" w:hAnsi="Times New Roman" w:cs="Times New Roman"/>
            <w:lang w:val="en-GB"/>
          </w:rPr>
          <w:t>https://data.oecd.org/emp/labour-force.htm</w:t>
        </w:r>
      </w:hyperlink>
    </w:p>
    <w:p w14:paraId="061AF09A" w14:textId="02222122" w:rsidR="0053543F" w:rsidRPr="00BC49E0" w:rsidRDefault="0053543F" w:rsidP="00BC49E0">
      <w:pPr>
        <w:spacing w:after="0"/>
        <w:rPr>
          <w:rFonts w:ascii="Times New Roman" w:hAnsi="Times New Roman" w:cs="Times New Roman"/>
          <w:lang w:val="en-GB"/>
        </w:rPr>
      </w:pPr>
      <w:r w:rsidRPr="00BC49E0">
        <w:rPr>
          <w:rFonts w:ascii="Times New Roman" w:hAnsi="Times New Roman" w:cs="Times New Roman"/>
          <w:lang w:val="en-GB"/>
        </w:rPr>
        <w:t xml:space="preserve">Social Protection Statistics in OECD countries: </w:t>
      </w:r>
      <w:hyperlink r:id="rId20" w:history="1">
        <w:r w:rsidRPr="00BC49E0">
          <w:rPr>
            <w:rStyle w:val="Hyperlink"/>
            <w:rFonts w:ascii="Times New Roman" w:hAnsi="Times New Roman" w:cs="Times New Roman"/>
            <w:lang w:val="en-GB"/>
          </w:rPr>
          <w:t>https://stats.oecd.org/Index.aspx?DataSetCode=SOCR</w:t>
        </w:r>
      </w:hyperlink>
    </w:p>
    <w:p w14:paraId="5EEB5040" w14:textId="4207340A" w:rsidR="00357B45" w:rsidRDefault="00357B45" w:rsidP="00141E0C">
      <w:pPr>
        <w:rPr>
          <w:lang w:val="en-GB"/>
        </w:rPr>
      </w:pPr>
    </w:p>
    <w:p w14:paraId="5D860654" w14:textId="24274369" w:rsidR="00861139" w:rsidRDefault="00861139" w:rsidP="00861139">
      <w:pPr>
        <w:pStyle w:val="Heading2"/>
        <w:rPr>
          <w:rFonts w:ascii="Times New Roman" w:eastAsia="Calibri" w:hAnsi="Times New Roman" w:cs="Times New Roman"/>
          <w:szCs w:val="24"/>
          <w:lang w:val="en-GB"/>
        </w:rPr>
      </w:pPr>
      <w:r w:rsidRPr="00091B8D">
        <w:rPr>
          <w:rFonts w:ascii="Times New Roman" w:eastAsia="Calibri" w:hAnsi="Times New Roman" w:cs="Times New Roman"/>
          <w:szCs w:val="24"/>
          <w:lang w:val="en-GB"/>
        </w:rPr>
        <w:t xml:space="preserve">Section </w:t>
      </w:r>
      <w:r>
        <w:rPr>
          <w:rFonts w:ascii="Times New Roman" w:eastAsia="Calibri" w:hAnsi="Times New Roman" w:cs="Times New Roman"/>
          <w:szCs w:val="24"/>
          <w:lang w:val="en-GB"/>
        </w:rPr>
        <w:t xml:space="preserve">C: Gaps  </w:t>
      </w:r>
    </w:p>
    <w:p w14:paraId="1151D23D" w14:textId="7402A764" w:rsidR="00861139" w:rsidRPr="00861139" w:rsidRDefault="00861139" w:rsidP="00861139">
      <w:pPr>
        <w:pStyle w:val="BodyText"/>
        <w:rPr>
          <w:rFonts w:ascii="Times New Roman" w:hAnsi="Times New Roman" w:cs="Times New Roman"/>
          <w:lang w:val="en-GB"/>
        </w:rPr>
      </w:pPr>
      <w:r w:rsidRPr="00861139">
        <w:rPr>
          <w:rFonts w:ascii="Times New Roman" w:hAnsi="Times New Roman" w:cs="Times New Roman"/>
          <w:lang w:val="en-GB"/>
        </w:rPr>
        <w:t xml:space="preserve">There are 6 countries in our panel data </w:t>
      </w:r>
      <w:r w:rsidR="00575336">
        <w:rPr>
          <w:rFonts w:ascii="Times New Roman" w:hAnsi="Times New Roman" w:cs="Times New Roman"/>
          <w:lang w:val="en-GB"/>
        </w:rPr>
        <w:t xml:space="preserve">that </w:t>
      </w:r>
      <w:r w:rsidRPr="00861139">
        <w:rPr>
          <w:rFonts w:ascii="Times New Roman" w:hAnsi="Times New Roman" w:cs="Times New Roman"/>
          <w:lang w:val="en-GB"/>
        </w:rPr>
        <w:t>have missing information on the pension benefit measures</w:t>
      </w:r>
      <w:r>
        <w:rPr>
          <w:rFonts w:ascii="Times New Roman" w:hAnsi="Times New Roman" w:cs="Times New Roman"/>
          <w:lang w:val="en-GB"/>
        </w:rPr>
        <w:t xml:space="preserve">. We have listed below the length of the time-series for these countries. </w:t>
      </w:r>
    </w:p>
    <w:p w14:paraId="09B23DBC" w14:textId="4F619DE2" w:rsidR="00861139" w:rsidRPr="00861139" w:rsidRDefault="00861139" w:rsidP="00861139">
      <w:pPr>
        <w:spacing w:after="0" w:line="259" w:lineRule="auto"/>
        <w:rPr>
          <w:rFonts w:ascii="Times New Roman" w:hAnsi="Times New Roman" w:cs="Times New Roman"/>
          <w:color w:val="000000" w:themeColor="text1"/>
          <w:shd w:val="clear" w:color="auto" w:fill="FFFFFF"/>
          <w:lang w:val="en-GB"/>
        </w:rPr>
      </w:pPr>
      <w:r>
        <w:rPr>
          <w:rFonts w:ascii="Times New Roman" w:hAnsi="Times New Roman" w:cs="Times New Roman"/>
          <w:color w:val="000000" w:themeColor="text1"/>
          <w:shd w:val="clear" w:color="auto" w:fill="FFFFFF"/>
          <w:lang w:val="en-GB"/>
        </w:rPr>
        <w:t xml:space="preserve">Table C.1: </w:t>
      </w:r>
      <w:r w:rsidRPr="00861139">
        <w:rPr>
          <w:rFonts w:ascii="Times New Roman" w:hAnsi="Times New Roman" w:cs="Times New Roman"/>
          <w:color w:val="000000" w:themeColor="text1"/>
          <w:shd w:val="clear" w:color="auto" w:fill="FFFFFF"/>
          <w:lang w:val="en-GB"/>
        </w:rPr>
        <w:t>List of countries with gaps</w:t>
      </w:r>
      <w:r>
        <w:rPr>
          <w:rFonts w:ascii="Times New Roman" w:hAnsi="Times New Roman" w:cs="Times New Roman"/>
          <w:color w:val="000000" w:themeColor="text1"/>
          <w:shd w:val="clear" w:color="auto" w:fill="FFFFFF"/>
          <w:lang w:val="en-GB"/>
        </w:rPr>
        <w:t xml:space="preserve"> in CWED </w:t>
      </w:r>
      <w:r w:rsidRPr="00861139">
        <w:rPr>
          <w:rFonts w:ascii="Times New Roman" w:hAnsi="Times New Roman" w:cs="Times New Roman"/>
          <w:color w:val="000000" w:themeColor="text1"/>
          <w:shd w:val="clear" w:color="auto" w:fill="FFFFFF"/>
          <w:lang w:val="en-GB"/>
        </w:rPr>
        <w:t xml:space="preserve"> </w:t>
      </w:r>
    </w:p>
    <w:tbl>
      <w:tblPr>
        <w:tblStyle w:val="TableGrid1"/>
        <w:tblW w:w="0" w:type="auto"/>
        <w:tblLook w:val="04A0" w:firstRow="1" w:lastRow="0" w:firstColumn="1" w:lastColumn="0" w:noHBand="0" w:noVBand="1"/>
      </w:tblPr>
      <w:tblGrid>
        <w:gridCol w:w="1221"/>
        <w:gridCol w:w="1741"/>
        <w:gridCol w:w="1741"/>
        <w:gridCol w:w="1835"/>
      </w:tblGrid>
      <w:tr w:rsidR="00861139" w:rsidRPr="00861139" w14:paraId="010D4FF5" w14:textId="77777777" w:rsidTr="00536ADC">
        <w:trPr>
          <w:trHeight w:val="252"/>
        </w:trPr>
        <w:tc>
          <w:tcPr>
            <w:tcW w:w="1221" w:type="dxa"/>
            <w:noWrap/>
            <w:hideMark/>
          </w:tcPr>
          <w:p w14:paraId="15F71A29"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 </w:t>
            </w:r>
          </w:p>
        </w:tc>
        <w:tc>
          <w:tcPr>
            <w:tcW w:w="1741" w:type="dxa"/>
            <w:noWrap/>
            <w:hideMark/>
          </w:tcPr>
          <w:p w14:paraId="43B34799" w14:textId="042A79D8"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SP-mid0</w:t>
            </w:r>
          </w:p>
        </w:tc>
        <w:tc>
          <w:tcPr>
            <w:tcW w:w="1741" w:type="dxa"/>
            <w:noWrap/>
            <w:hideMark/>
          </w:tcPr>
          <w:p w14:paraId="4FCE94F8" w14:textId="6C910285"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SP-low0</w:t>
            </w:r>
          </w:p>
        </w:tc>
        <w:tc>
          <w:tcPr>
            <w:tcW w:w="1835" w:type="dxa"/>
            <w:noWrap/>
            <w:hideMark/>
          </w:tcPr>
          <w:p w14:paraId="4335C682" w14:textId="121AAB38"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MP-mid0</w:t>
            </w:r>
          </w:p>
        </w:tc>
      </w:tr>
      <w:tr w:rsidR="00861139" w:rsidRPr="00861139" w14:paraId="63C898B4" w14:textId="77777777" w:rsidTr="00536ADC">
        <w:trPr>
          <w:trHeight w:val="252"/>
        </w:trPr>
        <w:tc>
          <w:tcPr>
            <w:tcW w:w="1221" w:type="dxa"/>
            <w:noWrap/>
            <w:hideMark/>
          </w:tcPr>
          <w:p w14:paraId="76C11E9A"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 xml:space="preserve">Belgium </w:t>
            </w:r>
          </w:p>
        </w:tc>
        <w:tc>
          <w:tcPr>
            <w:tcW w:w="1741" w:type="dxa"/>
            <w:noWrap/>
            <w:hideMark/>
          </w:tcPr>
          <w:p w14:paraId="69BFE76A"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1984-2010</w:t>
            </w:r>
          </w:p>
        </w:tc>
        <w:tc>
          <w:tcPr>
            <w:tcW w:w="1741" w:type="dxa"/>
            <w:noWrap/>
            <w:hideMark/>
          </w:tcPr>
          <w:p w14:paraId="021DC16D"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1984-2010</w:t>
            </w:r>
          </w:p>
        </w:tc>
        <w:tc>
          <w:tcPr>
            <w:tcW w:w="1835" w:type="dxa"/>
            <w:noWrap/>
            <w:hideMark/>
          </w:tcPr>
          <w:p w14:paraId="4A922600"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1992-2010</w:t>
            </w:r>
          </w:p>
        </w:tc>
      </w:tr>
      <w:tr w:rsidR="00861139" w:rsidRPr="00861139" w14:paraId="16B4B63B" w14:textId="77777777" w:rsidTr="00536ADC">
        <w:trPr>
          <w:trHeight w:val="252"/>
        </w:trPr>
        <w:tc>
          <w:tcPr>
            <w:tcW w:w="1221" w:type="dxa"/>
            <w:noWrap/>
            <w:hideMark/>
          </w:tcPr>
          <w:p w14:paraId="219725E8"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 xml:space="preserve">Canada </w:t>
            </w:r>
          </w:p>
        </w:tc>
        <w:tc>
          <w:tcPr>
            <w:tcW w:w="1741" w:type="dxa"/>
            <w:noWrap/>
            <w:hideMark/>
          </w:tcPr>
          <w:p w14:paraId="3E95FA11"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1983-2010</w:t>
            </w:r>
          </w:p>
        </w:tc>
        <w:tc>
          <w:tcPr>
            <w:tcW w:w="1741" w:type="dxa"/>
            <w:noWrap/>
            <w:hideMark/>
          </w:tcPr>
          <w:p w14:paraId="1AA72E47"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1983-2010</w:t>
            </w:r>
          </w:p>
        </w:tc>
        <w:tc>
          <w:tcPr>
            <w:tcW w:w="1835" w:type="dxa"/>
            <w:noWrap/>
            <w:hideMark/>
          </w:tcPr>
          <w:p w14:paraId="1AA713F1"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1983-2010</w:t>
            </w:r>
          </w:p>
        </w:tc>
      </w:tr>
      <w:tr w:rsidR="00861139" w:rsidRPr="00861139" w14:paraId="2BFB31BB" w14:textId="77777777" w:rsidTr="00536ADC">
        <w:trPr>
          <w:trHeight w:val="252"/>
        </w:trPr>
        <w:tc>
          <w:tcPr>
            <w:tcW w:w="1221" w:type="dxa"/>
            <w:noWrap/>
            <w:hideMark/>
          </w:tcPr>
          <w:p w14:paraId="2DBFB952"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 xml:space="preserve">Finland </w:t>
            </w:r>
          </w:p>
        </w:tc>
        <w:tc>
          <w:tcPr>
            <w:tcW w:w="1741" w:type="dxa"/>
            <w:noWrap/>
            <w:hideMark/>
          </w:tcPr>
          <w:p w14:paraId="2F3547FF"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1981-2010</w:t>
            </w:r>
          </w:p>
        </w:tc>
        <w:tc>
          <w:tcPr>
            <w:tcW w:w="1741" w:type="dxa"/>
            <w:noWrap/>
            <w:hideMark/>
          </w:tcPr>
          <w:p w14:paraId="2A17C6DF"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1981-2010</w:t>
            </w:r>
          </w:p>
        </w:tc>
        <w:tc>
          <w:tcPr>
            <w:tcW w:w="1835" w:type="dxa"/>
            <w:noWrap/>
            <w:hideMark/>
          </w:tcPr>
          <w:p w14:paraId="6D352C8E"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1981-2010</w:t>
            </w:r>
          </w:p>
        </w:tc>
      </w:tr>
      <w:tr w:rsidR="00861139" w:rsidRPr="00861139" w14:paraId="5D0AC14C" w14:textId="77777777" w:rsidTr="00536ADC">
        <w:trPr>
          <w:trHeight w:val="252"/>
        </w:trPr>
        <w:tc>
          <w:tcPr>
            <w:tcW w:w="1221" w:type="dxa"/>
            <w:noWrap/>
            <w:hideMark/>
          </w:tcPr>
          <w:p w14:paraId="5EAFAD5F"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Germany</w:t>
            </w:r>
          </w:p>
        </w:tc>
        <w:tc>
          <w:tcPr>
            <w:tcW w:w="1741" w:type="dxa"/>
            <w:noWrap/>
            <w:hideMark/>
          </w:tcPr>
          <w:p w14:paraId="149AF892"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1982-2010</w:t>
            </w:r>
          </w:p>
        </w:tc>
        <w:tc>
          <w:tcPr>
            <w:tcW w:w="1741" w:type="dxa"/>
            <w:noWrap/>
            <w:hideMark/>
          </w:tcPr>
          <w:p w14:paraId="183EB176"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1982-2010</w:t>
            </w:r>
          </w:p>
        </w:tc>
        <w:tc>
          <w:tcPr>
            <w:tcW w:w="1835" w:type="dxa"/>
            <w:noWrap/>
            <w:hideMark/>
          </w:tcPr>
          <w:p w14:paraId="382ACD17"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1982-2010</w:t>
            </w:r>
          </w:p>
        </w:tc>
      </w:tr>
      <w:tr w:rsidR="00861139" w:rsidRPr="00861139" w14:paraId="7014E158" w14:textId="77777777" w:rsidTr="00536ADC">
        <w:trPr>
          <w:trHeight w:val="252"/>
        </w:trPr>
        <w:tc>
          <w:tcPr>
            <w:tcW w:w="1221" w:type="dxa"/>
            <w:noWrap/>
            <w:hideMark/>
          </w:tcPr>
          <w:p w14:paraId="00A66791"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 xml:space="preserve">Italy </w:t>
            </w:r>
          </w:p>
        </w:tc>
        <w:tc>
          <w:tcPr>
            <w:tcW w:w="1741" w:type="dxa"/>
            <w:noWrap/>
            <w:hideMark/>
          </w:tcPr>
          <w:p w14:paraId="0ADFC8D2"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1986-2010</w:t>
            </w:r>
          </w:p>
        </w:tc>
        <w:tc>
          <w:tcPr>
            <w:tcW w:w="1741" w:type="dxa"/>
            <w:noWrap/>
            <w:hideMark/>
          </w:tcPr>
          <w:p w14:paraId="4627DB09"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1986-2010</w:t>
            </w:r>
          </w:p>
        </w:tc>
        <w:tc>
          <w:tcPr>
            <w:tcW w:w="1835" w:type="dxa"/>
            <w:noWrap/>
            <w:hideMark/>
          </w:tcPr>
          <w:p w14:paraId="020AB6D6"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1986-2010</w:t>
            </w:r>
          </w:p>
        </w:tc>
      </w:tr>
      <w:tr w:rsidR="00861139" w:rsidRPr="00861139" w14:paraId="706D7F79" w14:textId="77777777" w:rsidTr="00536ADC">
        <w:trPr>
          <w:trHeight w:val="252"/>
        </w:trPr>
        <w:tc>
          <w:tcPr>
            <w:tcW w:w="1221" w:type="dxa"/>
            <w:noWrap/>
            <w:hideMark/>
          </w:tcPr>
          <w:p w14:paraId="6C15D040"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 xml:space="preserve">Norway </w:t>
            </w:r>
          </w:p>
        </w:tc>
        <w:tc>
          <w:tcPr>
            <w:tcW w:w="1741" w:type="dxa"/>
            <w:noWrap/>
            <w:hideMark/>
          </w:tcPr>
          <w:p w14:paraId="1BE30B95"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1983-2010</w:t>
            </w:r>
          </w:p>
        </w:tc>
        <w:tc>
          <w:tcPr>
            <w:tcW w:w="1741" w:type="dxa"/>
            <w:noWrap/>
            <w:hideMark/>
          </w:tcPr>
          <w:p w14:paraId="70400EFE" w14:textId="77777777"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1983-2010</w:t>
            </w:r>
          </w:p>
        </w:tc>
        <w:tc>
          <w:tcPr>
            <w:tcW w:w="1835" w:type="dxa"/>
            <w:noWrap/>
            <w:hideMark/>
          </w:tcPr>
          <w:p w14:paraId="648C2B7E" w14:textId="10B26943" w:rsidR="00861139" w:rsidRPr="00861139" w:rsidRDefault="00861139" w:rsidP="00861139">
            <w:pPr>
              <w:spacing w:after="0" w:line="240" w:lineRule="auto"/>
              <w:rPr>
                <w:rFonts w:ascii="Times New Roman" w:hAnsi="Times New Roman" w:cs="Times New Roman"/>
                <w:color w:val="000000" w:themeColor="text1"/>
                <w:shd w:val="clear" w:color="auto" w:fill="FFFFFF"/>
                <w:lang w:val="en-GB"/>
              </w:rPr>
            </w:pPr>
            <w:r w:rsidRPr="00861139">
              <w:rPr>
                <w:rFonts w:ascii="Times New Roman" w:hAnsi="Times New Roman" w:cs="Times New Roman"/>
                <w:color w:val="000000" w:themeColor="text1"/>
                <w:shd w:val="clear" w:color="auto" w:fill="FFFFFF"/>
                <w:lang w:val="en-GB"/>
              </w:rPr>
              <w:t> </w:t>
            </w:r>
            <w:r w:rsidR="001B584B">
              <w:rPr>
                <w:rFonts w:ascii="Times New Roman" w:hAnsi="Times New Roman" w:cs="Times New Roman"/>
                <w:color w:val="000000" w:themeColor="text1"/>
                <w:shd w:val="clear" w:color="auto" w:fill="FFFFFF"/>
                <w:lang w:val="en-GB"/>
              </w:rPr>
              <w:t xml:space="preserve">No gaps </w:t>
            </w:r>
          </w:p>
        </w:tc>
      </w:tr>
    </w:tbl>
    <w:p w14:paraId="33C04B14" w14:textId="77777777" w:rsidR="00861139" w:rsidRPr="00861139" w:rsidRDefault="00861139" w:rsidP="00861139">
      <w:pPr>
        <w:spacing w:after="0" w:line="259" w:lineRule="auto"/>
        <w:rPr>
          <w:rFonts w:ascii="Times New Roman" w:hAnsi="Times New Roman" w:cs="Times New Roman"/>
          <w:color w:val="000000" w:themeColor="text1"/>
          <w:shd w:val="clear" w:color="auto" w:fill="FFFFFF"/>
          <w:lang w:val="en-GB"/>
        </w:rPr>
      </w:pPr>
    </w:p>
    <w:p w14:paraId="603C9E6A" w14:textId="77777777" w:rsidR="00861139" w:rsidRPr="00861139" w:rsidRDefault="00861139" w:rsidP="00861139">
      <w:pPr>
        <w:spacing w:after="0" w:line="259" w:lineRule="auto"/>
        <w:rPr>
          <w:rFonts w:ascii="Calibri" w:hAnsi="Calibri" w:cs="Calibri"/>
          <w:color w:val="4472C4" w:themeColor="accent1"/>
          <w:shd w:val="clear" w:color="auto" w:fill="FFFFFF"/>
          <w:lang w:val="en-GB"/>
        </w:rPr>
      </w:pPr>
    </w:p>
    <w:p w14:paraId="296438E7" w14:textId="77777777" w:rsidR="00861139" w:rsidRDefault="00861139" w:rsidP="00141E0C">
      <w:pPr>
        <w:rPr>
          <w:lang w:val="en-GB"/>
        </w:rPr>
      </w:pPr>
    </w:p>
    <w:p w14:paraId="23123A51" w14:textId="77777777" w:rsidR="00861139" w:rsidRDefault="00861139" w:rsidP="00141E0C">
      <w:pPr>
        <w:rPr>
          <w:lang w:val="en-GB"/>
        </w:rPr>
      </w:pPr>
    </w:p>
    <w:p w14:paraId="41E788D1" w14:textId="77777777" w:rsidR="00357B45" w:rsidRDefault="00357B45" w:rsidP="00141E0C">
      <w:pPr>
        <w:rPr>
          <w:lang w:val="en-GB"/>
        </w:rPr>
      </w:pPr>
    </w:p>
    <w:p w14:paraId="13D39802" w14:textId="040214F9" w:rsidR="008F139D" w:rsidRDefault="008F139D" w:rsidP="00141E0C">
      <w:pPr>
        <w:rPr>
          <w:lang w:val="en-GB"/>
        </w:rPr>
      </w:pPr>
      <w:r>
        <w:rPr>
          <w:lang w:val="en-GB"/>
        </w:rPr>
        <w:br w:type="page"/>
      </w:r>
    </w:p>
    <w:p w14:paraId="7D1319D9" w14:textId="529829E0" w:rsidR="00141E0C" w:rsidRPr="00091B8D" w:rsidRDefault="00141E0C" w:rsidP="00141E0C">
      <w:pPr>
        <w:pStyle w:val="Heading2"/>
        <w:rPr>
          <w:rFonts w:ascii="Times New Roman" w:eastAsia="Calibri" w:hAnsi="Times New Roman" w:cs="Times New Roman"/>
          <w:b w:val="0"/>
          <w:bCs w:val="0"/>
          <w:szCs w:val="24"/>
          <w:lang w:val="en-GB"/>
        </w:rPr>
      </w:pPr>
      <w:bookmarkStart w:id="2" w:name="_Hlk69199258"/>
      <w:r w:rsidRPr="00091B8D">
        <w:rPr>
          <w:rFonts w:ascii="Times New Roman" w:eastAsia="Calibri" w:hAnsi="Times New Roman" w:cs="Times New Roman"/>
          <w:szCs w:val="24"/>
          <w:lang w:val="en-GB"/>
        </w:rPr>
        <w:lastRenderedPageBreak/>
        <w:t xml:space="preserve">Section </w:t>
      </w:r>
      <w:r w:rsidR="00FF5A3D">
        <w:rPr>
          <w:rFonts w:ascii="Times New Roman" w:eastAsia="Calibri" w:hAnsi="Times New Roman" w:cs="Times New Roman"/>
          <w:szCs w:val="24"/>
          <w:lang w:val="en-GB"/>
        </w:rPr>
        <w:t>D</w:t>
      </w:r>
      <w:r w:rsidRPr="00091B8D">
        <w:rPr>
          <w:rFonts w:ascii="Times New Roman" w:eastAsia="Calibri" w:hAnsi="Times New Roman" w:cs="Times New Roman"/>
          <w:szCs w:val="24"/>
          <w:lang w:val="en-GB"/>
        </w:rPr>
        <w:t xml:space="preserve">: </w:t>
      </w:r>
      <w:bookmarkEnd w:id="2"/>
      <w:r w:rsidRPr="00091B8D">
        <w:rPr>
          <w:rFonts w:ascii="Times New Roman" w:eastAsia="Calibri" w:hAnsi="Times New Roman" w:cs="Times New Roman"/>
          <w:szCs w:val="24"/>
          <w:lang w:val="en-GB"/>
        </w:rPr>
        <w:t xml:space="preserve">Descriptive figures </w:t>
      </w:r>
    </w:p>
    <w:p w14:paraId="31532259" w14:textId="1443871D" w:rsidR="00141E0C" w:rsidRDefault="00141E0C" w:rsidP="00141E0C">
      <w:pPr>
        <w:rPr>
          <w:rFonts w:ascii="Times New Roman" w:hAnsi="Times New Roman" w:cs="Times New Roman"/>
          <w:lang w:val="en-GB"/>
        </w:rPr>
      </w:pPr>
      <w:r w:rsidRPr="00091B8D">
        <w:rPr>
          <w:rFonts w:ascii="Times New Roman" w:hAnsi="Times New Roman" w:cs="Times New Roman"/>
          <w:lang w:val="en-GB"/>
        </w:rPr>
        <w:t xml:space="preserve">Figure </w:t>
      </w:r>
      <w:r w:rsidR="00390AE9">
        <w:rPr>
          <w:rFonts w:ascii="Times New Roman" w:hAnsi="Times New Roman" w:cs="Times New Roman"/>
          <w:lang w:val="en-GB"/>
        </w:rPr>
        <w:t>C</w:t>
      </w:r>
      <w:r w:rsidRPr="00091B8D">
        <w:rPr>
          <w:rFonts w:ascii="Times New Roman" w:hAnsi="Times New Roman" w:cs="Times New Roman"/>
          <w:lang w:val="en-GB"/>
        </w:rPr>
        <w:t xml:space="preserve">.1: </w:t>
      </w:r>
      <w:r w:rsidR="00CF19B7">
        <w:rPr>
          <w:rFonts w:ascii="Times New Roman" w:hAnsi="Times New Roman" w:cs="Times New Roman"/>
          <w:lang w:val="en-GB"/>
        </w:rPr>
        <w:t>Percentage of p</w:t>
      </w:r>
      <w:r w:rsidRPr="00091B8D">
        <w:rPr>
          <w:rFonts w:ascii="Times New Roman" w:hAnsi="Times New Roman" w:cs="Times New Roman"/>
          <w:lang w:val="en-GB"/>
        </w:rPr>
        <w:t xml:space="preserve">overty rate and gap, 1980-2010 period  </w:t>
      </w:r>
    </w:p>
    <w:p w14:paraId="7DA32ED6" w14:textId="689BA736" w:rsidR="00CF19B7" w:rsidRPr="00091B8D" w:rsidRDefault="00CF19B7" w:rsidP="00141E0C">
      <w:pPr>
        <w:rPr>
          <w:rFonts w:ascii="Times New Roman" w:hAnsi="Times New Roman" w:cs="Times New Roman"/>
          <w:lang w:val="en-GB"/>
        </w:rPr>
      </w:pPr>
      <w:r>
        <w:rPr>
          <w:rFonts w:ascii="Times New Roman" w:hAnsi="Times New Roman" w:cs="Times New Roman"/>
          <w:noProof/>
          <w:lang w:val="en-GB" w:eastAsia="en-GB"/>
        </w:rPr>
        <w:drawing>
          <wp:inline distT="0" distB="0" distL="0" distR="0" wp14:anchorId="366AB45C" wp14:editId="095A0AE5">
            <wp:extent cx="4419600" cy="3218483"/>
            <wp:effectExtent l="0" t="0" r="0" b="127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25924" cy="3223088"/>
                    </a:xfrm>
                    <a:prstGeom prst="rect">
                      <a:avLst/>
                    </a:prstGeom>
                  </pic:spPr>
                </pic:pic>
              </a:graphicData>
            </a:graphic>
          </wp:inline>
        </w:drawing>
      </w:r>
    </w:p>
    <w:p w14:paraId="4F026C90" w14:textId="77777777" w:rsidR="00141E0C" w:rsidRPr="00091B8D" w:rsidRDefault="00141E0C" w:rsidP="00141E0C">
      <w:pPr>
        <w:spacing w:after="0"/>
        <w:rPr>
          <w:rFonts w:ascii="Times New Roman" w:hAnsi="Times New Roman" w:cs="Times New Roman"/>
          <w:lang w:val="en-GB"/>
        </w:rPr>
      </w:pPr>
      <w:r w:rsidRPr="00091B8D">
        <w:rPr>
          <w:rFonts w:ascii="Times New Roman" w:hAnsi="Times New Roman" w:cs="Times New Roman"/>
          <w:lang w:val="en-GB"/>
        </w:rPr>
        <w:t>Source: our own calculations based on IEWB 2016.</w:t>
      </w:r>
    </w:p>
    <w:p w14:paraId="780D1D09" w14:textId="56DF0394" w:rsidR="00141E0C" w:rsidRDefault="00141E0C" w:rsidP="00141E0C">
      <w:pPr>
        <w:rPr>
          <w:rFonts w:ascii="Times New Roman" w:hAnsi="Times New Roman" w:cs="Times New Roman"/>
          <w:lang w:val="en-GB"/>
        </w:rPr>
      </w:pPr>
      <w:r w:rsidRPr="00091B8D">
        <w:rPr>
          <w:rFonts w:ascii="Times New Roman" w:hAnsi="Times New Roman" w:cs="Times New Roman"/>
          <w:lang w:val="en-GB"/>
        </w:rPr>
        <w:t xml:space="preserve">Note: the red line identifies the year 2010, the last period in which we observe both poverty outcomes and the pension replacement rates. </w:t>
      </w:r>
    </w:p>
    <w:p w14:paraId="2A1FED0A" w14:textId="54EBA47E" w:rsidR="00141E0C" w:rsidRPr="00091B8D" w:rsidRDefault="00141E0C" w:rsidP="00141E0C">
      <w:pPr>
        <w:rPr>
          <w:rFonts w:ascii="Times New Roman" w:hAnsi="Times New Roman" w:cs="Times New Roman"/>
          <w:lang w:val="en-GB"/>
        </w:rPr>
      </w:pPr>
      <w:r w:rsidRPr="00091B8D">
        <w:rPr>
          <w:rFonts w:ascii="Times New Roman" w:hAnsi="Times New Roman" w:cs="Times New Roman"/>
          <w:lang w:val="en-GB"/>
        </w:rPr>
        <w:t xml:space="preserve">Figure </w:t>
      </w:r>
      <w:r w:rsidR="00390AE9">
        <w:rPr>
          <w:rFonts w:ascii="Times New Roman" w:hAnsi="Times New Roman" w:cs="Times New Roman"/>
          <w:lang w:val="en-GB"/>
        </w:rPr>
        <w:t>C</w:t>
      </w:r>
      <w:r w:rsidRPr="00091B8D">
        <w:rPr>
          <w:rFonts w:ascii="Times New Roman" w:hAnsi="Times New Roman" w:cs="Times New Roman"/>
          <w:lang w:val="en-GB"/>
        </w:rPr>
        <w:t xml:space="preserve">.2: Replacement rates, 1980-2010 period </w:t>
      </w:r>
    </w:p>
    <w:p w14:paraId="25D55B65" w14:textId="77777777" w:rsidR="00141E0C" w:rsidRPr="00091B8D" w:rsidRDefault="00141E0C" w:rsidP="00141E0C">
      <w:pPr>
        <w:spacing w:after="0"/>
        <w:jc w:val="both"/>
        <w:rPr>
          <w:rFonts w:ascii="Times New Roman" w:hAnsi="Times New Roman" w:cs="Times New Roman"/>
        </w:rPr>
      </w:pPr>
      <w:r w:rsidRPr="00091B8D">
        <w:rPr>
          <w:rFonts w:ascii="Times New Roman" w:hAnsi="Times New Roman" w:cs="Times New Roman"/>
          <w:noProof/>
          <w:lang w:val="en-GB" w:eastAsia="en-GB"/>
        </w:rPr>
        <w:drawing>
          <wp:inline distT="0" distB="0" distL="0" distR="0" wp14:anchorId="5763F30A" wp14:editId="3F1A20F0">
            <wp:extent cx="4323694" cy="3148642"/>
            <wp:effectExtent l="0" t="0" r="127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1_replacement rates_trends.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23694" cy="3148642"/>
                    </a:xfrm>
                    <a:prstGeom prst="rect">
                      <a:avLst/>
                    </a:prstGeom>
                  </pic:spPr>
                </pic:pic>
              </a:graphicData>
            </a:graphic>
          </wp:inline>
        </w:drawing>
      </w:r>
    </w:p>
    <w:p w14:paraId="05200577" w14:textId="77777777" w:rsidR="00141E0C" w:rsidRPr="00091B8D" w:rsidRDefault="00141E0C" w:rsidP="00141E0C">
      <w:pPr>
        <w:spacing w:after="0"/>
        <w:rPr>
          <w:rFonts w:ascii="Times New Roman" w:hAnsi="Times New Roman" w:cs="Times New Roman"/>
          <w:lang w:val="en-GB"/>
        </w:rPr>
      </w:pPr>
      <w:r w:rsidRPr="00091B8D">
        <w:rPr>
          <w:rFonts w:ascii="Times New Roman" w:hAnsi="Times New Roman" w:cs="Times New Roman"/>
          <w:lang w:val="en-GB"/>
        </w:rPr>
        <w:t>Source: our own calculations based on CWED2 Scruggs et al. 2018</w:t>
      </w:r>
    </w:p>
    <w:p w14:paraId="103D4BD8" w14:textId="5B86B418" w:rsidR="00141E0C" w:rsidRDefault="00141E0C" w:rsidP="00141E0C">
      <w:pPr>
        <w:rPr>
          <w:rFonts w:ascii="Times New Roman" w:hAnsi="Times New Roman" w:cs="Times New Roman"/>
          <w:lang w:val="en-GB"/>
        </w:rPr>
      </w:pPr>
    </w:p>
    <w:p w14:paraId="59B7ECBC" w14:textId="0001D758" w:rsidR="00ED554A" w:rsidRDefault="00ED554A" w:rsidP="00141E0C">
      <w:pPr>
        <w:rPr>
          <w:rFonts w:ascii="Times New Roman" w:hAnsi="Times New Roman" w:cs="Times New Roman"/>
          <w:lang w:val="en-GB"/>
        </w:rPr>
      </w:pPr>
    </w:p>
    <w:p w14:paraId="1A93567E" w14:textId="6D78FA67" w:rsidR="00141E0C" w:rsidRPr="00091B8D" w:rsidRDefault="00141E0C" w:rsidP="00141E0C">
      <w:pPr>
        <w:rPr>
          <w:rFonts w:ascii="Times New Roman" w:hAnsi="Times New Roman" w:cs="Times New Roman"/>
          <w:lang w:val="en-GB"/>
        </w:rPr>
      </w:pPr>
      <w:r w:rsidRPr="00091B8D">
        <w:rPr>
          <w:rFonts w:ascii="Times New Roman" w:hAnsi="Times New Roman" w:cs="Times New Roman"/>
          <w:lang w:val="en-GB"/>
        </w:rPr>
        <w:lastRenderedPageBreak/>
        <w:t xml:space="preserve">Figure </w:t>
      </w:r>
      <w:r w:rsidR="00390AE9">
        <w:rPr>
          <w:rFonts w:ascii="Times New Roman" w:hAnsi="Times New Roman" w:cs="Times New Roman"/>
          <w:lang w:val="en-GB"/>
        </w:rPr>
        <w:t>C</w:t>
      </w:r>
      <w:r w:rsidRPr="00091B8D">
        <w:rPr>
          <w:rFonts w:ascii="Times New Roman" w:hAnsi="Times New Roman" w:cs="Times New Roman"/>
          <w:lang w:val="en-GB"/>
        </w:rPr>
        <w:t>.</w:t>
      </w:r>
      <w:r w:rsidR="00390AE9">
        <w:rPr>
          <w:rFonts w:ascii="Times New Roman" w:hAnsi="Times New Roman" w:cs="Times New Roman"/>
          <w:lang w:val="en-GB"/>
        </w:rPr>
        <w:t>3</w:t>
      </w:r>
      <w:r w:rsidRPr="00091B8D">
        <w:rPr>
          <w:rFonts w:ascii="Times New Roman" w:hAnsi="Times New Roman" w:cs="Times New Roman"/>
          <w:lang w:val="en-GB"/>
        </w:rPr>
        <w:t>: Associations between poverty and pension generosity, period 1980-2010 – full sample</w:t>
      </w:r>
    </w:p>
    <w:p w14:paraId="2169DC05" w14:textId="77777777" w:rsidR="00141E0C" w:rsidRPr="00091B8D" w:rsidRDefault="00141E0C" w:rsidP="00141E0C">
      <w:pPr>
        <w:spacing w:after="0"/>
        <w:rPr>
          <w:rFonts w:ascii="Times New Roman" w:hAnsi="Times New Roman" w:cs="Times New Roman"/>
        </w:rPr>
      </w:pPr>
      <w:r w:rsidRPr="00091B8D">
        <w:rPr>
          <w:rFonts w:ascii="Times New Roman" w:hAnsi="Times New Roman" w:cs="Times New Roman"/>
          <w:noProof/>
          <w:lang w:val="en-GB" w:eastAsia="en-GB"/>
        </w:rPr>
        <w:drawing>
          <wp:inline distT="0" distB="0" distL="0" distR="0" wp14:anchorId="458E9214" wp14:editId="0986D792">
            <wp:extent cx="5238750" cy="3492307"/>
            <wp:effectExtent l="0" t="0" r="0" b="0"/>
            <wp:docPr id="5"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_6a_correlation poverty rate_R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38750" cy="3492307"/>
                    </a:xfrm>
                    <a:prstGeom prst="rect">
                      <a:avLst/>
                    </a:prstGeom>
                  </pic:spPr>
                </pic:pic>
              </a:graphicData>
            </a:graphic>
          </wp:inline>
        </w:drawing>
      </w:r>
      <w:r w:rsidRPr="00091B8D">
        <w:rPr>
          <w:rFonts w:ascii="Times New Roman" w:hAnsi="Times New Roman" w:cs="Times New Roman"/>
        </w:rPr>
        <w:t xml:space="preserve"> </w:t>
      </w:r>
    </w:p>
    <w:p w14:paraId="752A60CA" w14:textId="77777777" w:rsidR="00141E0C" w:rsidRPr="00091B8D" w:rsidRDefault="00141E0C" w:rsidP="00141E0C">
      <w:pPr>
        <w:spacing w:after="0"/>
        <w:rPr>
          <w:rFonts w:ascii="Times New Roman" w:hAnsi="Times New Roman" w:cs="Times New Roman"/>
        </w:rPr>
      </w:pPr>
      <w:r w:rsidRPr="00091B8D">
        <w:rPr>
          <w:rFonts w:ascii="Times New Roman" w:hAnsi="Times New Roman" w:cs="Times New Roman"/>
          <w:noProof/>
          <w:lang w:val="en-GB" w:eastAsia="en-GB"/>
        </w:rPr>
        <w:drawing>
          <wp:inline distT="0" distB="0" distL="0" distR="0" wp14:anchorId="1508A866" wp14:editId="045DCB22">
            <wp:extent cx="5181600" cy="3454210"/>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_6b_correlation poverty gap_RR.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01621" cy="3467557"/>
                    </a:xfrm>
                    <a:prstGeom prst="rect">
                      <a:avLst/>
                    </a:prstGeom>
                  </pic:spPr>
                </pic:pic>
              </a:graphicData>
            </a:graphic>
          </wp:inline>
        </w:drawing>
      </w:r>
    </w:p>
    <w:p w14:paraId="75D00F54" w14:textId="4E97F77C" w:rsidR="00141E0C" w:rsidRDefault="00141E0C" w:rsidP="00141E0C">
      <w:pPr>
        <w:spacing w:after="0"/>
        <w:rPr>
          <w:rFonts w:ascii="Times New Roman" w:hAnsi="Times New Roman" w:cs="Times New Roman"/>
          <w:lang w:val="en-GB"/>
        </w:rPr>
      </w:pPr>
      <w:r w:rsidRPr="00091B8D">
        <w:rPr>
          <w:rFonts w:ascii="Times New Roman" w:hAnsi="Times New Roman" w:cs="Times New Roman"/>
          <w:lang w:val="en-GB"/>
        </w:rPr>
        <w:t>Source: our own calculations based on IEWB 2016 and CWED2 Scruggs et al. 2018.</w:t>
      </w:r>
    </w:p>
    <w:p w14:paraId="36FE2923" w14:textId="4F7CFC6E" w:rsidR="00ED554A" w:rsidRDefault="00ED554A" w:rsidP="00141E0C">
      <w:pPr>
        <w:spacing w:after="0"/>
        <w:rPr>
          <w:rFonts w:ascii="Times New Roman" w:hAnsi="Times New Roman" w:cs="Times New Roman"/>
          <w:lang w:val="en-GB"/>
        </w:rPr>
      </w:pPr>
    </w:p>
    <w:p w14:paraId="63BEE777" w14:textId="3FC21063" w:rsidR="00611C8F" w:rsidRDefault="00611C8F" w:rsidP="00141E0C">
      <w:pPr>
        <w:pStyle w:val="Heading2"/>
        <w:rPr>
          <w:rFonts w:ascii="Times New Roman" w:hAnsi="Times New Roman" w:cs="Times New Roman"/>
          <w:lang w:val="en-GB"/>
        </w:rPr>
      </w:pPr>
      <w:r>
        <w:rPr>
          <w:rFonts w:ascii="Times New Roman" w:hAnsi="Times New Roman" w:cs="Times New Roman"/>
          <w:lang w:val="en-GB"/>
        </w:rPr>
        <w:br w:type="page"/>
      </w:r>
    </w:p>
    <w:p w14:paraId="606785DD" w14:textId="16D28DC1" w:rsidR="00141E0C" w:rsidRPr="00091B8D" w:rsidRDefault="00141E0C" w:rsidP="00141E0C">
      <w:pPr>
        <w:pStyle w:val="Heading2"/>
        <w:rPr>
          <w:rFonts w:ascii="Times New Roman" w:hAnsi="Times New Roman" w:cs="Times New Roman"/>
          <w:b w:val="0"/>
          <w:bCs w:val="0"/>
          <w:lang w:val="en-GB"/>
        </w:rPr>
      </w:pPr>
      <w:r w:rsidRPr="00091B8D">
        <w:rPr>
          <w:rFonts w:ascii="Times New Roman" w:hAnsi="Times New Roman" w:cs="Times New Roman"/>
          <w:lang w:val="en-GB"/>
        </w:rPr>
        <w:lastRenderedPageBreak/>
        <w:t xml:space="preserve">Section </w:t>
      </w:r>
      <w:r w:rsidR="00A70131">
        <w:rPr>
          <w:rFonts w:ascii="Times New Roman" w:hAnsi="Times New Roman" w:cs="Times New Roman"/>
          <w:lang w:val="en-GB"/>
        </w:rPr>
        <w:t>E</w:t>
      </w:r>
      <w:r w:rsidRPr="00091B8D">
        <w:rPr>
          <w:rFonts w:ascii="Times New Roman" w:hAnsi="Times New Roman" w:cs="Times New Roman"/>
          <w:lang w:val="en-GB"/>
        </w:rPr>
        <w:t>: IV tests</w:t>
      </w:r>
    </w:p>
    <w:p w14:paraId="7E874899" w14:textId="1DA0444F" w:rsidR="00141E0C" w:rsidRPr="00091B8D" w:rsidRDefault="00141E0C" w:rsidP="00141E0C">
      <w:pPr>
        <w:jc w:val="both"/>
        <w:rPr>
          <w:rFonts w:ascii="Times New Roman" w:hAnsi="Times New Roman" w:cs="Times New Roman"/>
          <w:lang w:val="en-GB"/>
        </w:rPr>
      </w:pPr>
      <w:r w:rsidRPr="00091B8D">
        <w:rPr>
          <w:rFonts w:ascii="Times New Roman" w:hAnsi="Times New Roman" w:cs="Times New Roman"/>
          <w:lang w:val="en-GB"/>
        </w:rPr>
        <w:t xml:space="preserve">Table </w:t>
      </w:r>
      <w:r w:rsidR="00390AE9">
        <w:rPr>
          <w:rFonts w:ascii="Times New Roman" w:hAnsi="Times New Roman" w:cs="Times New Roman"/>
          <w:lang w:val="en-GB"/>
        </w:rPr>
        <w:t>D</w:t>
      </w:r>
      <w:r w:rsidRPr="00091B8D">
        <w:rPr>
          <w:rFonts w:ascii="Times New Roman" w:hAnsi="Times New Roman" w:cs="Times New Roman"/>
          <w:lang w:val="en-GB"/>
        </w:rPr>
        <w:t xml:space="preserve">.1 reports the results for the Breusch-Pagan test which demonstrate the presence of heteroskedasticity in our data This is then exploited for constructing the IV </w:t>
      </w:r>
      <w:proofErr w:type="spellStart"/>
      <w:r w:rsidRPr="00091B8D">
        <w:rPr>
          <w:rFonts w:ascii="Times New Roman" w:hAnsi="Times New Roman" w:cs="Times New Roman"/>
          <w:lang w:val="en-GB"/>
        </w:rPr>
        <w:t>Lewbel</w:t>
      </w:r>
      <w:proofErr w:type="spellEnd"/>
      <w:r w:rsidRPr="00091B8D">
        <w:rPr>
          <w:rFonts w:ascii="Times New Roman" w:hAnsi="Times New Roman" w:cs="Times New Roman"/>
          <w:lang w:val="en-GB"/>
        </w:rPr>
        <w:t xml:space="preserve"> internal instrument that complements the dependency ratio. A rejection of the null demonstrates the present of no constant variance in the distribution of the error term. </w:t>
      </w:r>
    </w:p>
    <w:tbl>
      <w:tblPr>
        <w:tblW w:w="7462" w:type="dxa"/>
        <w:tblLook w:val="04A0" w:firstRow="1" w:lastRow="0" w:firstColumn="1" w:lastColumn="0" w:noHBand="0" w:noVBand="1"/>
      </w:tblPr>
      <w:tblGrid>
        <w:gridCol w:w="2868"/>
        <w:gridCol w:w="1139"/>
        <w:gridCol w:w="1113"/>
        <w:gridCol w:w="1267"/>
        <w:gridCol w:w="1075"/>
      </w:tblGrid>
      <w:tr w:rsidR="00141E0C" w:rsidRPr="001B584B" w14:paraId="39FCB1D7" w14:textId="77777777" w:rsidTr="00357B45">
        <w:trPr>
          <w:trHeight w:val="276"/>
        </w:trPr>
        <w:tc>
          <w:tcPr>
            <w:tcW w:w="7462" w:type="dxa"/>
            <w:gridSpan w:val="5"/>
            <w:tcBorders>
              <w:top w:val="nil"/>
              <w:left w:val="nil"/>
              <w:bottom w:val="nil"/>
              <w:right w:val="nil"/>
            </w:tcBorders>
            <w:shd w:val="clear" w:color="auto" w:fill="auto"/>
            <w:noWrap/>
            <w:vAlign w:val="bottom"/>
            <w:hideMark/>
          </w:tcPr>
          <w:p w14:paraId="26F90334" w14:textId="77777777" w:rsidR="00141E0C" w:rsidRPr="00091B8D" w:rsidRDefault="00141E0C" w:rsidP="00357B45">
            <w:pPr>
              <w:spacing w:after="0" w:line="240" w:lineRule="auto"/>
              <w:rPr>
                <w:rFonts w:ascii="Times New Roman" w:eastAsia="Times New Roman" w:hAnsi="Times New Roman" w:cs="Times New Roman"/>
                <w:color w:val="000000"/>
                <w:lang w:val="en-GB" w:eastAsia="en-GB"/>
              </w:rPr>
            </w:pPr>
            <w:r w:rsidRPr="00091B8D">
              <w:rPr>
                <w:rFonts w:ascii="Times New Roman" w:eastAsia="Times New Roman" w:hAnsi="Times New Roman" w:cs="Times New Roman"/>
                <w:color w:val="000000"/>
                <w:lang w:val="en-GB" w:eastAsia="en-GB"/>
              </w:rPr>
              <w:t>Table C.1: Breusch-Pagan / Cook-Weisberg test for heteroskedasticity</w:t>
            </w:r>
          </w:p>
        </w:tc>
      </w:tr>
      <w:tr w:rsidR="00141E0C" w:rsidRPr="00091B8D" w14:paraId="368EA37D" w14:textId="77777777" w:rsidTr="00357B45">
        <w:trPr>
          <w:trHeight w:val="276"/>
        </w:trPr>
        <w:tc>
          <w:tcPr>
            <w:tcW w:w="2868" w:type="dxa"/>
            <w:tcBorders>
              <w:top w:val="single" w:sz="4" w:space="0" w:color="auto"/>
              <w:left w:val="nil"/>
              <w:bottom w:val="single" w:sz="4" w:space="0" w:color="auto"/>
              <w:right w:val="nil"/>
            </w:tcBorders>
            <w:shd w:val="clear" w:color="auto" w:fill="auto"/>
            <w:noWrap/>
            <w:vAlign w:val="bottom"/>
            <w:hideMark/>
          </w:tcPr>
          <w:p w14:paraId="2E3F57AE" w14:textId="77777777" w:rsidR="00141E0C" w:rsidRPr="00091B8D" w:rsidRDefault="00141E0C" w:rsidP="00357B45">
            <w:pPr>
              <w:spacing w:after="0" w:line="240" w:lineRule="auto"/>
              <w:rPr>
                <w:rFonts w:ascii="Times New Roman" w:eastAsia="Times New Roman" w:hAnsi="Times New Roman" w:cs="Times New Roman"/>
                <w:color w:val="000000"/>
                <w:lang w:val="en-GB" w:eastAsia="en-GB"/>
              </w:rPr>
            </w:pPr>
            <w:r w:rsidRPr="00091B8D">
              <w:rPr>
                <w:rFonts w:ascii="Times New Roman" w:eastAsia="Times New Roman" w:hAnsi="Times New Roman" w:cs="Times New Roman"/>
                <w:color w:val="000000"/>
                <w:lang w:val="en-GB" w:eastAsia="en-GB"/>
              </w:rPr>
              <w:t> </w:t>
            </w:r>
          </w:p>
        </w:tc>
        <w:tc>
          <w:tcPr>
            <w:tcW w:w="4594" w:type="dxa"/>
            <w:gridSpan w:val="4"/>
            <w:tcBorders>
              <w:top w:val="single" w:sz="4" w:space="0" w:color="auto"/>
              <w:left w:val="nil"/>
              <w:bottom w:val="single" w:sz="4" w:space="0" w:color="auto"/>
              <w:right w:val="nil"/>
            </w:tcBorders>
            <w:shd w:val="clear" w:color="auto" w:fill="auto"/>
            <w:noWrap/>
            <w:vAlign w:val="bottom"/>
            <w:hideMark/>
          </w:tcPr>
          <w:p w14:paraId="4F136821" w14:textId="77777777" w:rsidR="00141E0C" w:rsidRPr="00091B8D" w:rsidRDefault="00141E0C" w:rsidP="00357B45">
            <w:pPr>
              <w:spacing w:after="0" w:line="240" w:lineRule="auto"/>
              <w:jc w:val="center"/>
              <w:rPr>
                <w:rFonts w:ascii="Times New Roman" w:eastAsia="Times New Roman" w:hAnsi="Times New Roman" w:cs="Times New Roman"/>
                <w:b/>
                <w:bCs/>
                <w:color w:val="000000"/>
                <w:lang w:eastAsia="en-GB"/>
              </w:rPr>
            </w:pPr>
            <w:proofErr w:type="spellStart"/>
            <w:r w:rsidRPr="00091B8D">
              <w:rPr>
                <w:rFonts w:ascii="Times New Roman" w:eastAsia="Times New Roman" w:hAnsi="Times New Roman" w:cs="Times New Roman"/>
                <w:b/>
                <w:bCs/>
                <w:color w:val="000000"/>
                <w:lang w:eastAsia="en-GB"/>
              </w:rPr>
              <w:t>Poverty</w:t>
            </w:r>
            <w:proofErr w:type="spellEnd"/>
            <w:r w:rsidRPr="00091B8D">
              <w:rPr>
                <w:rFonts w:ascii="Times New Roman" w:eastAsia="Times New Roman" w:hAnsi="Times New Roman" w:cs="Times New Roman"/>
                <w:b/>
                <w:bCs/>
                <w:color w:val="000000"/>
                <w:lang w:eastAsia="en-GB"/>
              </w:rPr>
              <w:t xml:space="preserve"> rate</w:t>
            </w:r>
          </w:p>
        </w:tc>
      </w:tr>
      <w:tr w:rsidR="00141E0C" w:rsidRPr="00091B8D" w14:paraId="10F0983C" w14:textId="77777777" w:rsidTr="00357B45">
        <w:trPr>
          <w:trHeight w:val="258"/>
        </w:trPr>
        <w:tc>
          <w:tcPr>
            <w:tcW w:w="2868" w:type="dxa"/>
            <w:tcBorders>
              <w:top w:val="nil"/>
              <w:left w:val="nil"/>
              <w:bottom w:val="nil"/>
              <w:right w:val="nil"/>
            </w:tcBorders>
            <w:shd w:val="clear" w:color="auto" w:fill="auto"/>
            <w:noWrap/>
            <w:vAlign w:val="bottom"/>
            <w:hideMark/>
          </w:tcPr>
          <w:p w14:paraId="1922C2A9" w14:textId="77777777" w:rsidR="00141E0C" w:rsidRPr="00091B8D" w:rsidRDefault="00141E0C" w:rsidP="00357B45">
            <w:pPr>
              <w:spacing w:after="0" w:line="240" w:lineRule="auto"/>
              <w:jc w:val="center"/>
              <w:rPr>
                <w:rFonts w:ascii="Times New Roman" w:eastAsia="Times New Roman" w:hAnsi="Times New Roman" w:cs="Times New Roman"/>
                <w:b/>
                <w:bCs/>
                <w:color w:val="000000"/>
                <w:lang w:eastAsia="en-GB"/>
              </w:rPr>
            </w:pPr>
          </w:p>
        </w:tc>
        <w:tc>
          <w:tcPr>
            <w:tcW w:w="1139" w:type="dxa"/>
            <w:tcBorders>
              <w:top w:val="nil"/>
              <w:left w:val="nil"/>
              <w:bottom w:val="nil"/>
              <w:right w:val="nil"/>
            </w:tcBorders>
            <w:shd w:val="clear" w:color="auto" w:fill="auto"/>
            <w:noWrap/>
            <w:vAlign w:val="bottom"/>
            <w:hideMark/>
          </w:tcPr>
          <w:p w14:paraId="65929579" w14:textId="77777777" w:rsidR="00141E0C" w:rsidRPr="00091B8D" w:rsidRDefault="00141E0C" w:rsidP="00357B45">
            <w:pPr>
              <w:spacing w:after="0" w:line="240" w:lineRule="auto"/>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sp_mid0</w:t>
            </w:r>
          </w:p>
        </w:tc>
        <w:tc>
          <w:tcPr>
            <w:tcW w:w="1113" w:type="dxa"/>
            <w:tcBorders>
              <w:top w:val="nil"/>
              <w:left w:val="nil"/>
              <w:bottom w:val="nil"/>
              <w:right w:val="nil"/>
            </w:tcBorders>
            <w:shd w:val="clear" w:color="auto" w:fill="auto"/>
            <w:noWrap/>
            <w:vAlign w:val="bottom"/>
            <w:hideMark/>
          </w:tcPr>
          <w:p w14:paraId="437D391E" w14:textId="77777777" w:rsidR="00141E0C" w:rsidRPr="00091B8D" w:rsidRDefault="00141E0C" w:rsidP="00357B45">
            <w:pPr>
              <w:spacing w:after="0" w:line="240" w:lineRule="auto"/>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sp_low0</w:t>
            </w:r>
          </w:p>
        </w:tc>
        <w:tc>
          <w:tcPr>
            <w:tcW w:w="1267" w:type="dxa"/>
            <w:tcBorders>
              <w:top w:val="nil"/>
              <w:left w:val="nil"/>
              <w:bottom w:val="nil"/>
              <w:right w:val="nil"/>
            </w:tcBorders>
            <w:shd w:val="clear" w:color="auto" w:fill="auto"/>
            <w:noWrap/>
            <w:vAlign w:val="bottom"/>
            <w:hideMark/>
          </w:tcPr>
          <w:p w14:paraId="36051EE6" w14:textId="77777777" w:rsidR="00141E0C" w:rsidRPr="00091B8D" w:rsidRDefault="00141E0C" w:rsidP="00357B45">
            <w:pPr>
              <w:spacing w:after="0" w:line="240" w:lineRule="auto"/>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mp_mid0</w:t>
            </w:r>
          </w:p>
        </w:tc>
        <w:tc>
          <w:tcPr>
            <w:tcW w:w="1075" w:type="dxa"/>
            <w:tcBorders>
              <w:top w:val="nil"/>
              <w:left w:val="nil"/>
              <w:bottom w:val="nil"/>
              <w:right w:val="nil"/>
            </w:tcBorders>
            <w:shd w:val="clear" w:color="auto" w:fill="auto"/>
            <w:noWrap/>
            <w:vAlign w:val="bottom"/>
            <w:hideMark/>
          </w:tcPr>
          <w:p w14:paraId="7D7F1FB7" w14:textId="77777777" w:rsidR="00141E0C" w:rsidRPr="00091B8D" w:rsidRDefault="00141E0C" w:rsidP="00357B45">
            <w:pPr>
              <w:spacing w:after="0" w:line="240" w:lineRule="auto"/>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 xml:space="preserve"> </w:t>
            </w:r>
            <w:proofErr w:type="spellStart"/>
            <w:r w:rsidRPr="00091B8D">
              <w:rPr>
                <w:rFonts w:ascii="Times New Roman" w:eastAsia="Times New Roman" w:hAnsi="Times New Roman" w:cs="Times New Roman"/>
                <w:color w:val="000000"/>
                <w:lang w:eastAsia="en-GB"/>
              </w:rPr>
              <w:t>low_mid</w:t>
            </w:r>
            <w:proofErr w:type="spellEnd"/>
          </w:p>
        </w:tc>
      </w:tr>
      <w:tr w:rsidR="00141E0C" w:rsidRPr="00091B8D" w14:paraId="254A0040" w14:textId="77777777" w:rsidTr="00357B45">
        <w:trPr>
          <w:trHeight w:val="276"/>
        </w:trPr>
        <w:tc>
          <w:tcPr>
            <w:tcW w:w="2868" w:type="dxa"/>
            <w:tcBorders>
              <w:top w:val="nil"/>
              <w:left w:val="nil"/>
              <w:bottom w:val="nil"/>
              <w:right w:val="nil"/>
            </w:tcBorders>
            <w:shd w:val="clear" w:color="auto" w:fill="auto"/>
            <w:noWrap/>
            <w:vAlign w:val="bottom"/>
            <w:hideMark/>
          </w:tcPr>
          <w:p w14:paraId="790CE6DF" w14:textId="77777777" w:rsidR="00141E0C" w:rsidRPr="00091B8D" w:rsidRDefault="00141E0C" w:rsidP="00357B45">
            <w:pPr>
              <w:spacing w:after="0" w:line="240" w:lineRule="auto"/>
              <w:jc w:val="right"/>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chi2(1)</w:t>
            </w:r>
          </w:p>
        </w:tc>
        <w:tc>
          <w:tcPr>
            <w:tcW w:w="1139" w:type="dxa"/>
            <w:tcBorders>
              <w:top w:val="nil"/>
              <w:left w:val="nil"/>
              <w:bottom w:val="nil"/>
              <w:right w:val="nil"/>
            </w:tcBorders>
            <w:shd w:val="clear" w:color="auto" w:fill="auto"/>
            <w:noWrap/>
            <w:vAlign w:val="bottom"/>
            <w:hideMark/>
          </w:tcPr>
          <w:p w14:paraId="7F01F83D" w14:textId="77777777" w:rsidR="00141E0C" w:rsidRPr="00091B8D" w:rsidRDefault="00141E0C" w:rsidP="00357B45">
            <w:pPr>
              <w:spacing w:after="0" w:line="240" w:lineRule="auto"/>
              <w:jc w:val="right"/>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23.33</w:t>
            </w:r>
          </w:p>
        </w:tc>
        <w:tc>
          <w:tcPr>
            <w:tcW w:w="1113" w:type="dxa"/>
            <w:tcBorders>
              <w:top w:val="nil"/>
              <w:left w:val="nil"/>
              <w:bottom w:val="nil"/>
              <w:right w:val="nil"/>
            </w:tcBorders>
            <w:shd w:val="clear" w:color="auto" w:fill="auto"/>
            <w:noWrap/>
            <w:vAlign w:val="bottom"/>
            <w:hideMark/>
          </w:tcPr>
          <w:p w14:paraId="099D267D" w14:textId="77777777" w:rsidR="00141E0C" w:rsidRPr="00091B8D" w:rsidRDefault="00141E0C" w:rsidP="00357B45">
            <w:pPr>
              <w:spacing w:after="0" w:line="240" w:lineRule="auto"/>
              <w:jc w:val="right"/>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26.46</w:t>
            </w:r>
          </w:p>
        </w:tc>
        <w:tc>
          <w:tcPr>
            <w:tcW w:w="1267" w:type="dxa"/>
            <w:tcBorders>
              <w:top w:val="nil"/>
              <w:left w:val="nil"/>
              <w:bottom w:val="nil"/>
              <w:right w:val="nil"/>
            </w:tcBorders>
            <w:shd w:val="clear" w:color="auto" w:fill="auto"/>
            <w:noWrap/>
            <w:vAlign w:val="bottom"/>
            <w:hideMark/>
          </w:tcPr>
          <w:p w14:paraId="6CDA334B" w14:textId="77777777" w:rsidR="00141E0C" w:rsidRPr="00091B8D" w:rsidRDefault="00141E0C" w:rsidP="00357B45">
            <w:pPr>
              <w:spacing w:after="0" w:line="240" w:lineRule="auto"/>
              <w:jc w:val="right"/>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17.25</w:t>
            </w:r>
          </w:p>
        </w:tc>
        <w:tc>
          <w:tcPr>
            <w:tcW w:w="1075" w:type="dxa"/>
            <w:tcBorders>
              <w:top w:val="nil"/>
              <w:left w:val="nil"/>
              <w:bottom w:val="nil"/>
              <w:right w:val="nil"/>
            </w:tcBorders>
            <w:shd w:val="clear" w:color="auto" w:fill="auto"/>
            <w:noWrap/>
            <w:vAlign w:val="bottom"/>
            <w:hideMark/>
          </w:tcPr>
          <w:p w14:paraId="09EEB2B2" w14:textId="77777777" w:rsidR="00141E0C" w:rsidRPr="00091B8D" w:rsidRDefault="00141E0C" w:rsidP="00357B45">
            <w:pPr>
              <w:spacing w:after="0" w:line="240" w:lineRule="auto"/>
              <w:jc w:val="right"/>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17.2</w:t>
            </w:r>
          </w:p>
        </w:tc>
      </w:tr>
      <w:tr w:rsidR="00141E0C" w:rsidRPr="00091B8D" w14:paraId="764C315F" w14:textId="77777777" w:rsidTr="00357B45">
        <w:trPr>
          <w:trHeight w:val="276"/>
        </w:trPr>
        <w:tc>
          <w:tcPr>
            <w:tcW w:w="2868" w:type="dxa"/>
            <w:tcBorders>
              <w:top w:val="nil"/>
              <w:left w:val="nil"/>
              <w:bottom w:val="nil"/>
              <w:right w:val="nil"/>
            </w:tcBorders>
            <w:shd w:val="clear" w:color="auto" w:fill="auto"/>
            <w:noWrap/>
            <w:vAlign w:val="bottom"/>
            <w:hideMark/>
          </w:tcPr>
          <w:p w14:paraId="22F869D3" w14:textId="77777777" w:rsidR="00141E0C" w:rsidRPr="00091B8D" w:rsidRDefault="00141E0C" w:rsidP="00357B45">
            <w:pPr>
              <w:spacing w:after="0" w:line="240" w:lineRule="auto"/>
              <w:jc w:val="right"/>
              <w:rPr>
                <w:rFonts w:ascii="Times New Roman" w:eastAsia="Times New Roman" w:hAnsi="Times New Roman" w:cs="Times New Roman"/>
                <w:i/>
                <w:iCs/>
                <w:color w:val="000000"/>
                <w:lang w:eastAsia="en-GB"/>
              </w:rPr>
            </w:pPr>
            <w:proofErr w:type="spellStart"/>
            <w:r w:rsidRPr="00091B8D">
              <w:rPr>
                <w:rFonts w:ascii="Times New Roman" w:eastAsia="Times New Roman" w:hAnsi="Times New Roman" w:cs="Times New Roman"/>
                <w:i/>
                <w:iCs/>
                <w:color w:val="000000"/>
                <w:lang w:eastAsia="en-GB"/>
              </w:rPr>
              <w:t>Prob</w:t>
            </w:r>
            <w:proofErr w:type="spellEnd"/>
            <w:r w:rsidRPr="00091B8D">
              <w:rPr>
                <w:rFonts w:ascii="Times New Roman" w:eastAsia="Times New Roman" w:hAnsi="Times New Roman" w:cs="Times New Roman"/>
                <w:i/>
                <w:iCs/>
                <w:color w:val="000000"/>
                <w:lang w:eastAsia="en-GB"/>
              </w:rPr>
              <w:t xml:space="preserve"> &gt; chi2</w:t>
            </w:r>
          </w:p>
        </w:tc>
        <w:tc>
          <w:tcPr>
            <w:tcW w:w="1139" w:type="dxa"/>
            <w:tcBorders>
              <w:top w:val="nil"/>
              <w:left w:val="nil"/>
              <w:bottom w:val="nil"/>
              <w:right w:val="nil"/>
            </w:tcBorders>
            <w:shd w:val="clear" w:color="auto" w:fill="auto"/>
            <w:noWrap/>
            <w:vAlign w:val="bottom"/>
            <w:hideMark/>
          </w:tcPr>
          <w:p w14:paraId="2F007D93" w14:textId="77777777" w:rsidR="00141E0C" w:rsidRPr="00091B8D" w:rsidRDefault="00141E0C" w:rsidP="00357B45">
            <w:pPr>
              <w:spacing w:after="0" w:line="240" w:lineRule="auto"/>
              <w:jc w:val="right"/>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0.000</w:t>
            </w:r>
          </w:p>
        </w:tc>
        <w:tc>
          <w:tcPr>
            <w:tcW w:w="1113" w:type="dxa"/>
            <w:tcBorders>
              <w:top w:val="nil"/>
              <w:left w:val="nil"/>
              <w:bottom w:val="nil"/>
              <w:right w:val="nil"/>
            </w:tcBorders>
            <w:shd w:val="clear" w:color="auto" w:fill="auto"/>
            <w:noWrap/>
            <w:vAlign w:val="bottom"/>
            <w:hideMark/>
          </w:tcPr>
          <w:p w14:paraId="40DE338A" w14:textId="77777777" w:rsidR="00141E0C" w:rsidRPr="00091B8D" w:rsidRDefault="00141E0C" w:rsidP="00357B45">
            <w:pPr>
              <w:spacing w:after="0" w:line="240" w:lineRule="auto"/>
              <w:jc w:val="right"/>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0.000</w:t>
            </w:r>
          </w:p>
        </w:tc>
        <w:tc>
          <w:tcPr>
            <w:tcW w:w="1267" w:type="dxa"/>
            <w:tcBorders>
              <w:top w:val="nil"/>
              <w:left w:val="nil"/>
              <w:bottom w:val="nil"/>
              <w:right w:val="nil"/>
            </w:tcBorders>
            <w:shd w:val="clear" w:color="auto" w:fill="auto"/>
            <w:noWrap/>
            <w:vAlign w:val="bottom"/>
            <w:hideMark/>
          </w:tcPr>
          <w:p w14:paraId="276C0562" w14:textId="77777777" w:rsidR="00141E0C" w:rsidRPr="00091B8D" w:rsidRDefault="00141E0C" w:rsidP="00357B45">
            <w:pPr>
              <w:spacing w:after="0" w:line="240" w:lineRule="auto"/>
              <w:jc w:val="right"/>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0.000</w:t>
            </w:r>
          </w:p>
        </w:tc>
        <w:tc>
          <w:tcPr>
            <w:tcW w:w="1075" w:type="dxa"/>
            <w:tcBorders>
              <w:top w:val="nil"/>
              <w:left w:val="nil"/>
              <w:bottom w:val="nil"/>
              <w:right w:val="nil"/>
            </w:tcBorders>
            <w:shd w:val="clear" w:color="auto" w:fill="auto"/>
            <w:noWrap/>
            <w:vAlign w:val="bottom"/>
            <w:hideMark/>
          </w:tcPr>
          <w:p w14:paraId="761748AE" w14:textId="77777777" w:rsidR="00141E0C" w:rsidRPr="00091B8D" w:rsidRDefault="00141E0C" w:rsidP="00357B45">
            <w:pPr>
              <w:spacing w:after="0" w:line="240" w:lineRule="auto"/>
              <w:jc w:val="right"/>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0.000</w:t>
            </w:r>
          </w:p>
        </w:tc>
      </w:tr>
      <w:tr w:rsidR="00141E0C" w:rsidRPr="00091B8D" w14:paraId="58CA8343" w14:textId="77777777" w:rsidTr="00357B45">
        <w:trPr>
          <w:trHeight w:val="276"/>
        </w:trPr>
        <w:tc>
          <w:tcPr>
            <w:tcW w:w="2868" w:type="dxa"/>
            <w:tcBorders>
              <w:top w:val="single" w:sz="4" w:space="0" w:color="auto"/>
              <w:left w:val="nil"/>
              <w:bottom w:val="single" w:sz="4" w:space="0" w:color="auto"/>
              <w:right w:val="nil"/>
            </w:tcBorders>
            <w:shd w:val="clear" w:color="auto" w:fill="auto"/>
            <w:noWrap/>
            <w:vAlign w:val="bottom"/>
            <w:hideMark/>
          </w:tcPr>
          <w:p w14:paraId="640EF495" w14:textId="77777777" w:rsidR="00141E0C" w:rsidRPr="00091B8D" w:rsidRDefault="00141E0C" w:rsidP="00357B45">
            <w:pPr>
              <w:spacing w:after="0" w:line="240" w:lineRule="auto"/>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 </w:t>
            </w:r>
          </w:p>
        </w:tc>
        <w:tc>
          <w:tcPr>
            <w:tcW w:w="4594" w:type="dxa"/>
            <w:gridSpan w:val="4"/>
            <w:tcBorders>
              <w:top w:val="single" w:sz="4" w:space="0" w:color="auto"/>
              <w:left w:val="nil"/>
              <w:bottom w:val="single" w:sz="4" w:space="0" w:color="auto"/>
              <w:right w:val="nil"/>
            </w:tcBorders>
            <w:shd w:val="clear" w:color="auto" w:fill="auto"/>
            <w:noWrap/>
            <w:vAlign w:val="bottom"/>
            <w:hideMark/>
          </w:tcPr>
          <w:p w14:paraId="2CC9E7B3" w14:textId="77777777" w:rsidR="00141E0C" w:rsidRPr="00091B8D" w:rsidRDefault="00141E0C" w:rsidP="00357B45">
            <w:pPr>
              <w:spacing w:after="0" w:line="240" w:lineRule="auto"/>
              <w:jc w:val="center"/>
              <w:rPr>
                <w:rFonts w:ascii="Times New Roman" w:eastAsia="Times New Roman" w:hAnsi="Times New Roman" w:cs="Times New Roman"/>
                <w:b/>
                <w:bCs/>
                <w:color w:val="000000"/>
                <w:lang w:eastAsia="en-GB"/>
              </w:rPr>
            </w:pPr>
            <w:proofErr w:type="spellStart"/>
            <w:r w:rsidRPr="00091B8D">
              <w:rPr>
                <w:rFonts w:ascii="Times New Roman" w:eastAsia="Times New Roman" w:hAnsi="Times New Roman" w:cs="Times New Roman"/>
                <w:b/>
                <w:bCs/>
                <w:color w:val="000000"/>
                <w:lang w:eastAsia="en-GB"/>
              </w:rPr>
              <w:t>Poverty</w:t>
            </w:r>
            <w:proofErr w:type="spellEnd"/>
            <w:r w:rsidRPr="00091B8D">
              <w:rPr>
                <w:rFonts w:ascii="Times New Roman" w:eastAsia="Times New Roman" w:hAnsi="Times New Roman" w:cs="Times New Roman"/>
                <w:b/>
                <w:bCs/>
                <w:color w:val="000000"/>
                <w:lang w:eastAsia="en-GB"/>
              </w:rPr>
              <w:t xml:space="preserve"> gap</w:t>
            </w:r>
          </w:p>
        </w:tc>
      </w:tr>
      <w:tr w:rsidR="00141E0C" w:rsidRPr="00091B8D" w14:paraId="10A472DC" w14:textId="77777777" w:rsidTr="00357B45">
        <w:trPr>
          <w:trHeight w:val="276"/>
        </w:trPr>
        <w:tc>
          <w:tcPr>
            <w:tcW w:w="2868" w:type="dxa"/>
            <w:tcBorders>
              <w:top w:val="nil"/>
              <w:left w:val="nil"/>
              <w:bottom w:val="nil"/>
              <w:right w:val="nil"/>
            </w:tcBorders>
            <w:shd w:val="clear" w:color="auto" w:fill="auto"/>
            <w:noWrap/>
            <w:vAlign w:val="bottom"/>
            <w:hideMark/>
          </w:tcPr>
          <w:p w14:paraId="6C1A74E2" w14:textId="77777777" w:rsidR="00141E0C" w:rsidRPr="00091B8D" w:rsidRDefault="00141E0C" w:rsidP="00357B45">
            <w:pPr>
              <w:spacing w:after="0" w:line="240" w:lineRule="auto"/>
              <w:jc w:val="right"/>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chi2(1)</w:t>
            </w:r>
          </w:p>
        </w:tc>
        <w:tc>
          <w:tcPr>
            <w:tcW w:w="1139" w:type="dxa"/>
            <w:tcBorders>
              <w:top w:val="nil"/>
              <w:left w:val="nil"/>
              <w:bottom w:val="nil"/>
              <w:right w:val="nil"/>
            </w:tcBorders>
            <w:shd w:val="clear" w:color="auto" w:fill="auto"/>
            <w:noWrap/>
            <w:vAlign w:val="bottom"/>
            <w:hideMark/>
          </w:tcPr>
          <w:p w14:paraId="4E02F03F" w14:textId="77777777" w:rsidR="00141E0C" w:rsidRPr="00091B8D" w:rsidRDefault="00141E0C" w:rsidP="00357B45">
            <w:pPr>
              <w:spacing w:after="0" w:line="240" w:lineRule="auto"/>
              <w:jc w:val="right"/>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38.89</w:t>
            </w:r>
          </w:p>
        </w:tc>
        <w:tc>
          <w:tcPr>
            <w:tcW w:w="1113" w:type="dxa"/>
            <w:tcBorders>
              <w:top w:val="nil"/>
              <w:left w:val="nil"/>
              <w:bottom w:val="nil"/>
              <w:right w:val="nil"/>
            </w:tcBorders>
            <w:shd w:val="clear" w:color="auto" w:fill="auto"/>
            <w:noWrap/>
            <w:vAlign w:val="bottom"/>
            <w:hideMark/>
          </w:tcPr>
          <w:p w14:paraId="61C77B53" w14:textId="77777777" w:rsidR="00141E0C" w:rsidRPr="00091B8D" w:rsidRDefault="00141E0C" w:rsidP="00357B45">
            <w:pPr>
              <w:spacing w:after="0" w:line="240" w:lineRule="auto"/>
              <w:jc w:val="right"/>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39.84</w:t>
            </w:r>
          </w:p>
        </w:tc>
        <w:tc>
          <w:tcPr>
            <w:tcW w:w="1267" w:type="dxa"/>
            <w:tcBorders>
              <w:top w:val="nil"/>
              <w:left w:val="nil"/>
              <w:bottom w:val="nil"/>
              <w:right w:val="nil"/>
            </w:tcBorders>
            <w:shd w:val="clear" w:color="auto" w:fill="auto"/>
            <w:noWrap/>
            <w:vAlign w:val="bottom"/>
            <w:hideMark/>
          </w:tcPr>
          <w:p w14:paraId="3CD30235" w14:textId="77777777" w:rsidR="00141E0C" w:rsidRPr="00091B8D" w:rsidRDefault="00141E0C" w:rsidP="00357B45">
            <w:pPr>
              <w:spacing w:after="0" w:line="240" w:lineRule="auto"/>
              <w:jc w:val="right"/>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33.39</w:t>
            </w:r>
          </w:p>
        </w:tc>
        <w:tc>
          <w:tcPr>
            <w:tcW w:w="1075" w:type="dxa"/>
            <w:tcBorders>
              <w:top w:val="nil"/>
              <w:left w:val="nil"/>
              <w:bottom w:val="nil"/>
              <w:right w:val="nil"/>
            </w:tcBorders>
            <w:shd w:val="clear" w:color="auto" w:fill="auto"/>
            <w:noWrap/>
            <w:vAlign w:val="bottom"/>
            <w:hideMark/>
          </w:tcPr>
          <w:p w14:paraId="06088A0B" w14:textId="77777777" w:rsidR="00141E0C" w:rsidRPr="00091B8D" w:rsidRDefault="00141E0C" w:rsidP="00357B45">
            <w:pPr>
              <w:spacing w:after="0" w:line="240" w:lineRule="auto"/>
              <w:jc w:val="right"/>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37.88</w:t>
            </w:r>
          </w:p>
        </w:tc>
      </w:tr>
      <w:tr w:rsidR="00141E0C" w:rsidRPr="00091B8D" w14:paraId="37C01560" w14:textId="77777777" w:rsidTr="00357B45">
        <w:trPr>
          <w:trHeight w:val="276"/>
        </w:trPr>
        <w:tc>
          <w:tcPr>
            <w:tcW w:w="2868" w:type="dxa"/>
            <w:tcBorders>
              <w:top w:val="nil"/>
              <w:left w:val="nil"/>
              <w:bottom w:val="single" w:sz="4" w:space="0" w:color="auto"/>
              <w:right w:val="nil"/>
            </w:tcBorders>
            <w:shd w:val="clear" w:color="auto" w:fill="auto"/>
            <w:noWrap/>
            <w:vAlign w:val="bottom"/>
            <w:hideMark/>
          </w:tcPr>
          <w:p w14:paraId="0FD71181" w14:textId="77777777" w:rsidR="00141E0C" w:rsidRPr="00091B8D" w:rsidRDefault="00141E0C" w:rsidP="00357B45">
            <w:pPr>
              <w:spacing w:after="0" w:line="240" w:lineRule="auto"/>
              <w:jc w:val="right"/>
              <w:rPr>
                <w:rFonts w:ascii="Times New Roman" w:eastAsia="Times New Roman" w:hAnsi="Times New Roman" w:cs="Times New Roman"/>
                <w:i/>
                <w:iCs/>
                <w:color w:val="000000"/>
                <w:lang w:eastAsia="en-GB"/>
              </w:rPr>
            </w:pPr>
            <w:proofErr w:type="spellStart"/>
            <w:r w:rsidRPr="00091B8D">
              <w:rPr>
                <w:rFonts w:ascii="Times New Roman" w:eastAsia="Times New Roman" w:hAnsi="Times New Roman" w:cs="Times New Roman"/>
                <w:i/>
                <w:iCs/>
                <w:color w:val="000000"/>
                <w:lang w:eastAsia="en-GB"/>
              </w:rPr>
              <w:t>Prob</w:t>
            </w:r>
            <w:proofErr w:type="spellEnd"/>
            <w:r w:rsidRPr="00091B8D">
              <w:rPr>
                <w:rFonts w:ascii="Times New Roman" w:eastAsia="Times New Roman" w:hAnsi="Times New Roman" w:cs="Times New Roman"/>
                <w:i/>
                <w:iCs/>
                <w:color w:val="000000"/>
                <w:lang w:eastAsia="en-GB"/>
              </w:rPr>
              <w:t xml:space="preserve"> &gt; chi2</w:t>
            </w:r>
          </w:p>
        </w:tc>
        <w:tc>
          <w:tcPr>
            <w:tcW w:w="1139" w:type="dxa"/>
            <w:tcBorders>
              <w:top w:val="nil"/>
              <w:left w:val="nil"/>
              <w:bottom w:val="single" w:sz="4" w:space="0" w:color="auto"/>
              <w:right w:val="nil"/>
            </w:tcBorders>
            <w:shd w:val="clear" w:color="auto" w:fill="auto"/>
            <w:noWrap/>
            <w:vAlign w:val="bottom"/>
            <w:hideMark/>
          </w:tcPr>
          <w:p w14:paraId="48C74274" w14:textId="77777777" w:rsidR="00141E0C" w:rsidRPr="00091B8D" w:rsidRDefault="00141E0C" w:rsidP="00357B45">
            <w:pPr>
              <w:spacing w:after="0" w:line="240" w:lineRule="auto"/>
              <w:jc w:val="right"/>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0.000</w:t>
            </w:r>
          </w:p>
        </w:tc>
        <w:tc>
          <w:tcPr>
            <w:tcW w:w="1113" w:type="dxa"/>
            <w:tcBorders>
              <w:top w:val="nil"/>
              <w:left w:val="nil"/>
              <w:bottom w:val="single" w:sz="4" w:space="0" w:color="auto"/>
              <w:right w:val="nil"/>
            </w:tcBorders>
            <w:shd w:val="clear" w:color="auto" w:fill="auto"/>
            <w:noWrap/>
            <w:vAlign w:val="bottom"/>
            <w:hideMark/>
          </w:tcPr>
          <w:p w14:paraId="1F4D25A6" w14:textId="77777777" w:rsidR="00141E0C" w:rsidRPr="00091B8D" w:rsidRDefault="00141E0C" w:rsidP="00357B45">
            <w:pPr>
              <w:spacing w:after="0" w:line="240" w:lineRule="auto"/>
              <w:jc w:val="right"/>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0.000</w:t>
            </w:r>
          </w:p>
        </w:tc>
        <w:tc>
          <w:tcPr>
            <w:tcW w:w="1267" w:type="dxa"/>
            <w:tcBorders>
              <w:top w:val="nil"/>
              <w:left w:val="nil"/>
              <w:bottom w:val="single" w:sz="4" w:space="0" w:color="auto"/>
              <w:right w:val="nil"/>
            </w:tcBorders>
            <w:shd w:val="clear" w:color="auto" w:fill="auto"/>
            <w:noWrap/>
            <w:vAlign w:val="bottom"/>
            <w:hideMark/>
          </w:tcPr>
          <w:p w14:paraId="6DAA0C0C" w14:textId="77777777" w:rsidR="00141E0C" w:rsidRPr="00091B8D" w:rsidRDefault="00141E0C" w:rsidP="00357B45">
            <w:pPr>
              <w:spacing w:after="0" w:line="240" w:lineRule="auto"/>
              <w:jc w:val="right"/>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0.000</w:t>
            </w:r>
          </w:p>
        </w:tc>
        <w:tc>
          <w:tcPr>
            <w:tcW w:w="1075" w:type="dxa"/>
            <w:tcBorders>
              <w:top w:val="nil"/>
              <w:left w:val="nil"/>
              <w:bottom w:val="single" w:sz="4" w:space="0" w:color="auto"/>
              <w:right w:val="nil"/>
            </w:tcBorders>
            <w:shd w:val="clear" w:color="auto" w:fill="auto"/>
            <w:noWrap/>
            <w:vAlign w:val="bottom"/>
            <w:hideMark/>
          </w:tcPr>
          <w:p w14:paraId="2F9D11C9" w14:textId="77777777" w:rsidR="00141E0C" w:rsidRPr="00091B8D" w:rsidRDefault="00141E0C" w:rsidP="00357B45">
            <w:pPr>
              <w:spacing w:after="0" w:line="240" w:lineRule="auto"/>
              <w:jc w:val="right"/>
              <w:rPr>
                <w:rFonts w:ascii="Times New Roman" w:eastAsia="Times New Roman" w:hAnsi="Times New Roman" w:cs="Times New Roman"/>
                <w:color w:val="000000"/>
                <w:lang w:eastAsia="en-GB"/>
              </w:rPr>
            </w:pPr>
            <w:r w:rsidRPr="00091B8D">
              <w:rPr>
                <w:rFonts w:ascii="Times New Roman" w:eastAsia="Times New Roman" w:hAnsi="Times New Roman" w:cs="Times New Roman"/>
                <w:color w:val="000000"/>
                <w:lang w:eastAsia="en-GB"/>
              </w:rPr>
              <w:t>0.000</w:t>
            </w:r>
          </w:p>
        </w:tc>
      </w:tr>
      <w:tr w:rsidR="00141E0C" w:rsidRPr="00091B8D" w14:paraId="3E46B2AA" w14:textId="77777777" w:rsidTr="00357B45">
        <w:trPr>
          <w:trHeight w:val="276"/>
        </w:trPr>
        <w:tc>
          <w:tcPr>
            <w:tcW w:w="7462" w:type="dxa"/>
            <w:gridSpan w:val="5"/>
            <w:tcBorders>
              <w:top w:val="single" w:sz="4" w:space="0" w:color="auto"/>
              <w:left w:val="nil"/>
              <w:bottom w:val="nil"/>
              <w:right w:val="nil"/>
            </w:tcBorders>
            <w:shd w:val="clear" w:color="auto" w:fill="auto"/>
            <w:noWrap/>
            <w:vAlign w:val="bottom"/>
            <w:hideMark/>
          </w:tcPr>
          <w:p w14:paraId="5F00D70B" w14:textId="77777777" w:rsidR="00141E0C" w:rsidRPr="00091B8D" w:rsidRDefault="00141E0C" w:rsidP="00357B45">
            <w:pPr>
              <w:spacing w:after="0" w:line="240" w:lineRule="auto"/>
              <w:rPr>
                <w:rFonts w:ascii="Times New Roman" w:eastAsia="Times New Roman" w:hAnsi="Times New Roman" w:cs="Times New Roman"/>
                <w:sz w:val="20"/>
                <w:szCs w:val="20"/>
                <w:lang w:eastAsia="en-GB"/>
              </w:rPr>
            </w:pPr>
            <w:r w:rsidRPr="00091B8D">
              <w:rPr>
                <w:rFonts w:ascii="Times New Roman" w:eastAsia="Times New Roman" w:hAnsi="Times New Roman" w:cs="Times New Roman"/>
                <w:color w:val="000000"/>
                <w:lang w:eastAsia="en-GB"/>
              </w:rPr>
              <w:t xml:space="preserve">Note: Ho: Constant </w:t>
            </w:r>
            <w:proofErr w:type="spellStart"/>
            <w:r w:rsidRPr="00091B8D">
              <w:rPr>
                <w:rFonts w:ascii="Times New Roman" w:eastAsia="Times New Roman" w:hAnsi="Times New Roman" w:cs="Times New Roman"/>
                <w:color w:val="000000"/>
                <w:lang w:eastAsia="en-GB"/>
              </w:rPr>
              <w:t>variance</w:t>
            </w:r>
            <w:proofErr w:type="spellEnd"/>
          </w:p>
        </w:tc>
      </w:tr>
    </w:tbl>
    <w:p w14:paraId="0AB5A622" w14:textId="28A64062" w:rsidR="00141E0C" w:rsidRPr="00091B8D" w:rsidRDefault="00141E0C" w:rsidP="00584525">
      <w:pPr>
        <w:spacing w:before="240"/>
        <w:jc w:val="both"/>
        <w:rPr>
          <w:rFonts w:ascii="Times New Roman" w:hAnsi="Times New Roman" w:cs="Times New Roman"/>
          <w:lang w:val="en-GB"/>
        </w:rPr>
      </w:pPr>
      <w:r w:rsidRPr="00091B8D">
        <w:rPr>
          <w:rFonts w:ascii="Times New Roman" w:hAnsi="Times New Roman" w:cs="Times New Roman"/>
          <w:lang w:val="en-GB"/>
        </w:rPr>
        <w:t xml:space="preserve">As recommended by Baum </w:t>
      </w:r>
      <w:r w:rsidR="00196587" w:rsidRPr="00091B8D">
        <w:rPr>
          <w:rFonts w:ascii="Times New Roman" w:hAnsi="Times New Roman" w:cs="Times New Roman"/>
          <w:lang w:val="en-GB"/>
        </w:rPr>
        <w:t xml:space="preserve">and </w:t>
      </w:r>
      <w:proofErr w:type="spellStart"/>
      <w:r w:rsidR="00196587" w:rsidRPr="00091B8D">
        <w:rPr>
          <w:rFonts w:ascii="Times New Roman" w:hAnsi="Times New Roman" w:cs="Times New Roman"/>
          <w:lang w:val="en-GB"/>
        </w:rPr>
        <w:t>Lewbel</w:t>
      </w:r>
      <w:proofErr w:type="spellEnd"/>
      <w:r w:rsidR="00196587" w:rsidRPr="00091B8D">
        <w:rPr>
          <w:rFonts w:ascii="Times New Roman" w:hAnsi="Times New Roman" w:cs="Times New Roman"/>
          <w:lang w:val="en-GB"/>
        </w:rPr>
        <w:t xml:space="preserve"> </w:t>
      </w:r>
      <w:r w:rsidRPr="00091B8D">
        <w:rPr>
          <w:rFonts w:ascii="Times New Roman" w:hAnsi="Times New Roman" w:cs="Times New Roman"/>
          <w:lang w:val="en-GB"/>
        </w:rPr>
        <w:t>(201</w:t>
      </w:r>
      <w:r w:rsidR="00196587">
        <w:rPr>
          <w:rFonts w:ascii="Times New Roman" w:hAnsi="Times New Roman" w:cs="Times New Roman"/>
          <w:lang w:val="en-GB"/>
        </w:rPr>
        <w:t>9</w:t>
      </w:r>
      <w:r w:rsidRPr="00091B8D">
        <w:rPr>
          <w:rFonts w:ascii="Times New Roman" w:hAnsi="Times New Roman" w:cs="Times New Roman"/>
          <w:lang w:val="en-GB"/>
        </w:rPr>
        <w:t xml:space="preserve">) in table C.2 we report the </w:t>
      </w:r>
      <w:proofErr w:type="spellStart"/>
      <w:r w:rsidRPr="00091B8D">
        <w:rPr>
          <w:rFonts w:ascii="Times New Roman" w:hAnsi="Times New Roman" w:cs="Times New Roman"/>
          <w:lang w:val="en-GB"/>
        </w:rPr>
        <w:t>Sargan</w:t>
      </w:r>
      <w:proofErr w:type="spellEnd"/>
      <w:r w:rsidRPr="00091B8D">
        <w:rPr>
          <w:rFonts w:ascii="Times New Roman" w:hAnsi="Times New Roman" w:cs="Times New Roman"/>
          <w:lang w:val="en-GB"/>
        </w:rPr>
        <w:t xml:space="preserve">–Hansen or </w:t>
      </w:r>
      <w:proofErr w:type="spellStart"/>
      <w:r w:rsidRPr="00091B8D">
        <w:rPr>
          <w:rFonts w:ascii="Times New Roman" w:hAnsi="Times New Roman" w:cs="Times New Roman"/>
          <w:lang w:val="en-GB"/>
        </w:rPr>
        <w:t>Sargan's</w:t>
      </w:r>
      <w:proofErr w:type="spellEnd"/>
      <w:r w:rsidRPr="00091B8D">
        <w:rPr>
          <w:rFonts w:ascii="Times New Roman" w:hAnsi="Times New Roman" w:cs="Times New Roman"/>
          <w:lang w:val="en-GB"/>
        </w:rPr>
        <w:t xml:space="preserve"> J test, </w:t>
      </w:r>
      <w:proofErr w:type="gramStart"/>
      <w:r w:rsidRPr="00091B8D">
        <w:rPr>
          <w:rFonts w:ascii="Times New Roman" w:hAnsi="Times New Roman" w:cs="Times New Roman"/>
          <w:lang w:val="en-GB"/>
        </w:rPr>
        <w:t>i.e.</w:t>
      </w:r>
      <w:proofErr w:type="gramEnd"/>
      <w:r w:rsidRPr="00091B8D">
        <w:rPr>
          <w:rFonts w:ascii="Times New Roman" w:hAnsi="Times New Roman" w:cs="Times New Roman"/>
          <w:lang w:val="en-GB"/>
        </w:rPr>
        <w:t xml:space="preserve"> “overidentification test”, associated with the IV </w:t>
      </w:r>
      <w:proofErr w:type="spellStart"/>
      <w:r w:rsidRPr="00091B8D">
        <w:rPr>
          <w:rFonts w:ascii="Times New Roman" w:hAnsi="Times New Roman" w:cs="Times New Roman"/>
          <w:lang w:val="en-GB"/>
        </w:rPr>
        <w:t>Lewbel</w:t>
      </w:r>
      <w:proofErr w:type="spellEnd"/>
      <w:r w:rsidRPr="00091B8D">
        <w:rPr>
          <w:rFonts w:ascii="Times New Roman" w:hAnsi="Times New Roman" w:cs="Times New Roman"/>
          <w:lang w:val="en-GB"/>
        </w:rPr>
        <w:t xml:space="preserve"> estimator which allows us to check whether the excluded instruments are appropriately independent of the error process. The joint null hypothesis in this case is that the instruments are valid instruments while the excluded instruments are correctly omitted from the model. As expected, we cannot reject the null confirming the validity of our instruments.</w:t>
      </w:r>
    </w:p>
    <w:p w14:paraId="75B31242" w14:textId="77777777" w:rsidR="00141E0C" w:rsidRPr="00A36948" w:rsidRDefault="00141E0C" w:rsidP="00141E0C">
      <w:pPr>
        <w:jc w:val="both"/>
        <w:rPr>
          <w:lang w:val="en-GB"/>
        </w:rPr>
        <w:sectPr w:rsidR="00141E0C" w:rsidRPr="00A36948" w:rsidSect="00357B45">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9" w:footer="709" w:gutter="0"/>
          <w:cols w:space="708"/>
          <w:docGrid w:linePitch="360"/>
        </w:sectPr>
      </w:pPr>
    </w:p>
    <w:tbl>
      <w:tblPr>
        <w:tblW w:w="14117" w:type="dxa"/>
        <w:tblLook w:val="04A0" w:firstRow="1" w:lastRow="0" w:firstColumn="1" w:lastColumn="0" w:noHBand="0" w:noVBand="1"/>
      </w:tblPr>
      <w:tblGrid>
        <w:gridCol w:w="1171"/>
        <w:gridCol w:w="886"/>
        <w:gridCol w:w="957"/>
        <w:gridCol w:w="956"/>
        <w:gridCol w:w="1717"/>
        <w:gridCol w:w="886"/>
        <w:gridCol w:w="957"/>
        <w:gridCol w:w="956"/>
        <w:gridCol w:w="1717"/>
        <w:gridCol w:w="886"/>
        <w:gridCol w:w="957"/>
        <w:gridCol w:w="956"/>
        <w:gridCol w:w="1717"/>
      </w:tblGrid>
      <w:tr w:rsidR="00141E0C" w:rsidRPr="00D6457A" w14:paraId="60E99171" w14:textId="77777777" w:rsidTr="00357B45">
        <w:trPr>
          <w:trHeight w:val="287"/>
        </w:trPr>
        <w:tc>
          <w:tcPr>
            <w:tcW w:w="0" w:type="auto"/>
            <w:gridSpan w:val="13"/>
            <w:tcBorders>
              <w:top w:val="nil"/>
              <w:left w:val="nil"/>
              <w:bottom w:val="single" w:sz="8" w:space="0" w:color="auto"/>
              <w:right w:val="nil"/>
            </w:tcBorders>
            <w:shd w:val="clear" w:color="auto" w:fill="auto"/>
            <w:noWrap/>
            <w:vAlign w:val="center"/>
            <w:hideMark/>
          </w:tcPr>
          <w:p w14:paraId="71D058BF" w14:textId="77777777" w:rsidR="00141E0C" w:rsidRPr="00D6457A" w:rsidRDefault="00141E0C" w:rsidP="00357B45">
            <w:pPr>
              <w:spacing w:after="0" w:line="240" w:lineRule="auto"/>
              <w:rPr>
                <w:rFonts w:ascii="Times New Roman" w:eastAsia="Times New Roman" w:hAnsi="Times New Roman" w:cs="Times New Roman"/>
                <w:sz w:val="18"/>
                <w:szCs w:val="18"/>
                <w:lang w:eastAsia="en-GB"/>
              </w:rPr>
            </w:pPr>
            <w:proofErr w:type="spellStart"/>
            <w:r w:rsidRPr="00D6457A">
              <w:rPr>
                <w:rFonts w:ascii="Times New Roman" w:eastAsia="Times New Roman" w:hAnsi="Times New Roman" w:cs="Times New Roman"/>
                <w:color w:val="000000"/>
                <w:lang w:eastAsia="en-GB"/>
              </w:rPr>
              <w:lastRenderedPageBreak/>
              <w:t>Table</w:t>
            </w:r>
            <w:proofErr w:type="spellEnd"/>
            <w:r w:rsidRPr="00D6457A">
              <w:rPr>
                <w:rFonts w:ascii="Times New Roman" w:eastAsia="Times New Roman" w:hAnsi="Times New Roman" w:cs="Times New Roman"/>
                <w:color w:val="000000"/>
                <w:lang w:eastAsia="en-GB"/>
              </w:rPr>
              <w:t xml:space="preserve"> C.2: </w:t>
            </w:r>
            <w:proofErr w:type="spellStart"/>
            <w:r w:rsidRPr="00D6457A">
              <w:rPr>
                <w:rFonts w:ascii="Times New Roman" w:eastAsia="Times New Roman" w:hAnsi="Times New Roman" w:cs="Times New Roman"/>
                <w:color w:val="000000"/>
                <w:lang w:eastAsia="en-GB"/>
              </w:rPr>
              <w:t>Overidentification</w:t>
            </w:r>
            <w:proofErr w:type="spellEnd"/>
            <w:r w:rsidRPr="00D6457A">
              <w:rPr>
                <w:rFonts w:ascii="Times New Roman" w:eastAsia="Times New Roman" w:hAnsi="Times New Roman" w:cs="Times New Roman"/>
                <w:color w:val="000000"/>
                <w:lang w:eastAsia="en-GB"/>
              </w:rPr>
              <w:t xml:space="preserve"> test </w:t>
            </w:r>
          </w:p>
        </w:tc>
      </w:tr>
      <w:tr w:rsidR="00141E0C" w:rsidRPr="001B584B" w14:paraId="052E25ED" w14:textId="77777777" w:rsidTr="00357B45">
        <w:trPr>
          <w:trHeight w:val="287"/>
        </w:trPr>
        <w:tc>
          <w:tcPr>
            <w:tcW w:w="0" w:type="auto"/>
            <w:gridSpan w:val="5"/>
            <w:tcBorders>
              <w:top w:val="single" w:sz="8" w:space="0" w:color="auto"/>
              <w:left w:val="nil"/>
              <w:bottom w:val="single" w:sz="8" w:space="0" w:color="auto"/>
              <w:right w:val="single" w:sz="4" w:space="0" w:color="000000"/>
            </w:tcBorders>
            <w:shd w:val="clear" w:color="auto" w:fill="auto"/>
            <w:noWrap/>
            <w:vAlign w:val="center"/>
            <w:hideMark/>
          </w:tcPr>
          <w:p w14:paraId="7B7D9834"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Country FE</w:t>
            </w:r>
          </w:p>
        </w:tc>
        <w:tc>
          <w:tcPr>
            <w:tcW w:w="0" w:type="auto"/>
            <w:gridSpan w:val="4"/>
            <w:tcBorders>
              <w:top w:val="single" w:sz="8" w:space="0" w:color="auto"/>
              <w:left w:val="nil"/>
              <w:bottom w:val="single" w:sz="8" w:space="0" w:color="auto"/>
              <w:right w:val="single" w:sz="4" w:space="0" w:color="000000"/>
            </w:tcBorders>
            <w:shd w:val="clear" w:color="auto" w:fill="auto"/>
            <w:noWrap/>
            <w:vAlign w:val="center"/>
            <w:hideMark/>
          </w:tcPr>
          <w:p w14:paraId="1C450245"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 xml:space="preserve">Country and </w:t>
            </w:r>
            <w:proofErr w:type="spellStart"/>
            <w:r w:rsidRPr="00D6457A">
              <w:rPr>
                <w:rFonts w:ascii="Times New Roman" w:eastAsia="Times New Roman" w:hAnsi="Times New Roman" w:cs="Times New Roman"/>
                <w:b/>
                <w:bCs/>
                <w:color w:val="000000"/>
                <w:sz w:val="18"/>
                <w:szCs w:val="18"/>
                <w:lang w:eastAsia="en-GB"/>
              </w:rPr>
              <w:t>year</w:t>
            </w:r>
            <w:proofErr w:type="spellEnd"/>
            <w:r w:rsidRPr="00D6457A">
              <w:rPr>
                <w:rFonts w:ascii="Times New Roman" w:eastAsia="Times New Roman" w:hAnsi="Times New Roman" w:cs="Times New Roman"/>
                <w:b/>
                <w:bCs/>
                <w:color w:val="000000"/>
                <w:sz w:val="18"/>
                <w:szCs w:val="18"/>
                <w:lang w:eastAsia="en-GB"/>
              </w:rPr>
              <w:t xml:space="preserve"> FE</w:t>
            </w:r>
          </w:p>
        </w:tc>
        <w:tc>
          <w:tcPr>
            <w:tcW w:w="0" w:type="auto"/>
            <w:gridSpan w:val="4"/>
            <w:tcBorders>
              <w:top w:val="single" w:sz="8" w:space="0" w:color="auto"/>
              <w:left w:val="nil"/>
              <w:bottom w:val="single" w:sz="8" w:space="0" w:color="auto"/>
              <w:right w:val="nil"/>
            </w:tcBorders>
            <w:shd w:val="clear" w:color="auto" w:fill="auto"/>
            <w:noWrap/>
            <w:vAlign w:val="center"/>
            <w:hideMark/>
          </w:tcPr>
          <w:p w14:paraId="1E74E2D1"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val="en-GB" w:eastAsia="en-GB"/>
              </w:rPr>
            </w:pPr>
            <w:r w:rsidRPr="00D6457A">
              <w:rPr>
                <w:rFonts w:ascii="Times New Roman" w:eastAsia="Times New Roman" w:hAnsi="Times New Roman" w:cs="Times New Roman"/>
                <w:b/>
                <w:bCs/>
                <w:color w:val="000000"/>
                <w:sz w:val="18"/>
                <w:szCs w:val="18"/>
                <w:lang w:val="en-GB" w:eastAsia="en-GB"/>
              </w:rPr>
              <w:t>Country, year FE and trend</w:t>
            </w:r>
          </w:p>
        </w:tc>
      </w:tr>
      <w:tr w:rsidR="00141E0C" w:rsidRPr="00D6457A" w14:paraId="2B94A291" w14:textId="77777777" w:rsidTr="00357B45">
        <w:trPr>
          <w:trHeight w:val="287"/>
        </w:trPr>
        <w:tc>
          <w:tcPr>
            <w:tcW w:w="0" w:type="auto"/>
            <w:tcBorders>
              <w:top w:val="nil"/>
              <w:left w:val="nil"/>
              <w:bottom w:val="single" w:sz="8" w:space="0" w:color="auto"/>
              <w:right w:val="single" w:sz="4" w:space="0" w:color="auto"/>
            </w:tcBorders>
            <w:shd w:val="clear" w:color="auto" w:fill="auto"/>
            <w:noWrap/>
            <w:vAlign w:val="center"/>
            <w:hideMark/>
          </w:tcPr>
          <w:p w14:paraId="567198D6"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proofErr w:type="spellStart"/>
            <w:r w:rsidRPr="00D6457A">
              <w:rPr>
                <w:rFonts w:ascii="Times New Roman" w:eastAsia="Times New Roman" w:hAnsi="Times New Roman" w:cs="Times New Roman"/>
                <w:b/>
                <w:bCs/>
                <w:color w:val="000000"/>
                <w:sz w:val="18"/>
                <w:szCs w:val="18"/>
                <w:lang w:eastAsia="en-GB"/>
              </w:rPr>
              <w:t>Poverty</w:t>
            </w:r>
            <w:proofErr w:type="spellEnd"/>
            <w:r w:rsidRPr="00D6457A">
              <w:rPr>
                <w:rFonts w:ascii="Times New Roman" w:eastAsia="Times New Roman" w:hAnsi="Times New Roman" w:cs="Times New Roman"/>
                <w:b/>
                <w:bCs/>
                <w:color w:val="000000"/>
                <w:sz w:val="18"/>
                <w:szCs w:val="18"/>
                <w:lang w:eastAsia="en-GB"/>
              </w:rPr>
              <w:t xml:space="preserve"> rate</w:t>
            </w:r>
          </w:p>
        </w:tc>
        <w:tc>
          <w:tcPr>
            <w:tcW w:w="0" w:type="auto"/>
            <w:tcBorders>
              <w:top w:val="nil"/>
              <w:left w:val="single" w:sz="4" w:space="0" w:color="auto"/>
              <w:bottom w:val="single" w:sz="8" w:space="0" w:color="auto"/>
              <w:right w:val="nil"/>
            </w:tcBorders>
            <w:shd w:val="clear" w:color="auto" w:fill="auto"/>
            <w:noWrap/>
            <w:vAlign w:val="center"/>
            <w:hideMark/>
          </w:tcPr>
          <w:p w14:paraId="5F013C3B"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SP_MID</w:t>
            </w:r>
          </w:p>
        </w:tc>
        <w:tc>
          <w:tcPr>
            <w:tcW w:w="0" w:type="auto"/>
            <w:tcBorders>
              <w:top w:val="nil"/>
              <w:left w:val="nil"/>
              <w:bottom w:val="single" w:sz="8" w:space="0" w:color="auto"/>
              <w:right w:val="nil"/>
            </w:tcBorders>
            <w:shd w:val="clear" w:color="auto" w:fill="auto"/>
            <w:noWrap/>
            <w:vAlign w:val="center"/>
            <w:hideMark/>
          </w:tcPr>
          <w:p w14:paraId="4D709241"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SP_LOW</w:t>
            </w:r>
          </w:p>
        </w:tc>
        <w:tc>
          <w:tcPr>
            <w:tcW w:w="0" w:type="auto"/>
            <w:tcBorders>
              <w:top w:val="nil"/>
              <w:left w:val="nil"/>
              <w:bottom w:val="single" w:sz="8" w:space="0" w:color="auto"/>
              <w:right w:val="nil"/>
            </w:tcBorders>
            <w:shd w:val="clear" w:color="auto" w:fill="auto"/>
            <w:noWrap/>
            <w:vAlign w:val="center"/>
            <w:hideMark/>
          </w:tcPr>
          <w:p w14:paraId="72A793E3"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MP_MID</w:t>
            </w:r>
          </w:p>
        </w:tc>
        <w:tc>
          <w:tcPr>
            <w:tcW w:w="0" w:type="auto"/>
            <w:tcBorders>
              <w:top w:val="nil"/>
              <w:left w:val="nil"/>
              <w:bottom w:val="single" w:sz="8" w:space="0" w:color="auto"/>
              <w:right w:val="single" w:sz="4" w:space="0" w:color="auto"/>
            </w:tcBorders>
            <w:shd w:val="clear" w:color="auto" w:fill="auto"/>
            <w:noWrap/>
            <w:vAlign w:val="center"/>
            <w:hideMark/>
          </w:tcPr>
          <w:p w14:paraId="21E16839"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 xml:space="preserve">SP_LOW–SP_MID </w:t>
            </w:r>
          </w:p>
        </w:tc>
        <w:tc>
          <w:tcPr>
            <w:tcW w:w="0" w:type="auto"/>
            <w:tcBorders>
              <w:top w:val="nil"/>
              <w:left w:val="nil"/>
              <w:bottom w:val="single" w:sz="8" w:space="0" w:color="auto"/>
              <w:right w:val="nil"/>
            </w:tcBorders>
            <w:shd w:val="clear" w:color="auto" w:fill="auto"/>
            <w:noWrap/>
            <w:vAlign w:val="center"/>
            <w:hideMark/>
          </w:tcPr>
          <w:p w14:paraId="5F6816D1"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SP_MID</w:t>
            </w:r>
          </w:p>
        </w:tc>
        <w:tc>
          <w:tcPr>
            <w:tcW w:w="0" w:type="auto"/>
            <w:tcBorders>
              <w:top w:val="nil"/>
              <w:left w:val="nil"/>
              <w:bottom w:val="single" w:sz="8" w:space="0" w:color="auto"/>
              <w:right w:val="nil"/>
            </w:tcBorders>
            <w:shd w:val="clear" w:color="auto" w:fill="auto"/>
            <w:noWrap/>
            <w:vAlign w:val="center"/>
            <w:hideMark/>
          </w:tcPr>
          <w:p w14:paraId="37402E09"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SP_LOW</w:t>
            </w:r>
          </w:p>
        </w:tc>
        <w:tc>
          <w:tcPr>
            <w:tcW w:w="0" w:type="auto"/>
            <w:tcBorders>
              <w:top w:val="nil"/>
              <w:left w:val="nil"/>
              <w:bottom w:val="single" w:sz="8" w:space="0" w:color="auto"/>
              <w:right w:val="nil"/>
            </w:tcBorders>
            <w:shd w:val="clear" w:color="auto" w:fill="auto"/>
            <w:noWrap/>
            <w:vAlign w:val="center"/>
            <w:hideMark/>
          </w:tcPr>
          <w:p w14:paraId="3432EE81"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MP_MID</w:t>
            </w:r>
          </w:p>
        </w:tc>
        <w:tc>
          <w:tcPr>
            <w:tcW w:w="0" w:type="auto"/>
            <w:tcBorders>
              <w:top w:val="nil"/>
              <w:left w:val="nil"/>
              <w:bottom w:val="single" w:sz="8" w:space="0" w:color="auto"/>
              <w:right w:val="single" w:sz="4" w:space="0" w:color="auto"/>
            </w:tcBorders>
            <w:shd w:val="clear" w:color="auto" w:fill="auto"/>
            <w:noWrap/>
            <w:vAlign w:val="center"/>
            <w:hideMark/>
          </w:tcPr>
          <w:p w14:paraId="20F49F89"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 xml:space="preserve">SP_LOW–SP_MID </w:t>
            </w:r>
          </w:p>
        </w:tc>
        <w:tc>
          <w:tcPr>
            <w:tcW w:w="0" w:type="auto"/>
            <w:tcBorders>
              <w:top w:val="nil"/>
              <w:left w:val="nil"/>
              <w:bottom w:val="single" w:sz="8" w:space="0" w:color="auto"/>
              <w:right w:val="nil"/>
            </w:tcBorders>
            <w:shd w:val="clear" w:color="auto" w:fill="auto"/>
            <w:noWrap/>
            <w:vAlign w:val="center"/>
            <w:hideMark/>
          </w:tcPr>
          <w:p w14:paraId="639907FC"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SP_MID</w:t>
            </w:r>
          </w:p>
        </w:tc>
        <w:tc>
          <w:tcPr>
            <w:tcW w:w="0" w:type="auto"/>
            <w:tcBorders>
              <w:top w:val="nil"/>
              <w:left w:val="nil"/>
              <w:bottom w:val="single" w:sz="8" w:space="0" w:color="auto"/>
              <w:right w:val="nil"/>
            </w:tcBorders>
            <w:shd w:val="clear" w:color="auto" w:fill="auto"/>
            <w:noWrap/>
            <w:vAlign w:val="center"/>
            <w:hideMark/>
          </w:tcPr>
          <w:p w14:paraId="00D437C0"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SP_LOW</w:t>
            </w:r>
          </w:p>
        </w:tc>
        <w:tc>
          <w:tcPr>
            <w:tcW w:w="0" w:type="auto"/>
            <w:tcBorders>
              <w:top w:val="nil"/>
              <w:left w:val="nil"/>
              <w:bottom w:val="single" w:sz="8" w:space="0" w:color="auto"/>
              <w:right w:val="nil"/>
            </w:tcBorders>
            <w:shd w:val="clear" w:color="auto" w:fill="auto"/>
            <w:noWrap/>
            <w:vAlign w:val="center"/>
            <w:hideMark/>
          </w:tcPr>
          <w:p w14:paraId="686B751F"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MP_MID</w:t>
            </w:r>
          </w:p>
        </w:tc>
        <w:tc>
          <w:tcPr>
            <w:tcW w:w="0" w:type="auto"/>
            <w:tcBorders>
              <w:top w:val="nil"/>
              <w:left w:val="nil"/>
              <w:bottom w:val="single" w:sz="8" w:space="0" w:color="auto"/>
              <w:right w:val="nil"/>
            </w:tcBorders>
            <w:shd w:val="clear" w:color="auto" w:fill="auto"/>
            <w:noWrap/>
            <w:vAlign w:val="center"/>
            <w:hideMark/>
          </w:tcPr>
          <w:p w14:paraId="7D792530"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 xml:space="preserve">SP_LOW–SP_MID </w:t>
            </w:r>
          </w:p>
        </w:tc>
      </w:tr>
      <w:tr w:rsidR="00141E0C" w:rsidRPr="00D6457A" w14:paraId="10D3DE90" w14:textId="77777777" w:rsidTr="00357B45">
        <w:trPr>
          <w:trHeight w:val="274"/>
        </w:trPr>
        <w:tc>
          <w:tcPr>
            <w:tcW w:w="0" w:type="auto"/>
            <w:tcBorders>
              <w:top w:val="single" w:sz="8" w:space="0" w:color="auto"/>
              <w:left w:val="nil"/>
              <w:bottom w:val="nil"/>
              <w:right w:val="single" w:sz="4" w:space="0" w:color="auto"/>
            </w:tcBorders>
            <w:shd w:val="clear" w:color="auto" w:fill="auto"/>
            <w:noWrap/>
            <w:vAlign w:val="center"/>
            <w:hideMark/>
          </w:tcPr>
          <w:p w14:paraId="002D5F89" w14:textId="77777777" w:rsidR="00141E0C" w:rsidRPr="00D6457A" w:rsidRDefault="00141E0C" w:rsidP="00357B45">
            <w:pPr>
              <w:spacing w:after="0" w:line="240" w:lineRule="auto"/>
              <w:jc w:val="right"/>
              <w:rPr>
                <w:rFonts w:ascii="Times New Roman" w:eastAsia="Times New Roman" w:hAnsi="Times New Roman" w:cs="Times New Roman"/>
                <w:b/>
                <w:bCs/>
                <w:color w:val="000000"/>
                <w:sz w:val="18"/>
                <w:szCs w:val="18"/>
                <w:lang w:eastAsia="en-GB"/>
              </w:rPr>
            </w:pPr>
            <w:proofErr w:type="spellStart"/>
            <w:r w:rsidRPr="00D6457A">
              <w:rPr>
                <w:rFonts w:ascii="Times New Roman" w:eastAsia="Times New Roman" w:hAnsi="Times New Roman" w:cs="Times New Roman"/>
                <w:b/>
                <w:bCs/>
                <w:color w:val="000000"/>
                <w:sz w:val="18"/>
                <w:szCs w:val="18"/>
                <w:lang w:eastAsia="en-GB"/>
              </w:rPr>
              <w:t>Coef</w:t>
            </w:r>
            <w:proofErr w:type="spellEnd"/>
            <w:r w:rsidRPr="00D6457A">
              <w:rPr>
                <w:rFonts w:ascii="Times New Roman" w:eastAsia="Times New Roman" w:hAnsi="Times New Roman" w:cs="Times New Roman"/>
                <w:b/>
                <w:bCs/>
                <w:color w:val="000000"/>
                <w:sz w:val="18"/>
                <w:szCs w:val="18"/>
                <w:lang w:eastAsia="en-GB"/>
              </w:rPr>
              <w:t>.</w:t>
            </w:r>
          </w:p>
        </w:tc>
        <w:tc>
          <w:tcPr>
            <w:tcW w:w="0" w:type="auto"/>
            <w:tcBorders>
              <w:top w:val="nil"/>
              <w:left w:val="single" w:sz="4" w:space="0" w:color="auto"/>
              <w:bottom w:val="nil"/>
              <w:right w:val="single" w:sz="8" w:space="0" w:color="auto"/>
            </w:tcBorders>
            <w:shd w:val="clear" w:color="auto" w:fill="auto"/>
            <w:noWrap/>
            <w:vAlign w:val="center"/>
            <w:hideMark/>
          </w:tcPr>
          <w:p w14:paraId="67B6A97D"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-0.20***</w:t>
            </w:r>
          </w:p>
        </w:tc>
        <w:tc>
          <w:tcPr>
            <w:tcW w:w="0" w:type="auto"/>
            <w:tcBorders>
              <w:top w:val="nil"/>
              <w:left w:val="nil"/>
              <w:bottom w:val="nil"/>
              <w:right w:val="single" w:sz="8" w:space="0" w:color="auto"/>
            </w:tcBorders>
            <w:shd w:val="clear" w:color="auto" w:fill="auto"/>
            <w:noWrap/>
            <w:vAlign w:val="center"/>
            <w:hideMark/>
          </w:tcPr>
          <w:p w14:paraId="65910C62"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-0.14**</w:t>
            </w:r>
          </w:p>
        </w:tc>
        <w:tc>
          <w:tcPr>
            <w:tcW w:w="0" w:type="auto"/>
            <w:tcBorders>
              <w:top w:val="nil"/>
              <w:left w:val="nil"/>
              <w:bottom w:val="nil"/>
              <w:right w:val="single" w:sz="8" w:space="0" w:color="auto"/>
            </w:tcBorders>
            <w:shd w:val="clear" w:color="auto" w:fill="auto"/>
            <w:noWrap/>
            <w:vAlign w:val="center"/>
            <w:hideMark/>
          </w:tcPr>
          <w:p w14:paraId="0894EA04"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-0.17**</w:t>
            </w:r>
          </w:p>
        </w:tc>
        <w:tc>
          <w:tcPr>
            <w:tcW w:w="0" w:type="auto"/>
            <w:tcBorders>
              <w:top w:val="nil"/>
              <w:left w:val="nil"/>
              <w:bottom w:val="nil"/>
              <w:right w:val="single" w:sz="4" w:space="0" w:color="auto"/>
            </w:tcBorders>
            <w:shd w:val="clear" w:color="auto" w:fill="auto"/>
            <w:noWrap/>
            <w:vAlign w:val="center"/>
            <w:hideMark/>
          </w:tcPr>
          <w:p w14:paraId="53E249D5"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-0.10</w:t>
            </w:r>
          </w:p>
        </w:tc>
        <w:tc>
          <w:tcPr>
            <w:tcW w:w="0" w:type="auto"/>
            <w:tcBorders>
              <w:top w:val="nil"/>
              <w:left w:val="nil"/>
              <w:bottom w:val="nil"/>
              <w:right w:val="single" w:sz="8" w:space="0" w:color="auto"/>
            </w:tcBorders>
            <w:shd w:val="clear" w:color="auto" w:fill="auto"/>
            <w:noWrap/>
            <w:vAlign w:val="center"/>
            <w:hideMark/>
          </w:tcPr>
          <w:p w14:paraId="2B375AEE"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-0.28***</w:t>
            </w:r>
          </w:p>
        </w:tc>
        <w:tc>
          <w:tcPr>
            <w:tcW w:w="0" w:type="auto"/>
            <w:tcBorders>
              <w:top w:val="nil"/>
              <w:left w:val="nil"/>
              <w:bottom w:val="nil"/>
              <w:right w:val="single" w:sz="8" w:space="0" w:color="auto"/>
            </w:tcBorders>
            <w:shd w:val="clear" w:color="auto" w:fill="auto"/>
            <w:noWrap/>
            <w:vAlign w:val="center"/>
            <w:hideMark/>
          </w:tcPr>
          <w:p w14:paraId="05A81B2E"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-0.15***</w:t>
            </w:r>
          </w:p>
        </w:tc>
        <w:tc>
          <w:tcPr>
            <w:tcW w:w="0" w:type="auto"/>
            <w:tcBorders>
              <w:top w:val="nil"/>
              <w:left w:val="nil"/>
              <w:bottom w:val="nil"/>
              <w:right w:val="single" w:sz="8" w:space="0" w:color="auto"/>
            </w:tcBorders>
            <w:shd w:val="clear" w:color="auto" w:fill="auto"/>
            <w:noWrap/>
            <w:vAlign w:val="center"/>
            <w:hideMark/>
          </w:tcPr>
          <w:p w14:paraId="1D276877"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-0.15**</w:t>
            </w:r>
          </w:p>
        </w:tc>
        <w:tc>
          <w:tcPr>
            <w:tcW w:w="0" w:type="auto"/>
            <w:tcBorders>
              <w:top w:val="nil"/>
              <w:left w:val="nil"/>
              <w:bottom w:val="nil"/>
              <w:right w:val="single" w:sz="4" w:space="0" w:color="auto"/>
            </w:tcBorders>
            <w:shd w:val="clear" w:color="auto" w:fill="auto"/>
            <w:noWrap/>
            <w:vAlign w:val="center"/>
            <w:hideMark/>
          </w:tcPr>
          <w:p w14:paraId="0BDF4BEA"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0.02</w:t>
            </w:r>
          </w:p>
        </w:tc>
        <w:tc>
          <w:tcPr>
            <w:tcW w:w="0" w:type="auto"/>
            <w:tcBorders>
              <w:top w:val="nil"/>
              <w:left w:val="nil"/>
              <w:right w:val="single" w:sz="8" w:space="0" w:color="auto"/>
            </w:tcBorders>
            <w:shd w:val="clear" w:color="auto" w:fill="auto"/>
            <w:noWrap/>
            <w:vAlign w:val="center"/>
            <w:hideMark/>
          </w:tcPr>
          <w:p w14:paraId="107009B5"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-0.28***</w:t>
            </w:r>
          </w:p>
        </w:tc>
        <w:tc>
          <w:tcPr>
            <w:tcW w:w="0" w:type="auto"/>
            <w:tcBorders>
              <w:top w:val="nil"/>
              <w:left w:val="nil"/>
              <w:bottom w:val="nil"/>
              <w:right w:val="single" w:sz="8" w:space="0" w:color="auto"/>
            </w:tcBorders>
            <w:shd w:val="clear" w:color="auto" w:fill="auto"/>
            <w:noWrap/>
            <w:vAlign w:val="center"/>
            <w:hideMark/>
          </w:tcPr>
          <w:p w14:paraId="353112FC"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-0.15***</w:t>
            </w:r>
          </w:p>
        </w:tc>
        <w:tc>
          <w:tcPr>
            <w:tcW w:w="0" w:type="auto"/>
            <w:tcBorders>
              <w:top w:val="nil"/>
              <w:left w:val="nil"/>
              <w:bottom w:val="nil"/>
              <w:right w:val="single" w:sz="8" w:space="0" w:color="auto"/>
            </w:tcBorders>
            <w:shd w:val="clear" w:color="auto" w:fill="auto"/>
            <w:noWrap/>
            <w:vAlign w:val="center"/>
            <w:hideMark/>
          </w:tcPr>
          <w:p w14:paraId="36B22A29"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-0.15**</w:t>
            </w:r>
          </w:p>
        </w:tc>
        <w:tc>
          <w:tcPr>
            <w:tcW w:w="0" w:type="auto"/>
            <w:tcBorders>
              <w:top w:val="single" w:sz="8" w:space="0" w:color="auto"/>
              <w:left w:val="nil"/>
              <w:bottom w:val="nil"/>
            </w:tcBorders>
            <w:shd w:val="clear" w:color="auto" w:fill="auto"/>
            <w:noWrap/>
            <w:vAlign w:val="center"/>
            <w:hideMark/>
          </w:tcPr>
          <w:p w14:paraId="6C082DD9"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0.02</w:t>
            </w:r>
          </w:p>
        </w:tc>
      </w:tr>
      <w:tr w:rsidR="00141E0C" w:rsidRPr="00D6457A" w14:paraId="2592AB30" w14:textId="77777777" w:rsidTr="00357B45">
        <w:trPr>
          <w:trHeight w:val="287"/>
        </w:trPr>
        <w:tc>
          <w:tcPr>
            <w:tcW w:w="0" w:type="auto"/>
            <w:tcBorders>
              <w:top w:val="nil"/>
              <w:left w:val="nil"/>
              <w:bottom w:val="single" w:sz="8" w:space="0" w:color="auto"/>
              <w:right w:val="single" w:sz="4" w:space="0" w:color="auto"/>
            </w:tcBorders>
            <w:shd w:val="clear" w:color="auto" w:fill="auto"/>
            <w:noWrap/>
            <w:vAlign w:val="center"/>
            <w:hideMark/>
          </w:tcPr>
          <w:p w14:paraId="2B0DF030" w14:textId="77777777" w:rsidR="00141E0C" w:rsidRPr="00D6457A" w:rsidRDefault="00141E0C" w:rsidP="00357B45">
            <w:pPr>
              <w:spacing w:after="0" w:line="240" w:lineRule="auto"/>
              <w:jc w:val="right"/>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se</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50C42BEA"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(0.08)</w:t>
            </w:r>
          </w:p>
        </w:tc>
        <w:tc>
          <w:tcPr>
            <w:tcW w:w="0" w:type="auto"/>
            <w:tcBorders>
              <w:top w:val="nil"/>
              <w:left w:val="nil"/>
              <w:bottom w:val="single" w:sz="8" w:space="0" w:color="auto"/>
              <w:right w:val="single" w:sz="8" w:space="0" w:color="auto"/>
            </w:tcBorders>
            <w:shd w:val="clear" w:color="auto" w:fill="auto"/>
            <w:noWrap/>
            <w:vAlign w:val="center"/>
            <w:hideMark/>
          </w:tcPr>
          <w:p w14:paraId="10D59EFB"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(0.07)</w:t>
            </w:r>
          </w:p>
        </w:tc>
        <w:tc>
          <w:tcPr>
            <w:tcW w:w="0" w:type="auto"/>
            <w:tcBorders>
              <w:top w:val="nil"/>
              <w:left w:val="nil"/>
              <w:bottom w:val="single" w:sz="8" w:space="0" w:color="auto"/>
              <w:right w:val="single" w:sz="8" w:space="0" w:color="auto"/>
            </w:tcBorders>
            <w:shd w:val="clear" w:color="auto" w:fill="auto"/>
            <w:noWrap/>
            <w:vAlign w:val="center"/>
            <w:hideMark/>
          </w:tcPr>
          <w:p w14:paraId="6E40B708"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(0.07)</w:t>
            </w:r>
          </w:p>
        </w:tc>
        <w:tc>
          <w:tcPr>
            <w:tcW w:w="0" w:type="auto"/>
            <w:tcBorders>
              <w:top w:val="nil"/>
              <w:left w:val="nil"/>
              <w:bottom w:val="single" w:sz="8" w:space="0" w:color="auto"/>
              <w:right w:val="single" w:sz="4" w:space="0" w:color="auto"/>
            </w:tcBorders>
            <w:shd w:val="clear" w:color="auto" w:fill="auto"/>
            <w:noWrap/>
            <w:vAlign w:val="center"/>
            <w:hideMark/>
          </w:tcPr>
          <w:p w14:paraId="43BAA26B"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(0.09)</w:t>
            </w:r>
          </w:p>
        </w:tc>
        <w:tc>
          <w:tcPr>
            <w:tcW w:w="0" w:type="auto"/>
            <w:tcBorders>
              <w:top w:val="nil"/>
              <w:left w:val="nil"/>
              <w:bottom w:val="single" w:sz="8" w:space="0" w:color="auto"/>
              <w:right w:val="single" w:sz="8" w:space="0" w:color="auto"/>
            </w:tcBorders>
            <w:shd w:val="clear" w:color="auto" w:fill="auto"/>
            <w:noWrap/>
            <w:vAlign w:val="center"/>
            <w:hideMark/>
          </w:tcPr>
          <w:p w14:paraId="69F5CE17"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(0.06)</w:t>
            </w:r>
          </w:p>
        </w:tc>
        <w:tc>
          <w:tcPr>
            <w:tcW w:w="0" w:type="auto"/>
            <w:tcBorders>
              <w:top w:val="nil"/>
              <w:left w:val="nil"/>
              <w:bottom w:val="single" w:sz="8" w:space="0" w:color="auto"/>
              <w:right w:val="single" w:sz="8" w:space="0" w:color="auto"/>
            </w:tcBorders>
            <w:shd w:val="clear" w:color="auto" w:fill="auto"/>
            <w:noWrap/>
            <w:vAlign w:val="center"/>
            <w:hideMark/>
          </w:tcPr>
          <w:p w14:paraId="15F045CA"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(0.06)</w:t>
            </w:r>
          </w:p>
        </w:tc>
        <w:tc>
          <w:tcPr>
            <w:tcW w:w="0" w:type="auto"/>
            <w:tcBorders>
              <w:top w:val="nil"/>
              <w:left w:val="nil"/>
              <w:bottom w:val="single" w:sz="8" w:space="0" w:color="auto"/>
              <w:right w:val="single" w:sz="8" w:space="0" w:color="auto"/>
            </w:tcBorders>
            <w:shd w:val="clear" w:color="auto" w:fill="auto"/>
            <w:noWrap/>
            <w:vAlign w:val="center"/>
            <w:hideMark/>
          </w:tcPr>
          <w:p w14:paraId="3DB20C68"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(0.06)</w:t>
            </w:r>
          </w:p>
        </w:tc>
        <w:tc>
          <w:tcPr>
            <w:tcW w:w="0" w:type="auto"/>
            <w:tcBorders>
              <w:top w:val="nil"/>
              <w:left w:val="nil"/>
              <w:bottom w:val="single" w:sz="8" w:space="0" w:color="auto"/>
              <w:right w:val="single" w:sz="4" w:space="0" w:color="auto"/>
            </w:tcBorders>
            <w:shd w:val="clear" w:color="auto" w:fill="auto"/>
            <w:noWrap/>
            <w:vAlign w:val="center"/>
            <w:hideMark/>
          </w:tcPr>
          <w:p w14:paraId="7292CA32"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(0.08)</w:t>
            </w:r>
          </w:p>
        </w:tc>
        <w:tc>
          <w:tcPr>
            <w:tcW w:w="0" w:type="auto"/>
            <w:tcBorders>
              <w:top w:val="nil"/>
              <w:left w:val="nil"/>
              <w:bottom w:val="single" w:sz="8" w:space="0" w:color="auto"/>
              <w:right w:val="single" w:sz="4" w:space="0" w:color="auto"/>
            </w:tcBorders>
            <w:shd w:val="clear" w:color="auto" w:fill="auto"/>
            <w:noWrap/>
            <w:vAlign w:val="center"/>
            <w:hideMark/>
          </w:tcPr>
          <w:p w14:paraId="0463C6E5"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(0.06)</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02D1F3DF"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(0.06)</w:t>
            </w:r>
          </w:p>
        </w:tc>
        <w:tc>
          <w:tcPr>
            <w:tcW w:w="0" w:type="auto"/>
            <w:tcBorders>
              <w:top w:val="nil"/>
              <w:left w:val="nil"/>
              <w:bottom w:val="single" w:sz="8" w:space="0" w:color="auto"/>
              <w:right w:val="single" w:sz="8" w:space="0" w:color="auto"/>
            </w:tcBorders>
            <w:shd w:val="clear" w:color="auto" w:fill="auto"/>
            <w:noWrap/>
            <w:vAlign w:val="center"/>
            <w:hideMark/>
          </w:tcPr>
          <w:p w14:paraId="4B8559B9"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(0.06)</w:t>
            </w:r>
          </w:p>
        </w:tc>
        <w:tc>
          <w:tcPr>
            <w:tcW w:w="0" w:type="auto"/>
            <w:tcBorders>
              <w:top w:val="nil"/>
              <w:left w:val="nil"/>
              <w:bottom w:val="single" w:sz="8" w:space="0" w:color="auto"/>
            </w:tcBorders>
            <w:shd w:val="clear" w:color="auto" w:fill="auto"/>
            <w:noWrap/>
            <w:vAlign w:val="center"/>
            <w:hideMark/>
          </w:tcPr>
          <w:p w14:paraId="55CFF263"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(0.08)</w:t>
            </w:r>
          </w:p>
        </w:tc>
      </w:tr>
      <w:tr w:rsidR="00141E0C" w:rsidRPr="00D6457A" w14:paraId="0A1743CD" w14:textId="77777777" w:rsidTr="00357B45">
        <w:trPr>
          <w:trHeight w:val="274"/>
        </w:trPr>
        <w:tc>
          <w:tcPr>
            <w:tcW w:w="0" w:type="auto"/>
            <w:tcBorders>
              <w:top w:val="nil"/>
              <w:left w:val="nil"/>
              <w:bottom w:val="nil"/>
              <w:right w:val="single" w:sz="4" w:space="0" w:color="auto"/>
            </w:tcBorders>
            <w:shd w:val="clear" w:color="auto" w:fill="auto"/>
            <w:noWrap/>
            <w:vAlign w:val="center"/>
            <w:hideMark/>
          </w:tcPr>
          <w:p w14:paraId="06BE2782" w14:textId="77777777" w:rsidR="00141E0C" w:rsidRPr="00D6457A" w:rsidRDefault="00141E0C" w:rsidP="00357B45">
            <w:pPr>
              <w:spacing w:after="0" w:line="240" w:lineRule="auto"/>
              <w:jc w:val="right"/>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N</w:t>
            </w:r>
          </w:p>
        </w:tc>
        <w:tc>
          <w:tcPr>
            <w:tcW w:w="0" w:type="auto"/>
            <w:tcBorders>
              <w:top w:val="single" w:sz="8" w:space="0" w:color="auto"/>
              <w:left w:val="single" w:sz="4" w:space="0" w:color="auto"/>
              <w:bottom w:val="nil"/>
              <w:right w:val="single" w:sz="4" w:space="0" w:color="auto"/>
            </w:tcBorders>
            <w:shd w:val="clear" w:color="auto" w:fill="auto"/>
            <w:noWrap/>
            <w:vAlign w:val="center"/>
            <w:hideMark/>
          </w:tcPr>
          <w:p w14:paraId="47FE5C40"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406</w:t>
            </w:r>
          </w:p>
        </w:tc>
        <w:tc>
          <w:tcPr>
            <w:tcW w:w="0" w:type="auto"/>
            <w:tcBorders>
              <w:top w:val="single" w:sz="8" w:space="0" w:color="auto"/>
              <w:left w:val="single" w:sz="4" w:space="0" w:color="auto"/>
              <w:bottom w:val="nil"/>
              <w:right w:val="single" w:sz="4" w:space="0" w:color="auto"/>
            </w:tcBorders>
            <w:shd w:val="clear" w:color="auto" w:fill="auto"/>
            <w:noWrap/>
            <w:vAlign w:val="center"/>
            <w:hideMark/>
          </w:tcPr>
          <w:p w14:paraId="0425DBAB"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406</w:t>
            </w:r>
          </w:p>
        </w:tc>
        <w:tc>
          <w:tcPr>
            <w:tcW w:w="0" w:type="auto"/>
            <w:tcBorders>
              <w:top w:val="single" w:sz="8" w:space="0" w:color="auto"/>
              <w:left w:val="single" w:sz="4" w:space="0" w:color="auto"/>
              <w:bottom w:val="nil"/>
              <w:right w:val="single" w:sz="4" w:space="0" w:color="auto"/>
            </w:tcBorders>
            <w:shd w:val="clear" w:color="auto" w:fill="auto"/>
            <w:noWrap/>
            <w:vAlign w:val="center"/>
            <w:hideMark/>
          </w:tcPr>
          <w:p w14:paraId="3B68EF7C"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399</w:t>
            </w:r>
          </w:p>
        </w:tc>
        <w:tc>
          <w:tcPr>
            <w:tcW w:w="0" w:type="auto"/>
            <w:tcBorders>
              <w:top w:val="nil"/>
              <w:left w:val="single" w:sz="4" w:space="0" w:color="auto"/>
              <w:bottom w:val="nil"/>
              <w:right w:val="single" w:sz="4" w:space="0" w:color="auto"/>
            </w:tcBorders>
            <w:shd w:val="clear" w:color="auto" w:fill="auto"/>
            <w:noWrap/>
            <w:vAlign w:val="center"/>
            <w:hideMark/>
          </w:tcPr>
          <w:p w14:paraId="43B84303"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406</w:t>
            </w:r>
          </w:p>
        </w:tc>
        <w:tc>
          <w:tcPr>
            <w:tcW w:w="0" w:type="auto"/>
            <w:tcBorders>
              <w:top w:val="single" w:sz="8" w:space="0" w:color="auto"/>
              <w:left w:val="nil"/>
              <w:bottom w:val="nil"/>
              <w:right w:val="single" w:sz="4" w:space="0" w:color="auto"/>
            </w:tcBorders>
            <w:shd w:val="clear" w:color="auto" w:fill="auto"/>
            <w:noWrap/>
            <w:vAlign w:val="center"/>
            <w:hideMark/>
          </w:tcPr>
          <w:p w14:paraId="0EEF9133"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406</w:t>
            </w:r>
          </w:p>
        </w:tc>
        <w:tc>
          <w:tcPr>
            <w:tcW w:w="0" w:type="auto"/>
            <w:tcBorders>
              <w:top w:val="single" w:sz="8" w:space="0" w:color="auto"/>
              <w:left w:val="single" w:sz="4" w:space="0" w:color="auto"/>
              <w:bottom w:val="nil"/>
              <w:right w:val="single" w:sz="4" w:space="0" w:color="auto"/>
            </w:tcBorders>
            <w:shd w:val="clear" w:color="auto" w:fill="auto"/>
            <w:noWrap/>
            <w:vAlign w:val="center"/>
            <w:hideMark/>
          </w:tcPr>
          <w:p w14:paraId="17A21378"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406</w:t>
            </w:r>
          </w:p>
        </w:tc>
        <w:tc>
          <w:tcPr>
            <w:tcW w:w="0" w:type="auto"/>
            <w:tcBorders>
              <w:top w:val="single" w:sz="8" w:space="0" w:color="auto"/>
              <w:left w:val="single" w:sz="4" w:space="0" w:color="auto"/>
              <w:bottom w:val="nil"/>
              <w:right w:val="single" w:sz="4" w:space="0" w:color="auto"/>
            </w:tcBorders>
            <w:shd w:val="clear" w:color="auto" w:fill="auto"/>
            <w:noWrap/>
            <w:vAlign w:val="center"/>
            <w:hideMark/>
          </w:tcPr>
          <w:p w14:paraId="3FD19013"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399</w:t>
            </w:r>
          </w:p>
        </w:tc>
        <w:tc>
          <w:tcPr>
            <w:tcW w:w="0" w:type="auto"/>
            <w:tcBorders>
              <w:top w:val="nil"/>
              <w:left w:val="single" w:sz="4" w:space="0" w:color="auto"/>
              <w:bottom w:val="nil"/>
              <w:right w:val="single" w:sz="4" w:space="0" w:color="auto"/>
            </w:tcBorders>
            <w:shd w:val="clear" w:color="auto" w:fill="auto"/>
            <w:noWrap/>
            <w:vAlign w:val="center"/>
            <w:hideMark/>
          </w:tcPr>
          <w:p w14:paraId="65910C8E"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406</w:t>
            </w:r>
          </w:p>
        </w:tc>
        <w:tc>
          <w:tcPr>
            <w:tcW w:w="0" w:type="auto"/>
            <w:tcBorders>
              <w:top w:val="nil"/>
              <w:left w:val="nil"/>
              <w:bottom w:val="nil"/>
              <w:right w:val="single" w:sz="4" w:space="0" w:color="auto"/>
            </w:tcBorders>
            <w:shd w:val="clear" w:color="auto" w:fill="auto"/>
            <w:noWrap/>
            <w:vAlign w:val="center"/>
            <w:hideMark/>
          </w:tcPr>
          <w:p w14:paraId="089B93C2"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406</w:t>
            </w:r>
          </w:p>
        </w:tc>
        <w:tc>
          <w:tcPr>
            <w:tcW w:w="0" w:type="auto"/>
            <w:tcBorders>
              <w:top w:val="single" w:sz="8" w:space="0" w:color="auto"/>
              <w:left w:val="single" w:sz="4" w:space="0" w:color="auto"/>
              <w:bottom w:val="nil"/>
              <w:right w:val="single" w:sz="4" w:space="0" w:color="auto"/>
            </w:tcBorders>
            <w:shd w:val="clear" w:color="auto" w:fill="auto"/>
            <w:noWrap/>
            <w:vAlign w:val="center"/>
            <w:hideMark/>
          </w:tcPr>
          <w:p w14:paraId="538029BB"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406</w:t>
            </w:r>
          </w:p>
        </w:tc>
        <w:tc>
          <w:tcPr>
            <w:tcW w:w="0" w:type="auto"/>
            <w:tcBorders>
              <w:top w:val="single" w:sz="8" w:space="0" w:color="auto"/>
              <w:left w:val="single" w:sz="4" w:space="0" w:color="auto"/>
              <w:bottom w:val="nil"/>
              <w:right w:val="single" w:sz="4" w:space="0" w:color="auto"/>
            </w:tcBorders>
            <w:shd w:val="clear" w:color="auto" w:fill="auto"/>
            <w:noWrap/>
            <w:vAlign w:val="center"/>
            <w:hideMark/>
          </w:tcPr>
          <w:p w14:paraId="76CDC3DF"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399</w:t>
            </w:r>
          </w:p>
        </w:tc>
        <w:tc>
          <w:tcPr>
            <w:tcW w:w="0" w:type="auto"/>
            <w:tcBorders>
              <w:top w:val="nil"/>
              <w:left w:val="single" w:sz="4" w:space="0" w:color="auto"/>
              <w:bottom w:val="nil"/>
              <w:right w:val="nil"/>
            </w:tcBorders>
            <w:shd w:val="clear" w:color="auto" w:fill="auto"/>
            <w:noWrap/>
            <w:vAlign w:val="center"/>
            <w:hideMark/>
          </w:tcPr>
          <w:p w14:paraId="4EE03327"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406</w:t>
            </w:r>
          </w:p>
        </w:tc>
      </w:tr>
      <w:tr w:rsidR="00141E0C" w:rsidRPr="00D6457A" w14:paraId="0DAF80B0" w14:textId="77777777" w:rsidTr="00357B45">
        <w:trPr>
          <w:trHeight w:val="274"/>
        </w:trPr>
        <w:tc>
          <w:tcPr>
            <w:tcW w:w="0" w:type="auto"/>
            <w:tcBorders>
              <w:top w:val="nil"/>
              <w:left w:val="nil"/>
              <w:bottom w:val="nil"/>
              <w:right w:val="single" w:sz="4" w:space="0" w:color="auto"/>
            </w:tcBorders>
            <w:shd w:val="clear" w:color="auto" w:fill="auto"/>
            <w:noWrap/>
            <w:vAlign w:val="center"/>
            <w:hideMark/>
          </w:tcPr>
          <w:p w14:paraId="3990C0C7" w14:textId="77777777" w:rsidR="00141E0C" w:rsidRPr="00D6457A" w:rsidRDefault="00141E0C" w:rsidP="00357B45">
            <w:pPr>
              <w:spacing w:after="0" w:line="240" w:lineRule="auto"/>
              <w:jc w:val="right"/>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J-</w:t>
            </w:r>
            <w:proofErr w:type="spellStart"/>
            <w:r w:rsidRPr="00D6457A">
              <w:rPr>
                <w:rFonts w:ascii="Times New Roman" w:eastAsia="Times New Roman" w:hAnsi="Times New Roman" w:cs="Times New Roman"/>
                <w:b/>
                <w:bCs/>
                <w:color w:val="000000"/>
                <w:sz w:val="18"/>
                <w:szCs w:val="18"/>
                <w:lang w:eastAsia="en-GB"/>
              </w:rPr>
              <w:t>statistic</w:t>
            </w:r>
            <w:proofErr w:type="spellEnd"/>
          </w:p>
        </w:tc>
        <w:tc>
          <w:tcPr>
            <w:tcW w:w="0" w:type="auto"/>
            <w:tcBorders>
              <w:top w:val="nil"/>
              <w:left w:val="single" w:sz="4" w:space="0" w:color="auto"/>
              <w:bottom w:val="nil"/>
              <w:right w:val="single" w:sz="4" w:space="0" w:color="auto"/>
            </w:tcBorders>
            <w:shd w:val="clear" w:color="auto" w:fill="auto"/>
            <w:noWrap/>
            <w:vAlign w:val="center"/>
            <w:hideMark/>
          </w:tcPr>
          <w:p w14:paraId="014059B4"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14.7</w:t>
            </w:r>
          </w:p>
        </w:tc>
        <w:tc>
          <w:tcPr>
            <w:tcW w:w="0" w:type="auto"/>
            <w:tcBorders>
              <w:top w:val="nil"/>
              <w:left w:val="single" w:sz="4" w:space="0" w:color="auto"/>
              <w:bottom w:val="nil"/>
              <w:right w:val="single" w:sz="4" w:space="0" w:color="auto"/>
            </w:tcBorders>
            <w:shd w:val="clear" w:color="auto" w:fill="auto"/>
            <w:noWrap/>
            <w:vAlign w:val="center"/>
            <w:hideMark/>
          </w:tcPr>
          <w:p w14:paraId="1CBE05D7"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17.1</w:t>
            </w:r>
          </w:p>
        </w:tc>
        <w:tc>
          <w:tcPr>
            <w:tcW w:w="0" w:type="auto"/>
            <w:tcBorders>
              <w:top w:val="nil"/>
              <w:left w:val="single" w:sz="4" w:space="0" w:color="auto"/>
              <w:bottom w:val="nil"/>
              <w:right w:val="single" w:sz="4" w:space="0" w:color="auto"/>
            </w:tcBorders>
            <w:shd w:val="clear" w:color="auto" w:fill="auto"/>
            <w:noWrap/>
            <w:vAlign w:val="center"/>
            <w:hideMark/>
          </w:tcPr>
          <w:p w14:paraId="40F2CC78"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9.05</w:t>
            </w:r>
          </w:p>
        </w:tc>
        <w:tc>
          <w:tcPr>
            <w:tcW w:w="0" w:type="auto"/>
            <w:tcBorders>
              <w:top w:val="nil"/>
              <w:left w:val="single" w:sz="4" w:space="0" w:color="auto"/>
              <w:bottom w:val="nil"/>
              <w:right w:val="single" w:sz="4" w:space="0" w:color="auto"/>
            </w:tcBorders>
            <w:shd w:val="clear" w:color="auto" w:fill="auto"/>
            <w:noWrap/>
            <w:vAlign w:val="center"/>
            <w:hideMark/>
          </w:tcPr>
          <w:p w14:paraId="3D9AE1E3"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14.8</w:t>
            </w:r>
          </w:p>
        </w:tc>
        <w:tc>
          <w:tcPr>
            <w:tcW w:w="0" w:type="auto"/>
            <w:tcBorders>
              <w:top w:val="nil"/>
              <w:left w:val="nil"/>
              <w:bottom w:val="nil"/>
              <w:right w:val="single" w:sz="4" w:space="0" w:color="auto"/>
            </w:tcBorders>
            <w:shd w:val="clear" w:color="auto" w:fill="auto"/>
            <w:noWrap/>
            <w:vAlign w:val="center"/>
            <w:hideMark/>
          </w:tcPr>
          <w:p w14:paraId="79D88BCA"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44.7</w:t>
            </w:r>
          </w:p>
        </w:tc>
        <w:tc>
          <w:tcPr>
            <w:tcW w:w="0" w:type="auto"/>
            <w:tcBorders>
              <w:top w:val="nil"/>
              <w:left w:val="single" w:sz="4" w:space="0" w:color="auto"/>
              <w:bottom w:val="nil"/>
              <w:right w:val="single" w:sz="4" w:space="0" w:color="auto"/>
            </w:tcBorders>
            <w:shd w:val="clear" w:color="auto" w:fill="auto"/>
            <w:noWrap/>
            <w:vAlign w:val="center"/>
            <w:hideMark/>
          </w:tcPr>
          <w:p w14:paraId="0377CBC8"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45</w:t>
            </w:r>
          </w:p>
        </w:tc>
        <w:tc>
          <w:tcPr>
            <w:tcW w:w="0" w:type="auto"/>
            <w:tcBorders>
              <w:top w:val="nil"/>
              <w:left w:val="single" w:sz="4" w:space="0" w:color="auto"/>
              <w:bottom w:val="nil"/>
              <w:right w:val="single" w:sz="4" w:space="0" w:color="auto"/>
            </w:tcBorders>
            <w:shd w:val="clear" w:color="auto" w:fill="auto"/>
            <w:noWrap/>
            <w:vAlign w:val="center"/>
            <w:hideMark/>
          </w:tcPr>
          <w:p w14:paraId="25D173D3"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54.4</w:t>
            </w:r>
          </w:p>
        </w:tc>
        <w:tc>
          <w:tcPr>
            <w:tcW w:w="0" w:type="auto"/>
            <w:tcBorders>
              <w:top w:val="nil"/>
              <w:left w:val="single" w:sz="4" w:space="0" w:color="auto"/>
              <w:bottom w:val="nil"/>
              <w:right w:val="single" w:sz="4" w:space="0" w:color="auto"/>
            </w:tcBorders>
            <w:shd w:val="clear" w:color="auto" w:fill="auto"/>
            <w:noWrap/>
            <w:vAlign w:val="center"/>
            <w:hideMark/>
          </w:tcPr>
          <w:p w14:paraId="6F553A05"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49.7</w:t>
            </w:r>
          </w:p>
        </w:tc>
        <w:tc>
          <w:tcPr>
            <w:tcW w:w="0" w:type="auto"/>
            <w:tcBorders>
              <w:top w:val="nil"/>
              <w:left w:val="nil"/>
              <w:bottom w:val="nil"/>
              <w:right w:val="single" w:sz="4" w:space="0" w:color="auto"/>
            </w:tcBorders>
            <w:shd w:val="clear" w:color="auto" w:fill="auto"/>
            <w:noWrap/>
            <w:vAlign w:val="center"/>
            <w:hideMark/>
          </w:tcPr>
          <w:p w14:paraId="339FBFE3"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44.7</w:t>
            </w:r>
          </w:p>
        </w:tc>
        <w:tc>
          <w:tcPr>
            <w:tcW w:w="0" w:type="auto"/>
            <w:tcBorders>
              <w:top w:val="nil"/>
              <w:left w:val="single" w:sz="4" w:space="0" w:color="auto"/>
              <w:bottom w:val="nil"/>
              <w:right w:val="single" w:sz="4" w:space="0" w:color="auto"/>
            </w:tcBorders>
            <w:shd w:val="clear" w:color="auto" w:fill="auto"/>
            <w:noWrap/>
            <w:vAlign w:val="center"/>
            <w:hideMark/>
          </w:tcPr>
          <w:p w14:paraId="12913ADD"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45</w:t>
            </w:r>
          </w:p>
        </w:tc>
        <w:tc>
          <w:tcPr>
            <w:tcW w:w="0" w:type="auto"/>
            <w:tcBorders>
              <w:top w:val="nil"/>
              <w:left w:val="single" w:sz="4" w:space="0" w:color="auto"/>
              <w:bottom w:val="nil"/>
              <w:right w:val="single" w:sz="4" w:space="0" w:color="auto"/>
            </w:tcBorders>
            <w:shd w:val="clear" w:color="auto" w:fill="auto"/>
            <w:noWrap/>
            <w:vAlign w:val="center"/>
            <w:hideMark/>
          </w:tcPr>
          <w:p w14:paraId="688BEA21"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54.4</w:t>
            </w:r>
          </w:p>
        </w:tc>
        <w:tc>
          <w:tcPr>
            <w:tcW w:w="0" w:type="auto"/>
            <w:tcBorders>
              <w:top w:val="nil"/>
              <w:left w:val="single" w:sz="4" w:space="0" w:color="auto"/>
              <w:bottom w:val="nil"/>
              <w:right w:val="nil"/>
            </w:tcBorders>
            <w:shd w:val="clear" w:color="auto" w:fill="auto"/>
            <w:noWrap/>
            <w:vAlign w:val="center"/>
            <w:hideMark/>
          </w:tcPr>
          <w:p w14:paraId="5AA1D685"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49.7</w:t>
            </w:r>
          </w:p>
        </w:tc>
      </w:tr>
      <w:tr w:rsidR="00141E0C" w:rsidRPr="00D6457A" w14:paraId="0A428577" w14:textId="77777777" w:rsidTr="00357B45">
        <w:trPr>
          <w:trHeight w:val="274"/>
        </w:trPr>
        <w:tc>
          <w:tcPr>
            <w:tcW w:w="0" w:type="auto"/>
            <w:tcBorders>
              <w:top w:val="nil"/>
              <w:left w:val="nil"/>
              <w:bottom w:val="nil"/>
              <w:right w:val="single" w:sz="4" w:space="0" w:color="auto"/>
            </w:tcBorders>
            <w:shd w:val="clear" w:color="auto" w:fill="auto"/>
            <w:noWrap/>
            <w:vAlign w:val="center"/>
            <w:hideMark/>
          </w:tcPr>
          <w:p w14:paraId="20E8A7A5" w14:textId="77777777" w:rsidR="00141E0C" w:rsidRPr="00D6457A" w:rsidRDefault="00141E0C" w:rsidP="00357B45">
            <w:pPr>
              <w:spacing w:after="0" w:line="240" w:lineRule="auto"/>
              <w:jc w:val="right"/>
              <w:rPr>
                <w:rFonts w:ascii="Times New Roman" w:eastAsia="Times New Roman" w:hAnsi="Times New Roman" w:cs="Times New Roman"/>
                <w:b/>
                <w:bCs/>
                <w:color w:val="000000"/>
                <w:sz w:val="18"/>
                <w:szCs w:val="18"/>
                <w:lang w:eastAsia="en-GB"/>
              </w:rPr>
            </w:pPr>
            <w:proofErr w:type="spellStart"/>
            <w:r w:rsidRPr="00D6457A">
              <w:rPr>
                <w:rFonts w:ascii="Times New Roman" w:eastAsia="Times New Roman" w:hAnsi="Times New Roman" w:cs="Times New Roman"/>
                <w:b/>
                <w:bCs/>
                <w:color w:val="000000"/>
                <w:sz w:val="18"/>
                <w:szCs w:val="18"/>
                <w:lang w:eastAsia="en-GB"/>
              </w:rPr>
              <w:t>Jdf</w:t>
            </w:r>
            <w:proofErr w:type="spellEnd"/>
            <w:r w:rsidRPr="00D6457A">
              <w:rPr>
                <w:rFonts w:ascii="Times New Roman" w:eastAsia="Times New Roman" w:hAnsi="Times New Roman" w:cs="Times New Roman"/>
                <w:b/>
                <w:bCs/>
                <w:color w:val="000000"/>
                <w:sz w:val="18"/>
                <w:szCs w:val="18"/>
                <w:lang w:eastAsia="en-GB"/>
              </w:rPr>
              <w:t xml:space="preserve"> </w:t>
            </w:r>
          </w:p>
        </w:tc>
        <w:tc>
          <w:tcPr>
            <w:tcW w:w="0" w:type="auto"/>
            <w:tcBorders>
              <w:top w:val="nil"/>
              <w:left w:val="single" w:sz="4" w:space="0" w:color="auto"/>
              <w:bottom w:val="nil"/>
              <w:right w:val="single" w:sz="4" w:space="0" w:color="auto"/>
            </w:tcBorders>
            <w:shd w:val="clear" w:color="auto" w:fill="auto"/>
            <w:noWrap/>
            <w:vAlign w:val="center"/>
            <w:hideMark/>
          </w:tcPr>
          <w:p w14:paraId="18743844"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11</w:t>
            </w:r>
          </w:p>
        </w:tc>
        <w:tc>
          <w:tcPr>
            <w:tcW w:w="0" w:type="auto"/>
            <w:tcBorders>
              <w:top w:val="nil"/>
              <w:left w:val="single" w:sz="4" w:space="0" w:color="auto"/>
              <w:bottom w:val="nil"/>
              <w:right w:val="single" w:sz="4" w:space="0" w:color="auto"/>
            </w:tcBorders>
            <w:shd w:val="clear" w:color="auto" w:fill="auto"/>
            <w:noWrap/>
            <w:vAlign w:val="center"/>
            <w:hideMark/>
          </w:tcPr>
          <w:p w14:paraId="3D9F3B94"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11</w:t>
            </w:r>
          </w:p>
        </w:tc>
        <w:tc>
          <w:tcPr>
            <w:tcW w:w="0" w:type="auto"/>
            <w:tcBorders>
              <w:top w:val="nil"/>
              <w:left w:val="single" w:sz="4" w:space="0" w:color="auto"/>
              <w:bottom w:val="nil"/>
              <w:right w:val="single" w:sz="4" w:space="0" w:color="auto"/>
            </w:tcBorders>
            <w:shd w:val="clear" w:color="auto" w:fill="auto"/>
            <w:noWrap/>
            <w:vAlign w:val="bottom"/>
            <w:hideMark/>
          </w:tcPr>
          <w:p w14:paraId="20BD836B"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11</w:t>
            </w:r>
          </w:p>
        </w:tc>
        <w:tc>
          <w:tcPr>
            <w:tcW w:w="0" w:type="auto"/>
            <w:tcBorders>
              <w:top w:val="nil"/>
              <w:left w:val="single" w:sz="4" w:space="0" w:color="auto"/>
              <w:bottom w:val="nil"/>
              <w:right w:val="single" w:sz="4" w:space="0" w:color="auto"/>
            </w:tcBorders>
            <w:shd w:val="clear" w:color="auto" w:fill="auto"/>
            <w:noWrap/>
            <w:vAlign w:val="center"/>
            <w:hideMark/>
          </w:tcPr>
          <w:p w14:paraId="216773DE"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11</w:t>
            </w:r>
          </w:p>
        </w:tc>
        <w:tc>
          <w:tcPr>
            <w:tcW w:w="0" w:type="auto"/>
            <w:tcBorders>
              <w:top w:val="nil"/>
              <w:left w:val="nil"/>
              <w:bottom w:val="nil"/>
              <w:right w:val="single" w:sz="4" w:space="0" w:color="auto"/>
            </w:tcBorders>
            <w:shd w:val="clear" w:color="auto" w:fill="auto"/>
            <w:noWrap/>
            <w:vAlign w:val="center"/>
            <w:hideMark/>
          </w:tcPr>
          <w:p w14:paraId="18D4D6E1"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44</w:t>
            </w:r>
          </w:p>
        </w:tc>
        <w:tc>
          <w:tcPr>
            <w:tcW w:w="0" w:type="auto"/>
            <w:tcBorders>
              <w:top w:val="nil"/>
              <w:left w:val="single" w:sz="4" w:space="0" w:color="auto"/>
              <w:bottom w:val="nil"/>
              <w:right w:val="single" w:sz="4" w:space="0" w:color="auto"/>
            </w:tcBorders>
            <w:shd w:val="clear" w:color="auto" w:fill="auto"/>
            <w:noWrap/>
            <w:vAlign w:val="center"/>
            <w:hideMark/>
          </w:tcPr>
          <w:p w14:paraId="3844374D"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44</w:t>
            </w:r>
          </w:p>
        </w:tc>
        <w:tc>
          <w:tcPr>
            <w:tcW w:w="0" w:type="auto"/>
            <w:tcBorders>
              <w:top w:val="nil"/>
              <w:left w:val="single" w:sz="4" w:space="0" w:color="auto"/>
              <w:bottom w:val="nil"/>
              <w:right w:val="single" w:sz="4" w:space="0" w:color="auto"/>
            </w:tcBorders>
            <w:shd w:val="clear" w:color="auto" w:fill="auto"/>
            <w:noWrap/>
            <w:vAlign w:val="center"/>
            <w:hideMark/>
          </w:tcPr>
          <w:p w14:paraId="2C0A5C57"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44</w:t>
            </w:r>
          </w:p>
        </w:tc>
        <w:tc>
          <w:tcPr>
            <w:tcW w:w="0" w:type="auto"/>
            <w:tcBorders>
              <w:top w:val="nil"/>
              <w:left w:val="single" w:sz="4" w:space="0" w:color="auto"/>
              <w:bottom w:val="nil"/>
              <w:right w:val="single" w:sz="4" w:space="0" w:color="auto"/>
            </w:tcBorders>
            <w:shd w:val="clear" w:color="auto" w:fill="auto"/>
            <w:noWrap/>
            <w:vAlign w:val="center"/>
            <w:hideMark/>
          </w:tcPr>
          <w:p w14:paraId="24854781"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44</w:t>
            </w:r>
          </w:p>
        </w:tc>
        <w:tc>
          <w:tcPr>
            <w:tcW w:w="0" w:type="auto"/>
            <w:tcBorders>
              <w:top w:val="nil"/>
              <w:left w:val="nil"/>
              <w:bottom w:val="nil"/>
              <w:right w:val="single" w:sz="4" w:space="0" w:color="auto"/>
            </w:tcBorders>
            <w:shd w:val="clear" w:color="auto" w:fill="auto"/>
            <w:noWrap/>
            <w:vAlign w:val="center"/>
            <w:hideMark/>
          </w:tcPr>
          <w:p w14:paraId="2814E7CC"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44</w:t>
            </w:r>
          </w:p>
        </w:tc>
        <w:tc>
          <w:tcPr>
            <w:tcW w:w="0" w:type="auto"/>
            <w:tcBorders>
              <w:top w:val="nil"/>
              <w:left w:val="single" w:sz="4" w:space="0" w:color="auto"/>
              <w:bottom w:val="nil"/>
              <w:right w:val="single" w:sz="4" w:space="0" w:color="auto"/>
            </w:tcBorders>
            <w:shd w:val="clear" w:color="auto" w:fill="auto"/>
            <w:noWrap/>
            <w:vAlign w:val="center"/>
            <w:hideMark/>
          </w:tcPr>
          <w:p w14:paraId="450D3EF9"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44</w:t>
            </w:r>
          </w:p>
        </w:tc>
        <w:tc>
          <w:tcPr>
            <w:tcW w:w="0" w:type="auto"/>
            <w:tcBorders>
              <w:top w:val="nil"/>
              <w:left w:val="single" w:sz="4" w:space="0" w:color="auto"/>
              <w:bottom w:val="nil"/>
              <w:right w:val="single" w:sz="4" w:space="0" w:color="auto"/>
            </w:tcBorders>
            <w:shd w:val="clear" w:color="auto" w:fill="auto"/>
            <w:noWrap/>
            <w:vAlign w:val="center"/>
            <w:hideMark/>
          </w:tcPr>
          <w:p w14:paraId="2835A356"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44</w:t>
            </w:r>
          </w:p>
        </w:tc>
        <w:tc>
          <w:tcPr>
            <w:tcW w:w="0" w:type="auto"/>
            <w:tcBorders>
              <w:top w:val="nil"/>
              <w:left w:val="single" w:sz="4" w:space="0" w:color="auto"/>
              <w:bottom w:val="nil"/>
              <w:right w:val="nil"/>
            </w:tcBorders>
            <w:shd w:val="clear" w:color="auto" w:fill="auto"/>
            <w:noWrap/>
            <w:vAlign w:val="center"/>
            <w:hideMark/>
          </w:tcPr>
          <w:p w14:paraId="2CC7DBA8"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44</w:t>
            </w:r>
          </w:p>
        </w:tc>
      </w:tr>
      <w:tr w:rsidR="00141E0C" w:rsidRPr="00D6457A" w14:paraId="109BD893" w14:textId="77777777" w:rsidTr="00357B45">
        <w:trPr>
          <w:trHeight w:val="287"/>
        </w:trPr>
        <w:tc>
          <w:tcPr>
            <w:tcW w:w="0" w:type="auto"/>
            <w:tcBorders>
              <w:top w:val="nil"/>
              <w:left w:val="nil"/>
              <w:bottom w:val="single" w:sz="8" w:space="0" w:color="auto"/>
              <w:right w:val="single" w:sz="4" w:space="0" w:color="auto"/>
            </w:tcBorders>
            <w:shd w:val="clear" w:color="auto" w:fill="auto"/>
            <w:noWrap/>
            <w:vAlign w:val="center"/>
            <w:hideMark/>
          </w:tcPr>
          <w:p w14:paraId="3506DA02" w14:textId="77777777" w:rsidR="00141E0C" w:rsidRPr="00D6457A" w:rsidRDefault="00141E0C" w:rsidP="00357B45">
            <w:pPr>
              <w:spacing w:after="0" w:line="240" w:lineRule="auto"/>
              <w:jc w:val="right"/>
              <w:rPr>
                <w:rFonts w:ascii="Times New Roman" w:eastAsia="Times New Roman" w:hAnsi="Times New Roman" w:cs="Times New Roman"/>
                <w:b/>
                <w:bCs/>
                <w:i/>
                <w:iCs/>
                <w:color w:val="000000"/>
                <w:sz w:val="18"/>
                <w:szCs w:val="18"/>
                <w:lang w:eastAsia="en-GB"/>
              </w:rPr>
            </w:pPr>
            <w:r w:rsidRPr="00D6457A">
              <w:rPr>
                <w:rFonts w:ascii="Times New Roman" w:eastAsia="Times New Roman" w:hAnsi="Times New Roman" w:cs="Times New Roman"/>
                <w:b/>
                <w:bCs/>
                <w:i/>
                <w:iCs/>
                <w:color w:val="000000"/>
                <w:sz w:val="18"/>
                <w:szCs w:val="18"/>
                <w:lang w:eastAsia="en-GB"/>
              </w:rPr>
              <w:t>p-</w:t>
            </w:r>
            <w:proofErr w:type="spellStart"/>
            <w:r w:rsidRPr="00D6457A">
              <w:rPr>
                <w:rFonts w:ascii="Times New Roman" w:eastAsia="Times New Roman" w:hAnsi="Times New Roman" w:cs="Times New Roman"/>
                <w:b/>
                <w:bCs/>
                <w:i/>
                <w:iCs/>
                <w:color w:val="000000"/>
                <w:sz w:val="18"/>
                <w:szCs w:val="18"/>
                <w:lang w:eastAsia="en-GB"/>
              </w:rPr>
              <w:t>value</w:t>
            </w:r>
            <w:proofErr w:type="spellEnd"/>
            <w:r w:rsidRPr="00D6457A">
              <w:rPr>
                <w:rFonts w:ascii="Times New Roman" w:eastAsia="Times New Roman" w:hAnsi="Times New Roman" w:cs="Times New Roman"/>
                <w:b/>
                <w:bCs/>
                <w:i/>
                <w:iCs/>
                <w:color w:val="000000"/>
                <w:sz w:val="18"/>
                <w:szCs w:val="18"/>
                <w:lang w:eastAsia="en-GB"/>
              </w:rPr>
              <w:t xml:space="preserve"> </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62E645E8"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0.196</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3714C48D"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0.105</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32C524F3"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0.617</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50273BF1"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0.194</w:t>
            </w:r>
          </w:p>
        </w:tc>
        <w:tc>
          <w:tcPr>
            <w:tcW w:w="0" w:type="auto"/>
            <w:tcBorders>
              <w:top w:val="nil"/>
              <w:left w:val="nil"/>
              <w:bottom w:val="single" w:sz="8" w:space="0" w:color="auto"/>
              <w:right w:val="single" w:sz="4" w:space="0" w:color="auto"/>
            </w:tcBorders>
            <w:shd w:val="clear" w:color="auto" w:fill="auto"/>
            <w:noWrap/>
            <w:vAlign w:val="center"/>
            <w:hideMark/>
          </w:tcPr>
          <w:p w14:paraId="0C337933"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0.443</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2DBD5B8A"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0.429</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546D97F2"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0.136</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0B6AFE73"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0.258</w:t>
            </w:r>
          </w:p>
        </w:tc>
        <w:tc>
          <w:tcPr>
            <w:tcW w:w="0" w:type="auto"/>
            <w:tcBorders>
              <w:top w:val="nil"/>
              <w:left w:val="nil"/>
              <w:bottom w:val="single" w:sz="8" w:space="0" w:color="auto"/>
              <w:right w:val="single" w:sz="4" w:space="0" w:color="auto"/>
            </w:tcBorders>
            <w:shd w:val="clear" w:color="auto" w:fill="auto"/>
            <w:noWrap/>
            <w:vAlign w:val="center"/>
            <w:hideMark/>
          </w:tcPr>
          <w:p w14:paraId="22B04BF5"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0.443</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605EC919"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0.429</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2F55AEC8"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0.136</w:t>
            </w:r>
          </w:p>
        </w:tc>
        <w:tc>
          <w:tcPr>
            <w:tcW w:w="0" w:type="auto"/>
            <w:tcBorders>
              <w:top w:val="nil"/>
              <w:left w:val="single" w:sz="4" w:space="0" w:color="auto"/>
              <w:bottom w:val="single" w:sz="8" w:space="0" w:color="auto"/>
              <w:right w:val="nil"/>
            </w:tcBorders>
            <w:shd w:val="clear" w:color="auto" w:fill="auto"/>
            <w:noWrap/>
            <w:vAlign w:val="center"/>
            <w:hideMark/>
          </w:tcPr>
          <w:p w14:paraId="051EFB50"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0.258</w:t>
            </w:r>
          </w:p>
        </w:tc>
      </w:tr>
      <w:tr w:rsidR="00141E0C" w:rsidRPr="00D6457A" w14:paraId="4E65E710" w14:textId="77777777" w:rsidTr="00357B45">
        <w:trPr>
          <w:trHeight w:val="162"/>
        </w:trPr>
        <w:tc>
          <w:tcPr>
            <w:tcW w:w="0" w:type="auto"/>
            <w:tcBorders>
              <w:top w:val="nil"/>
              <w:left w:val="nil"/>
              <w:bottom w:val="single" w:sz="8" w:space="0" w:color="auto"/>
              <w:right w:val="nil"/>
            </w:tcBorders>
            <w:shd w:val="clear" w:color="auto" w:fill="auto"/>
            <w:noWrap/>
            <w:vAlign w:val="bottom"/>
            <w:hideMark/>
          </w:tcPr>
          <w:p w14:paraId="45D02ED5" w14:textId="77777777" w:rsidR="00141E0C" w:rsidRPr="00D6457A" w:rsidRDefault="00141E0C" w:rsidP="00357B45">
            <w:pPr>
              <w:spacing w:after="0" w:line="240" w:lineRule="auto"/>
              <w:jc w:val="right"/>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auto"/>
            <w:noWrap/>
            <w:vAlign w:val="bottom"/>
            <w:hideMark/>
          </w:tcPr>
          <w:p w14:paraId="5EA17A64" w14:textId="77777777" w:rsidR="00141E0C" w:rsidRPr="00D6457A" w:rsidRDefault="00141E0C" w:rsidP="00357B45">
            <w:pPr>
              <w:spacing w:after="0" w:line="240" w:lineRule="auto"/>
              <w:rPr>
                <w:rFonts w:ascii="Times New Roman" w:eastAsia="Times New Roman" w:hAnsi="Times New Roman" w:cs="Times New Roman"/>
                <w:sz w:val="18"/>
                <w:szCs w:val="18"/>
                <w:lang w:eastAsia="en-GB"/>
              </w:rPr>
            </w:pPr>
          </w:p>
        </w:tc>
        <w:tc>
          <w:tcPr>
            <w:tcW w:w="0" w:type="auto"/>
            <w:tcBorders>
              <w:top w:val="nil"/>
              <w:left w:val="nil"/>
              <w:bottom w:val="nil"/>
              <w:right w:val="nil"/>
            </w:tcBorders>
            <w:shd w:val="clear" w:color="auto" w:fill="auto"/>
            <w:noWrap/>
            <w:vAlign w:val="bottom"/>
            <w:hideMark/>
          </w:tcPr>
          <w:p w14:paraId="73E1466F" w14:textId="77777777" w:rsidR="00141E0C" w:rsidRPr="00D6457A" w:rsidRDefault="00141E0C" w:rsidP="00357B45">
            <w:pPr>
              <w:spacing w:after="0" w:line="240" w:lineRule="auto"/>
              <w:rPr>
                <w:rFonts w:ascii="Times New Roman" w:eastAsia="Times New Roman" w:hAnsi="Times New Roman" w:cs="Times New Roman"/>
                <w:sz w:val="18"/>
                <w:szCs w:val="18"/>
                <w:lang w:eastAsia="en-GB"/>
              </w:rPr>
            </w:pPr>
          </w:p>
        </w:tc>
        <w:tc>
          <w:tcPr>
            <w:tcW w:w="0" w:type="auto"/>
            <w:tcBorders>
              <w:top w:val="nil"/>
              <w:left w:val="nil"/>
              <w:bottom w:val="nil"/>
              <w:right w:val="nil"/>
            </w:tcBorders>
            <w:shd w:val="clear" w:color="auto" w:fill="auto"/>
            <w:noWrap/>
            <w:vAlign w:val="bottom"/>
            <w:hideMark/>
          </w:tcPr>
          <w:p w14:paraId="2458170C" w14:textId="77777777" w:rsidR="00141E0C" w:rsidRPr="00D6457A" w:rsidRDefault="00141E0C" w:rsidP="00357B45">
            <w:pPr>
              <w:spacing w:after="0" w:line="240" w:lineRule="auto"/>
              <w:rPr>
                <w:rFonts w:ascii="Times New Roman" w:eastAsia="Times New Roman" w:hAnsi="Times New Roman" w:cs="Times New Roman"/>
                <w:sz w:val="18"/>
                <w:szCs w:val="18"/>
                <w:lang w:eastAsia="en-GB"/>
              </w:rPr>
            </w:pPr>
          </w:p>
        </w:tc>
        <w:tc>
          <w:tcPr>
            <w:tcW w:w="0" w:type="auto"/>
            <w:tcBorders>
              <w:top w:val="nil"/>
              <w:left w:val="nil"/>
              <w:bottom w:val="nil"/>
              <w:right w:val="single" w:sz="4" w:space="0" w:color="auto"/>
            </w:tcBorders>
            <w:shd w:val="clear" w:color="auto" w:fill="auto"/>
            <w:noWrap/>
            <w:vAlign w:val="bottom"/>
            <w:hideMark/>
          </w:tcPr>
          <w:p w14:paraId="6278F19D"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 </w:t>
            </w:r>
          </w:p>
        </w:tc>
        <w:tc>
          <w:tcPr>
            <w:tcW w:w="0" w:type="auto"/>
            <w:tcBorders>
              <w:top w:val="nil"/>
              <w:left w:val="nil"/>
              <w:bottom w:val="nil"/>
              <w:right w:val="nil"/>
            </w:tcBorders>
            <w:shd w:val="clear" w:color="auto" w:fill="auto"/>
            <w:noWrap/>
            <w:vAlign w:val="bottom"/>
            <w:hideMark/>
          </w:tcPr>
          <w:p w14:paraId="54D9EE19"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 </w:t>
            </w:r>
          </w:p>
        </w:tc>
        <w:tc>
          <w:tcPr>
            <w:tcW w:w="0" w:type="auto"/>
            <w:tcBorders>
              <w:top w:val="nil"/>
              <w:left w:val="nil"/>
              <w:bottom w:val="nil"/>
              <w:right w:val="nil"/>
            </w:tcBorders>
            <w:shd w:val="clear" w:color="auto" w:fill="auto"/>
            <w:noWrap/>
            <w:vAlign w:val="bottom"/>
            <w:hideMark/>
          </w:tcPr>
          <w:p w14:paraId="47901BA9"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auto"/>
            <w:noWrap/>
            <w:vAlign w:val="bottom"/>
            <w:hideMark/>
          </w:tcPr>
          <w:p w14:paraId="7E81EF6B" w14:textId="77777777" w:rsidR="00141E0C" w:rsidRPr="00D6457A" w:rsidRDefault="00141E0C" w:rsidP="00357B45">
            <w:pPr>
              <w:spacing w:after="0" w:line="240" w:lineRule="auto"/>
              <w:rPr>
                <w:rFonts w:ascii="Times New Roman" w:eastAsia="Times New Roman" w:hAnsi="Times New Roman" w:cs="Times New Roman"/>
                <w:sz w:val="18"/>
                <w:szCs w:val="18"/>
                <w:lang w:eastAsia="en-GB"/>
              </w:rPr>
            </w:pPr>
          </w:p>
        </w:tc>
        <w:tc>
          <w:tcPr>
            <w:tcW w:w="0" w:type="auto"/>
            <w:tcBorders>
              <w:top w:val="nil"/>
              <w:left w:val="nil"/>
              <w:bottom w:val="nil"/>
              <w:right w:val="single" w:sz="4" w:space="0" w:color="auto"/>
            </w:tcBorders>
            <w:shd w:val="clear" w:color="auto" w:fill="auto"/>
            <w:noWrap/>
            <w:vAlign w:val="bottom"/>
            <w:hideMark/>
          </w:tcPr>
          <w:p w14:paraId="59CAD195"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 </w:t>
            </w:r>
          </w:p>
        </w:tc>
        <w:tc>
          <w:tcPr>
            <w:tcW w:w="0" w:type="auto"/>
            <w:tcBorders>
              <w:top w:val="nil"/>
              <w:left w:val="nil"/>
              <w:bottom w:val="nil"/>
              <w:right w:val="nil"/>
            </w:tcBorders>
            <w:shd w:val="clear" w:color="auto" w:fill="auto"/>
            <w:noWrap/>
            <w:vAlign w:val="bottom"/>
            <w:hideMark/>
          </w:tcPr>
          <w:p w14:paraId="54D728C1"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auto"/>
            <w:noWrap/>
            <w:vAlign w:val="bottom"/>
            <w:hideMark/>
          </w:tcPr>
          <w:p w14:paraId="5D4355F8" w14:textId="77777777" w:rsidR="00141E0C" w:rsidRPr="00D6457A" w:rsidRDefault="00141E0C" w:rsidP="00357B45">
            <w:pPr>
              <w:spacing w:after="0" w:line="240" w:lineRule="auto"/>
              <w:rPr>
                <w:rFonts w:ascii="Times New Roman" w:eastAsia="Times New Roman" w:hAnsi="Times New Roman" w:cs="Times New Roman"/>
                <w:sz w:val="18"/>
                <w:szCs w:val="18"/>
                <w:lang w:eastAsia="en-GB"/>
              </w:rPr>
            </w:pPr>
          </w:p>
        </w:tc>
        <w:tc>
          <w:tcPr>
            <w:tcW w:w="0" w:type="auto"/>
            <w:tcBorders>
              <w:top w:val="nil"/>
              <w:left w:val="nil"/>
              <w:bottom w:val="nil"/>
              <w:right w:val="nil"/>
            </w:tcBorders>
            <w:shd w:val="clear" w:color="auto" w:fill="auto"/>
            <w:noWrap/>
            <w:vAlign w:val="bottom"/>
            <w:hideMark/>
          </w:tcPr>
          <w:p w14:paraId="7B45ED79" w14:textId="77777777" w:rsidR="00141E0C" w:rsidRPr="00D6457A" w:rsidRDefault="00141E0C" w:rsidP="00357B45">
            <w:pPr>
              <w:spacing w:after="0" w:line="240" w:lineRule="auto"/>
              <w:rPr>
                <w:rFonts w:ascii="Times New Roman" w:eastAsia="Times New Roman" w:hAnsi="Times New Roman" w:cs="Times New Roman"/>
                <w:sz w:val="18"/>
                <w:szCs w:val="18"/>
                <w:lang w:eastAsia="en-GB"/>
              </w:rPr>
            </w:pPr>
          </w:p>
        </w:tc>
        <w:tc>
          <w:tcPr>
            <w:tcW w:w="0" w:type="auto"/>
            <w:tcBorders>
              <w:top w:val="nil"/>
              <w:left w:val="nil"/>
              <w:bottom w:val="nil"/>
              <w:right w:val="nil"/>
            </w:tcBorders>
            <w:shd w:val="clear" w:color="auto" w:fill="auto"/>
            <w:noWrap/>
            <w:vAlign w:val="bottom"/>
            <w:hideMark/>
          </w:tcPr>
          <w:p w14:paraId="44B427C1" w14:textId="77777777" w:rsidR="00141E0C" w:rsidRPr="00D6457A" w:rsidRDefault="00141E0C" w:rsidP="00357B45">
            <w:pPr>
              <w:spacing w:after="0" w:line="240" w:lineRule="auto"/>
              <w:rPr>
                <w:rFonts w:ascii="Times New Roman" w:eastAsia="Times New Roman" w:hAnsi="Times New Roman" w:cs="Times New Roman"/>
                <w:sz w:val="18"/>
                <w:szCs w:val="18"/>
                <w:lang w:eastAsia="en-GB"/>
              </w:rPr>
            </w:pPr>
          </w:p>
        </w:tc>
      </w:tr>
      <w:tr w:rsidR="00141E0C" w:rsidRPr="00D6457A" w14:paraId="73FFEC92" w14:textId="77777777" w:rsidTr="00357B45">
        <w:trPr>
          <w:trHeight w:val="287"/>
        </w:trPr>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365E2362"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proofErr w:type="spellStart"/>
            <w:r w:rsidRPr="00D6457A">
              <w:rPr>
                <w:rFonts w:ascii="Times New Roman" w:eastAsia="Times New Roman" w:hAnsi="Times New Roman" w:cs="Times New Roman"/>
                <w:b/>
                <w:bCs/>
                <w:color w:val="000000"/>
                <w:sz w:val="18"/>
                <w:szCs w:val="18"/>
                <w:lang w:eastAsia="en-GB"/>
              </w:rPr>
              <w:t>Poverty</w:t>
            </w:r>
            <w:proofErr w:type="spellEnd"/>
            <w:r w:rsidRPr="00D6457A">
              <w:rPr>
                <w:rFonts w:ascii="Times New Roman" w:eastAsia="Times New Roman" w:hAnsi="Times New Roman" w:cs="Times New Roman"/>
                <w:b/>
                <w:bCs/>
                <w:color w:val="000000"/>
                <w:sz w:val="18"/>
                <w:szCs w:val="18"/>
                <w:lang w:eastAsia="en-GB"/>
              </w:rPr>
              <w:t xml:space="preserve"> gap</w:t>
            </w:r>
          </w:p>
        </w:tc>
        <w:tc>
          <w:tcPr>
            <w:tcW w:w="0" w:type="auto"/>
            <w:tcBorders>
              <w:top w:val="single" w:sz="8" w:space="0" w:color="auto"/>
              <w:left w:val="single" w:sz="4" w:space="0" w:color="auto"/>
              <w:bottom w:val="single" w:sz="8" w:space="0" w:color="auto"/>
              <w:right w:val="nil"/>
            </w:tcBorders>
            <w:shd w:val="clear" w:color="auto" w:fill="auto"/>
            <w:noWrap/>
            <w:vAlign w:val="center"/>
            <w:hideMark/>
          </w:tcPr>
          <w:p w14:paraId="548046E2"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SP_MID</w:t>
            </w:r>
          </w:p>
        </w:tc>
        <w:tc>
          <w:tcPr>
            <w:tcW w:w="0" w:type="auto"/>
            <w:tcBorders>
              <w:top w:val="single" w:sz="8" w:space="0" w:color="auto"/>
              <w:left w:val="nil"/>
              <w:bottom w:val="single" w:sz="8" w:space="0" w:color="auto"/>
              <w:right w:val="nil"/>
            </w:tcBorders>
            <w:shd w:val="clear" w:color="auto" w:fill="auto"/>
            <w:noWrap/>
            <w:vAlign w:val="center"/>
            <w:hideMark/>
          </w:tcPr>
          <w:p w14:paraId="582C3599"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SP_LOW</w:t>
            </w:r>
          </w:p>
        </w:tc>
        <w:tc>
          <w:tcPr>
            <w:tcW w:w="0" w:type="auto"/>
            <w:tcBorders>
              <w:top w:val="single" w:sz="8" w:space="0" w:color="auto"/>
              <w:left w:val="nil"/>
              <w:bottom w:val="single" w:sz="8" w:space="0" w:color="auto"/>
              <w:right w:val="nil"/>
            </w:tcBorders>
            <w:shd w:val="clear" w:color="auto" w:fill="auto"/>
            <w:noWrap/>
            <w:vAlign w:val="center"/>
            <w:hideMark/>
          </w:tcPr>
          <w:p w14:paraId="33112532"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MP_MID</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33CCB73F"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 xml:space="preserve">SP_LOW–SP_MID </w:t>
            </w:r>
          </w:p>
        </w:tc>
        <w:tc>
          <w:tcPr>
            <w:tcW w:w="0" w:type="auto"/>
            <w:tcBorders>
              <w:top w:val="single" w:sz="8" w:space="0" w:color="auto"/>
              <w:left w:val="nil"/>
              <w:bottom w:val="single" w:sz="8" w:space="0" w:color="auto"/>
              <w:right w:val="nil"/>
            </w:tcBorders>
            <w:shd w:val="clear" w:color="auto" w:fill="auto"/>
            <w:noWrap/>
            <w:vAlign w:val="center"/>
            <w:hideMark/>
          </w:tcPr>
          <w:p w14:paraId="4F9EBBAF"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SP_MID</w:t>
            </w:r>
          </w:p>
        </w:tc>
        <w:tc>
          <w:tcPr>
            <w:tcW w:w="0" w:type="auto"/>
            <w:tcBorders>
              <w:top w:val="single" w:sz="8" w:space="0" w:color="auto"/>
              <w:left w:val="nil"/>
              <w:bottom w:val="single" w:sz="8" w:space="0" w:color="auto"/>
              <w:right w:val="nil"/>
            </w:tcBorders>
            <w:shd w:val="clear" w:color="auto" w:fill="auto"/>
            <w:noWrap/>
            <w:vAlign w:val="center"/>
            <w:hideMark/>
          </w:tcPr>
          <w:p w14:paraId="17931393"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SP_LOW</w:t>
            </w:r>
          </w:p>
        </w:tc>
        <w:tc>
          <w:tcPr>
            <w:tcW w:w="0" w:type="auto"/>
            <w:tcBorders>
              <w:top w:val="single" w:sz="8" w:space="0" w:color="auto"/>
              <w:left w:val="nil"/>
              <w:bottom w:val="single" w:sz="8" w:space="0" w:color="auto"/>
              <w:right w:val="nil"/>
            </w:tcBorders>
            <w:shd w:val="clear" w:color="auto" w:fill="auto"/>
            <w:noWrap/>
            <w:vAlign w:val="center"/>
            <w:hideMark/>
          </w:tcPr>
          <w:p w14:paraId="0062B091"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MP_MID</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651C6D0F"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 xml:space="preserve">SP_LOW–SP_MID </w:t>
            </w:r>
          </w:p>
        </w:tc>
        <w:tc>
          <w:tcPr>
            <w:tcW w:w="0" w:type="auto"/>
            <w:tcBorders>
              <w:top w:val="single" w:sz="8" w:space="0" w:color="auto"/>
              <w:left w:val="nil"/>
              <w:bottom w:val="single" w:sz="8" w:space="0" w:color="auto"/>
              <w:right w:val="nil"/>
            </w:tcBorders>
            <w:shd w:val="clear" w:color="auto" w:fill="auto"/>
            <w:noWrap/>
            <w:vAlign w:val="center"/>
            <w:hideMark/>
          </w:tcPr>
          <w:p w14:paraId="0E90D61C"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SP_MID</w:t>
            </w:r>
          </w:p>
        </w:tc>
        <w:tc>
          <w:tcPr>
            <w:tcW w:w="0" w:type="auto"/>
            <w:tcBorders>
              <w:top w:val="single" w:sz="8" w:space="0" w:color="auto"/>
              <w:left w:val="nil"/>
              <w:bottom w:val="single" w:sz="8" w:space="0" w:color="auto"/>
              <w:right w:val="nil"/>
            </w:tcBorders>
            <w:shd w:val="clear" w:color="auto" w:fill="auto"/>
            <w:noWrap/>
            <w:vAlign w:val="center"/>
            <w:hideMark/>
          </w:tcPr>
          <w:p w14:paraId="6572A31F"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SP_LOW</w:t>
            </w:r>
          </w:p>
        </w:tc>
        <w:tc>
          <w:tcPr>
            <w:tcW w:w="0" w:type="auto"/>
            <w:tcBorders>
              <w:top w:val="single" w:sz="8" w:space="0" w:color="auto"/>
              <w:left w:val="nil"/>
              <w:bottom w:val="single" w:sz="8" w:space="0" w:color="auto"/>
              <w:right w:val="nil"/>
            </w:tcBorders>
            <w:shd w:val="clear" w:color="auto" w:fill="auto"/>
            <w:noWrap/>
            <w:vAlign w:val="center"/>
            <w:hideMark/>
          </w:tcPr>
          <w:p w14:paraId="79E8C9E1"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MP_MID</w:t>
            </w:r>
          </w:p>
        </w:tc>
        <w:tc>
          <w:tcPr>
            <w:tcW w:w="0" w:type="auto"/>
            <w:tcBorders>
              <w:top w:val="single" w:sz="8" w:space="0" w:color="auto"/>
              <w:left w:val="nil"/>
              <w:bottom w:val="single" w:sz="8" w:space="0" w:color="auto"/>
              <w:right w:val="nil"/>
            </w:tcBorders>
            <w:shd w:val="clear" w:color="auto" w:fill="auto"/>
            <w:noWrap/>
            <w:vAlign w:val="center"/>
            <w:hideMark/>
          </w:tcPr>
          <w:p w14:paraId="7295B2F9" w14:textId="77777777" w:rsidR="00141E0C" w:rsidRPr="00D6457A" w:rsidRDefault="00141E0C" w:rsidP="00357B45">
            <w:pPr>
              <w:spacing w:after="0" w:line="240" w:lineRule="auto"/>
              <w:jc w:val="center"/>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 xml:space="preserve">SP_LOW–SP_MID </w:t>
            </w:r>
          </w:p>
        </w:tc>
      </w:tr>
      <w:tr w:rsidR="00141E0C" w:rsidRPr="00D6457A" w14:paraId="76245B69" w14:textId="77777777" w:rsidTr="00357B45">
        <w:trPr>
          <w:trHeight w:val="274"/>
        </w:trPr>
        <w:tc>
          <w:tcPr>
            <w:tcW w:w="0" w:type="auto"/>
            <w:tcBorders>
              <w:top w:val="single" w:sz="8" w:space="0" w:color="auto"/>
              <w:left w:val="nil"/>
              <w:bottom w:val="nil"/>
              <w:right w:val="single" w:sz="4" w:space="0" w:color="auto"/>
            </w:tcBorders>
            <w:shd w:val="clear" w:color="auto" w:fill="auto"/>
            <w:noWrap/>
            <w:vAlign w:val="center"/>
            <w:hideMark/>
          </w:tcPr>
          <w:p w14:paraId="3C238F75" w14:textId="77777777" w:rsidR="00141E0C" w:rsidRPr="00D6457A" w:rsidRDefault="00141E0C" w:rsidP="00357B45">
            <w:pPr>
              <w:spacing w:after="0" w:line="240" w:lineRule="auto"/>
              <w:jc w:val="right"/>
              <w:rPr>
                <w:rFonts w:ascii="Times New Roman" w:eastAsia="Times New Roman" w:hAnsi="Times New Roman" w:cs="Times New Roman"/>
                <w:b/>
                <w:bCs/>
                <w:color w:val="000000"/>
                <w:sz w:val="18"/>
                <w:szCs w:val="18"/>
                <w:lang w:eastAsia="en-GB"/>
              </w:rPr>
            </w:pPr>
            <w:proofErr w:type="spellStart"/>
            <w:r w:rsidRPr="00D6457A">
              <w:rPr>
                <w:rFonts w:ascii="Times New Roman" w:eastAsia="Times New Roman" w:hAnsi="Times New Roman" w:cs="Times New Roman"/>
                <w:b/>
                <w:bCs/>
                <w:color w:val="000000"/>
                <w:sz w:val="18"/>
                <w:szCs w:val="18"/>
                <w:lang w:eastAsia="en-GB"/>
              </w:rPr>
              <w:t>Coef</w:t>
            </w:r>
            <w:proofErr w:type="spellEnd"/>
            <w:r w:rsidRPr="00D6457A">
              <w:rPr>
                <w:rFonts w:ascii="Times New Roman" w:eastAsia="Times New Roman" w:hAnsi="Times New Roman" w:cs="Times New Roman"/>
                <w:b/>
                <w:bCs/>
                <w:color w:val="000000"/>
                <w:sz w:val="18"/>
                <w:szCs w:val="18"/>
                <w:lang w:eastAsia="en-GB"/>
              </w:rPr>
              <w:t>.</w:t>
            </w:r>
          </w:p>
        </w:tc>
        <w:tc>
          <w:tcPr>
            <w:tcW w:w="0" w:type="auto"/>
            <w:tcBorders>
              <w:top w:val="nil"/>
              <w:left w:val="single" w:sz="4" w:space="0" w:color="auto"/>
              <w:bottom w:val="nil"/>
              <w:right w:val="single" w:sz="8" w:space="0" w:color="auto"/>
            </w:tcBorders>
            <w:shd w:val="clear" w:color="auto" w:fill="auto"/>
            <w:noWrap/>
            <w:vAlign w:val="center"/>
            <w:hideMark/>
          </w:tcPr>
          <w:p w14:paraId="3B433D11"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-0.09</w:t>
            </w:r>
          </w:p>
        </w:tc>
        <w:tc>
          <w:tcPr>
            <w:tcW w:w="0" w:type="auto"/>
            <w:tcBorders>
              <w:top w:val="nil"/>
              <w:left w:val="nil"/>
              <w:bottom w:val="nil"/>
              <w:right w:val="single" w:sz="8" w:space="0" w:color="auto"/>
            </w:tcBorders>
            <w:shd w:val="clear" w:color="auto" w:fill="auto"/>
            <w:noWrap/>
            <w:vAlign w:val="center"/>
            <w:hideMark/>
          </w:tcPr>
          <w:p w14:paraId="1D8A8C8B"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0.00</w:t>
            </w:r>
          </w:p>
        </w:tc>
        <w:tc>
          <w:tcPr>
            <w:tcW w:w="0" w:type="auto"/>
            <w:tcBorders>
              <w:top w:val="nil"/>
              <w:left w:val="nil"/>
              <w:bottom w:val="nil"/>
              <w:right w:val="single" w:sz="8" w:space="0" w:color="auto"/>
            </w:tcBorders>
            <w:shd w:val="clear" w:color="auto" w:fill="auto"/>
            <w:noWrap/>
            <w:vAlign w:val="center"/>
            <w:hideMark/>
          </w:tcPr>
          <w:p w14:paraId="673E8264"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0.17</w:t>
            </w:r>
          </w:p>
        </w:tc>
        <w:tc>
          <w:tcPr>
            <w:tcW w:w="0" w:type="auto"/>
            <w:tcBorders>
              <w:top w:val="nil"/>
              <w:left w:val="nil"/>
              <w:bottom w:val="nil"/>
              <w:right w:val="single" w:sz="4" w:space="0" w:color="auto"/>
            </w:tcBorders>
            <w:shd w:val="clear" w:color="auto" w:fill="auto"/>
            <w:noWrap/>
            <w:vAlign w:val="center"/>
            <w:hideMark/>
          </w:tcPr>
          <w:p w14:paraId="641D249F"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0.29*</w:t>
            </w:r>
          </w:p>
        </w:tc>
        <w:tc>
          <w:tcPr>
            <w:tcW w:w="0" w:type="auto"/>
            <w:tcBorders>
              <w:top w:val="nil"/>
              <w:left w:val="nil"/>
              <w:bottom w:val="nil"/>
              <w:right w:val="single" w:sz="8" w:space="0" w:color="auto"/>
            </w:tcBorders>
            <w:shd w:val="clear" w:color="auto" w:fill="auto"/>
            <w:noWrap/>
            <w:vAlign w:val="center"/>
            <w:hideMark/>
          </w:tcPr>
          <w:p w14:paraId="4D12CFFD"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-0.17</w:t>
            </w:r>
          </w:p>
        </w:tc>
        <w:tc>
          <w:tcPr>
            <w:tcW w:w="0" w:type="auto"/>
            <w:tcBorders>
              <w:top w:val="nil"/>
              <w:left w:val="nil"/>
              <w:bottom w:val="nil"/>
              <w:right w:val="single" w:sz="8" w:space="0" w:color="auto"/>
            </w:tcBorders>
            <w:shd w:val="clear" w:color="auto" w:fill="auto"/>
            <w:noWrap/>
            <w:vAlign w:val="center"/>
            <w:hideMark/>
          </w:tcPr>
          <w:p w14:paraId="65C1E9C9"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0.02</w:t>
            </w:r>
          </w:p>
        </w:tc>
        <w:tc>
          <w:tcPr>
            <w:tcW w:w="0" w:type="auto"/>
            <w:tcBorders>
              <w:top w:val="nil"/>
              <w:left w:val="nil"/>
              <w:right w:val="single" w:sz="8" w:space="0" w:color="auto"/>
            </w:tcBorders>
            <w:shd w:val="clear" w:color="auto" w:fill="auto"/>
            <w:noWrap/>
            <w:vAlign w:val="center"/>
            <w:hideMark/>
          </w:tcPr>
          <w:p w14:paraId="5B32ABCB"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0.12</w:t>
            </w:r>
          </w:p>
        </w:tc>
        <w:tc>
          <w:tcPr>
            <w:tcW w:w="0" w:type="auto"/>
            <w:tcBorders>
              <w:top w:val="nil"/>
              <w:left w:val="nil"/>
              <w:bottom w:val="nil"/>
              <w:right w:val="single" w:sz="4" w:space="0" w:color="auto"/>
            </w:tcBorders>
            <w:shd w:val="clear" w:color="auto" w:fill="auto"/>
            <w:noWrap/>
            <w:vAlign w:val="center"/>
            <w:hideMark/>
          </w:tcPr>
          <w:p w14:paraId="41F57A8A"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0.27**</w:t>
            </w:r>
          </w:p>
        </w:tc>
        <w:tc>
          <w:tcPr>
            <w:tcW w:w="0" w:type="auto"/>
            <w:tcBorders>
              <w:top w:val="nil"/>
              <w:left w:val="nil"/>
              <w:bottom w:val="nil"/>
              <w:right w:val="single" w:sz="8" w:space="0" w:color="auto"/>
            </w:tcBorders>
            <w:shd w:val="clear" w:color="auto" w:fill="auto"/>
            <w:noWrap/>
            <w:vAlign w:val="center"/>
            <w:hideMark/>
          </w:tcPr>
          <w:p w14:paraId="016ADA47"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-0.17</w:t>
            </w:r>
          </w:p>
        </w:tc>
        <w:tc>
          <w:tcPr>
            <w:tcW w:w="0" w:type="auto"/>
            <w:tcBorders>
              <w:top w:val="nil"/>
              <w:left w:val="nil"/>
              <w:bottom w:val="nil"/>
              <w:right w:val="single" w:sz="8" w:space="0" w:color="auto"/>
            </w:tcBorders>
            <w:shd w:val="clear" w:color="auto" w:fill="auto"/>
            <w:noWrap/>
            <w:vAlign w:val="center"/>
            <w:hideMark/>
          </w:tcPr>
          <w:p w14:paraId="7B44769C"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0.02</w:t>
            </w:r>
          </w:p>
        </w:tc>
        <w:tc>
          <w:tcPr>
            <w:tcW w:w="0" w:type="auto"/>
            <w:tcBorders>
              <w:top w:val="nil"/>
              <w:left w:val="nil"/>
              <w:bottom w:val="nil"/>
              <w:right w:val="single" w:sz="4" w:space="0" w:color="auto"/>
            </w:tcBorders>
            <w:shd w:val="clear" w:color="auto" w:fill="auto"/>
            <w:noWrap/>
            <w:vAlign w:val="center"/>
            <w:hideMark/>
          </w:tcPr>
          <w:p w14:paraId="0C872DF2"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0.12</w:t>
            </w:r>
          </w:p>
        </w:tc>
        <w:tc>
          <w:tcPr>
            <w:tcW w:w="0" w:type="auto"/>
            <w:tcBorders>
              <w:top w:val="single" w:sz="8" w:space="0" w:color="auto"/>
              <w:left w:val="single" w:sz="4" w:space="0" w:color="auto"/>
              <w:bottom w:val="nil"/>
            </w:tcBorders>
            <w:shd w:val="clear" w:color="auto" w:fill="auto"/>
            <w:noWrap/>
            <w:vAlign w:val="center"/>
            <w:hideMark/>
          </w:tcPr>
          <w:p w14:paraId="38FA51E4"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0.27**</w:t>
            </w:r>
          </w:p>
        </w:tc>
      </w:tr>
      <w:tr w:rsidR="00141E0C" w:rsidRPr="00D6457A" w14:paraId="322FD393" w14:textId="77777777" w:rsidTr="00357B45">
        <w:trPr>
          <w:trHeight w:val="287"/>
        </w:trPr>
        <w:tc>
          <w:tcPr>
            <w:tcW w:w="0" w:type="auto"/>
            <w:tcBorders>
              <w:top w:val="nil"/>
              <w:left w:val="nil"/>
              <w:bottom w:val="single" w:sz="8" w:space="0" w:color="auto"/>
              <w:right w:val="single" w:sz="4" w:space="0" w:color="auto"/>
            </w:tcBorders>
            <w:shd w:val="clear" w:color="auto" w:fill="auto"/>
            <w:noWrap/>
            <w:vAlign w:val="center"/>
            <w:hideMark/>
          </w:tcPr>
          <w:p w14:paraId="6BD3C533" w14:textId="77777777" w:rsidR="00141E0C" w:rsidRPr="00D6457A" w:rsidRDefault="00141E0C" w:rsidP="00357B45">
            <w:pPr>
              <w:spacing w:after="0" w:line="240" w:lineRule="auto"/>
              <w:jc w:val="right"/>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se</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364131AF"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(0.15)</w:t>
            </w:r>
          </w:p>
        </w:tc>
        <w:tc>
          <w:tcPr>
            <w:tcW w:w="0" w:type="auto"/>
            <w:tcBorders>
              <w:top w:val="nil"/>
              <w:left w:val="nil"/>
              <w:bottom w:val="single" w:sz="8" w:space="0" w:color="auto"/>
              <w:right w:val="single" w:sz="8" w:space="0" w:color="auto"/>
            </w:tcBorders>
            <w:shd w:val="clear" w:color="auto" w:fill="auto"/>
            <w:noWrap/>
            <w:vAlign w:val="center"/>
            <w:hideMark/>
          </w:tcPr>
          <w:p w14:paraId="7E1BDFA9"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(0.13)</w:t>
            </w:r>
          </w:p>
        </w:tc>
        <w:tc>
          <w:tcPr>
            <w:tcW w:w="0" w:type="auto"/>
            <w:tcBorders>
              <w:top w:val="nil"/>
              <w:left w:val="nil"/>
              <w:bottom w:val="single" w:sz="8" w:space="0" w:color="auto"/>
              <w:right w:val="single" w:sz="8" w:space="0" w:color="auto"/>
            </w:tcBorders>
            <w:shd w:val="clear" w:color="auto" w:fill="auto"/>
            <w:noWrap/>
            <w:vAlign w:val="center"/>
            <w:hideMark/>
          </w:tcPr>
          <w:p w14:paraId="0E60557A"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(0.13)</w:t>
            </w:r>
          </w:p>
        </w:tc>
        <w:tc>
          <w:tcPr>
            <w:tcW w:w="0" w:type="auto"/>
            <w:tcBorders>
              <w:top w:val="nil"/>
              <w:left w:val="nil"/>
              <w:bottom w:val="single" w:sz="8" w:space="0" w:color="auto"/>
              <w:right w:val="single" w:sz="4" w:space="0" w:color="auto"/>
            </w:tcBorders>
            <w:shd w:val="clear" w:color="auto" w:fill="auto"/>
            <w:noWrap/>
            <w:vAlign w:val="center"/>
            <w:hideMark/>
          </w:tcPr>
          <w:p w14:paraId="20BBDF32"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(0.16)</w:t>
            </w:r>
          </w:p>
        </w:tc>
        <w:tc>
          <w:tcPr>
            <w:tcW w:w="0" w:type="auto"/>
            <w:tcBorders>
              <w:top w:val="nil"/>
              <w:left w:val="nil"/>
              <w:bottom w:val="single" w:sz="8" w:space="0" w:color="auto"/>
              <w:right w:val="single" w:sz="8" w:space="0" w:color="auto"/>
            </w:tcBorders>
            <w:shd w:val="clear" w:color="auto" w:fill="auto"/>
            <w:noWrap/>
            <w:vAlign w:val="center"/>
            <w:hideMark/>
          </w:tcPr>
          <w:p w14:paraId="626E4BA4"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(0.11)</w:t>
            </w:r>
          </w:p>
        </w:tc>
        <w:tc>
          <w:tcPr>
            <w:tcW w:w="0" w:type="auto"/>
            <w:tcBorders>
              <w:top w:val="nil"/>
              <w:left w:val="nil"/>
              <w:bottom w:val="single" w:sz="8" w:space="0" w:color="auto"/>
              <w:right w:val="single" w:sz="8" w:space="0" w:color="auto"/>
            </w:tcBorders>
            <w:shd w:val="clear" w:color="auto" w:fill="auto"/>
            <w:noWrap/>
            <w:vAlign w:val="center"/>
            <w:hideMark/>
          </w:tcPr>
          <w:p w14:paraId="3C58C18C"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(0.11)</w:t>
            </w:r>
          </w:p>
        </w:tc>
        <w:tc>
          <w:tcPr>
            <w:tcW w:w="0" w:type="auto"/>
            <w:tcBorders>
              <w:top w:val="nil"/>
              <w:left w:val="nil"/>
              <w:bottom w:val="single" w:sz="8" w:space="0" w:color="auto"/>
              <w:right w:val="single" w:sz="4" w:space="0" w:color="auto"/>
            </w:tcBorders>
            <w:shd w:val="clear" w:color="auto" w:fill="auto"/>
            <w:noWrap/>
            <w:vAlign w:val="center"/>
            <w:hideMark/>
          </w:tcPr>
          <w:p w14:paraId="3405F213"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(0.11)</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6324910D"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(0.14)</w:t>
            </w:r>
          </w:p>
        </w:tc>
        <w:tc>
          <w:tcPr>
            <w:tcW w:w="0" w:type="auto"/>
            <w:tcBorders>
              <w:top w:val="nil"/>
              <w:left w:val="nil"/>
              <w:bottom w:val="single" w:sz="8" w:space="0" w:color="auto"/>
              <w:right w:val="single" w:sz="8" w:space="0" w:color="auto"/>
            </w:tcBorders>
            <w:shd w:val="clear" w:color="auto" w:fill="auto"/>
            <w:noWrap/>
            <w:vAlign w:val="center"/>
            <w:hideMark/>
          </w:tcPr>
          <w:p w14:paraId="0CDD8AE0"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(0.11)</w:t>
            </w:r>
          </w:p>
        </w:tc>
        <w:tc>
          <w:tcPr>
            <w:tcW w:w="0" w:type="auto"/>
            <w:tcBorders>
              <w:top w:val="nil"/>
              <w:left w:val="nil"/>
              <w:bottom w:val="single" w:sz="8" w:space="0" w:color="auto"/>
              <w:right w:val="single" w:sz="8" w:space="0" w:color="auto"/>
            </w:tcBorders>
            <w:shd w:val="clear" w:color="auto" w:fill="auto"/>
            <w:noWrap/>
            <w:vAlign w:val="center"/>
            <w:hideMark/>
          </w:tcPr>
          <w:p w14:paraId="2A255D1D"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(0.11)</w:t>
            </w:r>
          </w:p>
        </w:tc>
        <w:tc>
          <w:tcPr>
            <w:tcW w:w="0" w:type="auto"/>
            <w:tcBorders>
              <w:top w:val="nil"/>
              <w:left w:val="nil"/>
              <w:bottom w:val="single" w:sz="8" w:space="0" w:color="auto"/>
              <w:right w:val="single" w:sz="4" w:space="0" w:color="auto"/>
            </w:tcBorders>
            <w:shd w:val="clear" w:color="auto" w:fill="auto"/>
            <w:noWrap/>
            <w:vAlign w:val="center"/>
            <w:hideMark/>
          </w:tcPr>
          <w:p w14:paraId="7671DBAD"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(0.11)</w:t>
            </w:r>
          </w:p>
        </w:tc>
        <w:tc>
          <w:tcPr>
            <w:tcW w:w="0" w:type="auto"/>
            <w:tcBorders>
              <w:top w:val="nil"/>
              <w:left w:val="single" w:sz="4" w:space="0" w:color="auto"/>
              <w:bottom w:val="single" w:sz="8" w:space="0" w:color="auto"/>
            </w:tcBorders>
            <w:shd w:val="clear" w:color="auto" w:fill="auto"/>
            <w:noWrap/>
            <w:vAlign w:val="center"/>
            <w:hideMark/>
          </w:tcPr>
          <w:p w14:paraId="09057A41"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val="en-US" w:eastAsia="en-GB"/>
              </w:rPr>
              <w:t>(0.14)</w:t>
            </w:r>
          </w:p>
        </w:tc>
      </w:tr>
      <w:tr w:rsidR="00141E0C" w:rsidRPr="00D6457A" w14:paraId="58FBA6A7" w14:textId="77777777" w:rsidTr="00357B45">
        <w:trPr>
          <w:trHeight w:val="274"/>
        </w:trPr>
        <w:tc>
          <w:tcPr>
            <w:tcW w:w="0" w:type="auto"/>
            <w:tcBorders>
              <w:top w:val="nil"/>
              <w:left w:val="nil"/>
              <w:bottom w:val="nil"/>
              <w:right w:val="single" w:sz="4" w:space="0" w:color="auto"/>
            </w:tcBorders>
            <w:shd w:val="clear" w:color="auto" w:fill="auto"/>
            <w:noWrap/>
            <w:vAlign w:val="center"/>
            <w:hideMark/>
          </w:tcPr>
          <w:p w14:paraId="6FD47E93" w14:textId="77777777" w:rsidR="00141E0C" w:rsidRPr="00D6457A" w:rsidRDefault="00141E0C" w:rsidP="00357B45">
            <w:pPr>
              <w:spacing w:after="0" w:line="240" w:lineRule="auto"/>
              <w:jc w:val="right"/>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N</w:t>
            </w:r>
          </w:p>
        </w:tc>
        <w:tc>
          <w:tcPr>
            <w:tcW w:w="0" w:type="auto"/>
            <w:tcBorders>
              <w:top w:val="single" w:sz="8" w:space="0" w:color="auto"/>
              <w:left w:val="single" w:sz="4" w:space="0" w:color="auto"/>
              <w:bottom w:val="nil"/>
              <w:right w:val="single" w:sz="4" w:space="0" w:color="auto"/>
            </w:tcBorders>
            <w:shd w:val="clear" w:color="auto" w:fill="auto"/>
            <w:noWrap/>
            <w:vAlign w:val="center"/>
            <w:hideMark/>
          </w:tcPr>
          <w:p w14:paraId="4608B4E1"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406</w:t>
            </w:r>
          </w:p>
        </w:tc>
        <w:tc>
          <w:tcPr>
            <w:tcW w:w="0" w:type="auto"/>
            <w:tcBorders>
              <w:top w:val="single" w:sz="8" w:space="0" w:color="auto"/>
              <w:left w:val="single" w:sz="4" w:space="0" w:color="auto"/>
              <w:bottom w:val="nil"/>
              <w:right w:val="single" w:sz="4" w:space="0" w:color="auto"/>
            </w:tcBorders>
            <w:shd w:val="clear" w:color="auto" w:fill="auto"/>
            <w:noWrap/>
            <w:vAlign w:val="center"/>
            <w:hideMark/>
          </w:tcPr>
          <w:p w14:paraId="570FEFBB"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406</w:t>
            </w:r>
          </w:p>
        </w:tc>
        <w:tc>
          <w:tcPr>
            <w:tcW w:w="0" w:type="auto"/>
            <w:tcBorders>
              <w:top w:val="single" w:sz="8" w:space="0" w:color="auto"/>
              <w:left w:val="single" w:sz="4" w:space="0" w:color="auto"/>
              <w:bottom w:val="nil"/>
              <w:right w:val="single" w:sz="4" w:space="0" w:color="auto"/>
            </w:tcBorders>
            <w:shd w:val="clear" w:color="auto" w:fill="auto"/>
            <w:noWrap/>
            <w:vAlign w:val="center"/>
            <w:hideMark/>
          </w:tcPr>
          <w:p w14:paraId="196CCA87"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399</w:t>
            </w:r>
          </w:p>
        </w:tc>
        <w:tc>
          <w:tcPr>
            <w:tcW w:w="0" w:type="auto"/>
            <w:tcBorders>
              <w:top w:val="nil"/>
              <w:left w:val="single" w:sz="4" w:space="0" w:color="auto"/>
              <w:bottom w:val="nil"/>
              <w:right w:val="single" w:sz="4" w:space="0" w:color="auto"/>
            </w:tcBorders>
            <w:shd w:val="clear" w:color="auto" w:fill="auto"/>
            <w:noWrap/>
            <w:vAlign w:val="center"/>
            <w:hideMark/>
          </w:tcPr>
          <w:p w14:paraId="7DA25E9A"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406</w:t>
            </w:r>
          </w:p>
        </w:tc>
        <w:tc>
          <w:tcPr>
            <w:tcW w:w="0" w:type="auto"/>
            <w:tcBorders>
              <w:top w:val="single" w:sz="8" w:space="0" w:color="auto"/>
              <w:left w:val="nil"/>
              <w:bottom w:val="nil"/>
              <w:right w:val="single" w:sz="4" w:space="0" w:color="auto"/>
            </w:tcBorders>
            <w:shd w:val="clear" w:color="auto" w:fill="auto"/>
            <w:noWrap/>
            <w:vAlign w:val="center"/>
            <w:hideMark/>
          </w:tcPr>
          <w:p w14:paraId="591437AC"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406</w:t>
            </w:r>
          </w:p>
        </w:tc>
        <w:tc>
          <w:tcPr>
            <w:tcW w:w="0" w:type="auto"/>
            <w:tcBorders>
              <w:top w:val="single" w:sz="8" w:space="0" w:color="auto"/>
              <w:left w:val="single" w:sz="4" w:space="0" w:color="auto"/>
              <w:bottom w:val="nil"/>
              <w:right w:val="single" w:sz="4" w:space="0" w:color="auto"/>
            </w:tcBorders>
            <w:shd w:val="clear" w:color="auto" w:fill="auto"/>
            <w:noWrap/>
            <w:vAlign w:val="center"/>
            <w:hideMark/>
          </w:tcPr>
          <w:p w14:paraId="77A8B9E4"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406</w:t>
            </w:r>
          </w:p>
        </w:tc>
        <w:tc>
          <w:tcPr>
            <w:tcW w:w="0" w:type="auto"/>
            <w:tcBorders>
              <w:top w:val="nil"/>
              <w:left w:val="single" w:sz="4" w:space="0" w:color="auto"/>
              <w:bottom w:val="nil"/>
              <w:right w:val="single" w:sz="4" w:space="0" w:color="auto"/>
            </w:tcBorders>
            <w:shd w:val="clear" w:color="auto" w:fill="auto"/>
            <w:noWrap/>
            <w:vAlign w:val="center"/>
            <w:hideMark/>
          </w:tcPr>
          <w:p w14:paraId="1EF05C10"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399</w:t>
            </w:r>
          </w:p>
        </w:tc>
        <w:tc>
          <w:tcPr>
            <w:tcW w:w="0" w:type="auto"/>
            <w:tcBorders>
              <w:top w:val="nil"/>
              <w:left w:val="single" w:sz="4" w:space="0" w:color="auto"/>
              <w:bottom w:val="nil"/>
              <w:right w:val="single" w:sz="4" w:space="0" w:color="auto"/>
            </w:tcBorders>
            <w:shd w:val="clear" w:color="auto" w:fill="auto"/>
            <w:noWrap/>
            <w:vAlign w:val="center"/>
            <w:hideMark/>
          </w:tcPr>
          <w:p w14:paraId="06088B96"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406</w:t>
            </w:r>
          </w:p>
        </w:tc>
        <w:tc>
          <w:tcPr>
            <w:tcW w:w="0" w:type="auto"/>
            <w:tcBorders>
              <w:top w:val="single" w:sz="8" w:space="0" w:color="auto"/>
              <w:left w:val="nil"/>
              <w:bottom w:val="nil"/>
              <w:right w:val="single" w:sz="4" w:space="0" w:color="auto"/>
            </w:tcBorders>
            <w:shd w:val="clear" w:color="auto" w:fill="auto"/>
            <w:noWrap/>
            <w:vAlign w:val="center"/>
            <w:hideMark/>
          </w:tcPr>
          <w:p w14:paraId="10DFAEB2"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406</w:t>
            </w:r>
          </w:p>
        </w:tc>
        <w:tc>
          <w:tcPr>
            <w:tcW w:w="0" w:type="auto"/>
            <w:tcBorders>
              <w:top w:val="single" w:sz="8" w:space="0" w:color="auto"/>
              <w:left w:val="single" w:sz="4" w:space="0" w:color="auto"/>
              <w:bottom w:val="nil"/>
              <w:right w:val="single" w:sz="4" w:space="0" w:color="auto"/>
            </w:tcBorders>
            <w:shd w:val="clear" w:color="auto" w:fill="auto"/>
            <w:noWrap/>
            <w:vAlign w:val="center"/>
            <w:hideMark/>
          </w:tcPr>
          <w:p w14:paraId="703D94CA"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406</w:t>
            </w:r>
          </w:p>
        </w:tc>
        <w:tc>
          <w:tcPr>
            <w:tcW w:w="0" w:type="auto"/>
            <w:tcBorders>
              <w:top w:val="single" w:sz="8" w:space="0" w:color="auto"/>
              <w:left w:val="single" w:sz="4" w:space="0" w:color="auto"/>
              <w:bottom w:val="nil"/>
              <w:right w:val="single" w:sz="4" w:space="0" w:color="auto"/>
            </w:tcBorders>
            <w:shd w:val="clear" w:color="auto" w:fill="auto"/>
            <w:noWrap/>
            <w:vAlign w:val="center"/>
            <w:hideMark/>
          </w:tcPr>
          <w:p w14:paraId="0581F715"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399</w:t>
            </w:r>
          </w:p>
        </w:tc>
        <w:tc>
          <w:tcPr>
            <w:tcW w:w="0" w:type="auto"/>
            <w:tcBorders>
              <w:top w:val="nil"/>
              <w:left w:val="single" w:sz="4" w:space="0" w:color="auto"/>
              <w:bottom w:val="nil"/>
              <w:right w:val="nil"/>
            </w:tcBorders>
            <w:shd w:val="clear" w:color="auto" w:fill="auto"/>
            <w:noWrap/>
            <w:vAlign w:val="center"/>
            <w:hideMark/>
          </w:tcPr>
          <w:p w14:paraId="65F0911B"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406</w:t>
            </w:r>
          </w:p>
        </w:tc>
      </w:tr>
      <w:tr w:rsidR="00141E0C" w:rsidRPr="00D6457A" w14:paraId="7644217F" w14:textId="77777777" w:rsidTr="00357B45">
        <w:trPr>
          <w:trHeight w:val="274"/>
        </w:trPr>
        <w:tc>
          <w:tcPr>
            <w:tcW w:w="0" w:type="auto"/>
            <w:tcBorders>
              <w:top w:val="nil"/>
              <w:left w:val="nil"/>
              <w:bottom w:val="nil"/>
              <w:right w:val="single" w:sz="4" w:space="0" w:color="auto"/>
            </w:tcBorders>
            <w:shd w:val="clear" w:color="auto" w:fill="auto"/>
            <w:noWrap/>
            <w:vAlign w:val="center"/>
            <w:hideMark/>
          </w:tcPr>
          <w:p w14:paraId="49353972" w14:textId="77777777" w:rsidR="00141E0C" w:rsidRPr="00D6457A" w:rsidRDefault="00141E0C" w:rsidP="00357B45">
            <w:pPr>
              <w:spacing w:after="0" w:line="240" w:lineRule="auto"/>
              <w:jc w:val="right"/>
              <w:rPr>
                <w:rFonts w:ascii="Times New Roman" w:eastAsia="Times New Roman" w:hAnsi="Times New Roman" w:cs="Times New Roman"/>
                <w:b/>
                <w:bCs/>
                <w:color w:val="000000"/>
                <w:sz w:val="18"/>
                <w:szCs w:val="18"/>
                <w:lang w:eastAsia="en-GB"/>
              </w:rPr>
            </w:pPr>
            <w:r w:rsidRPr="00D6457A">
              <w:rPr>
                <w:rFonts w:ascii="Times New Roman" w:eastAsia="Times New Roman" w:hAnsi="Times New Roman" w:cs="Times New Roman"/>
                <w:b/>
                <w:bCs/>
                <w:color w:val="000000"/>
                <w:sz w:val="18"/>
                <w:szCs w:val="18"/>
                <w:lang w:eastAsia="en-GB"/>
              </w:rPr>
              <w:t>J-</w:t>
            </w:r>
            <w:proofErr w:type="spellStart"/>
            <w:r w:rsidRPr="00D6457A">
              <w:rPr>
                <w:rFonts w:ascii="Times New Roman" w:eastAsia="Times New Roman" w:hAnsi="Times New Roman" w:cs="Times New Roman"/>
                <w:b/>
                <w:bCs/>
                <w:color w:val="000000"/>
                <w:sz w:val="18"/>
                <w:szCs w:val="18"/>
                <w:lang w:eastAsia="en-GB"/>
              </w:rPr>
              <w:t>statistic</w:t>
            </w:r>
            <w:proofErr w:type="spellEnd"/>
          </w:p>
        </w:tc>
        <w:tc>
          <w:tcPr>
            <w:tcW w:w="0" w:type="auto"/>
            <w:tcBorders>
              <w:top w:val="nil"/>
              <w:left w:val="single" w:sz="4" w:space="0" w:color="auto"/>
              <w:bottom w:val="nil"/>
              <w:right w:val="single" w:sz="4" w:space="0" w:color="auto"/>
            </w:tcBorders>
            <w:shd w:val="clear" w:color="auto" w:fill="auto"/>
            <w:noWrap/>
            <w:vAlign w:val="center"/>
            <w:hideMark/>
          </w:tcPr>
          <w:p w14:paraId="19E9B005"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16.9</w:t>
            </w:r>
          </w:p>
        </w:tc>
        <w:tc>
          <w:tcPr>
            <w:tcW w:w="0" w:type="auto"/>
            <w:tcBorders>
              <w:top w:val="nil"/>
              <w:left w:val="single" w:sz="4" w:space="0" w:color="auto"/>
              <w:bottom w:val="nil"/>
              <w:right w:val="single" w:sz="4" w:space="0" w:color="auto"/>
            </w:tcBorders>
            <w:shd w:val="clear" w:color="auto" w:fill="auto"/>
            <w:noWrap/>
            <w:vAlign w:val="center"/>
            <w:hideMark/>
          </w:tcPr>
          <w:p w14:paraId="35126EFB"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16.8</w:t>
            </w:r>
          </w:p>
        </w:tc>
        <w:tc>
          <w:tcPr>
            <w:tcW w:w="0" w:type="auto"/>
            <w:tcBorders>
              <w:top w:val="nil"/>
              <w:left w:val="single" w:sz="4" w:space="0" w:color="auto"/>
              <w:bottom w:val="nil"/>
              <w:right w:val="single" w:sz="4" w:space="0" w:color="auto"/>
            </w:tcBorders>
            <w:shd w:val="clear" w:color="auto" w:fill="auto"/>
            <w:noWrap/>
            <w:vAlign w:val="center"/>
            <w:hideMark/>
          </w:tcPr>
          <w:p w14:paraId="1F3871BF"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9.16</w:t>
            </w:r>
          </w:p>
        </w:tc>
        <w:tc>
          <w:tcPr>
            <w:tcW w:w="0" w:type="auto"/>
            <w:tcBorders>
              <w:top w:val="nil"/>
              <w:left w:val="single" w:sz="4" w:space="0" w:color="auto"/>
              <w:bottom w:val="nil"/>
              <w:right w:val="single" w:sz="4" w:space="0" w:color="auto"/>
            </w:tcBorders>
            <w:shd w:val="clear" w:color="auto" w:fill="auto"/>
            <w:noWrap/>
            <w:vAlign w:val="center"/>
            <w:hideMark/>
          </w:tcPr>
          <w:p w14:paraId="537068B4"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10.7</w:t>
            </w:r>
          </w:p>
        </w:tc>
        <w:tc>
          <w:tcPr>
            <w:tcW w:w="0" w:type="auto"/>
            <w:tcBorders>
              <w:top w:val="nil"/>
              <w:left w:val="nil"/>
              <w:bottom w:val="nil"/>
              <w:right w:val="single" w:sz="4" w:space="0" w:color="auto"/>
            </w:tcBorders>
            <w:shd w:val="clear" w:color="auto" w:fill="auto"/>
            <w:noWrap/>
            <w:vAlign w:val="center"/>
            <w:hideMark/>
          </w:tcPr>
          <w:p w14:paraId="1A6DA3B3"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44.4</w:t>
            </w:r>
          </w:p>
        </w:tc>
        <w:tc>
          <w:tcPr>
            <w:tcW w:w="0" w:type="auto"/>
            <w:tcBorders>
              <w:top w:val="nil"/>
              <w:left w:val="single" w:sz="4" w:space="0" w:color="auto"/>
              <w:bottom w:val="nil"/>
              <w:right w:val="single" w:sz="4" w:space="0" w:color="auto"/>
            </w:tcBorders>
            <w:shd w:val="clear" w:color="auto" w:fill="auto"/>
            <w:noWrap/>
            <w:vAlign w:val="center"/>
            <w:hideMark/>
          </w:tcPr>
          <w:p w14:paraId="7B2DC97D"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60.2</w:t>
            </w:r>
          </w:p>
        </w:tc>
        <w:tc>
          <w:tcPr>
            <w:tcW w:w="0" w:type="auto"/>
            <w:tcBorders>
              <w:top w:val="nil"/>
              <w:left w:val="single" w:sz="4" w:space="0" w:color="auto"/>
              <w:bottom w:val="nil"/>
              <w:right w:val="single" w:sz="4" w:space="0" w:color="auto"/>
            </w:tcBorders>
            <w:shd w:val="clear" w:color="auto" w:fill="auto"/>
            <w:noWrap/>
            <w:vAlign w:val="center"/>
            <w:hideMark/>
          </w:tcPr>
          <w:p w14:paraId="2697BAD8"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61.3</w:t>
            </w:r>
          </w:p>
        </w:tc>
        <w:tc>
          <w:tcPr>
            <w:tcW w:w="0" w:type="auto"/>
            <w:tcBorders>
              <w:top w:val="nil"/>
              <w:left w:val="single" w:sz="4" w:space="0" w:color="auto"/>
              <w:bottom w:val="nil"/>
              <w:right w:val="single" w:sz="4" w:space="0" w:color="auto"/>
            </w:tcBorders>
            <w:shd w:val="clear" w:color="auto" w:fill="auto"/>
            <w:noWrap/>
            <w:vAlign w:val="center"/>
            <w:hideMark/>
          </w:tcPr>
          <w:p w14:paraId="25E7C2D1"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58.3</w:t>
            </w:r>
          </w:p>
        </w:tc>
        <w:tc>
          <w:tcPr>
            <w:tcW w:w="0" w:type="auto"/>
            <w:tcBorders>
              <w:top w:val="nil"/>
              <w:left w:val="nil"/>
              <w:bottom w:val="nil"/>
              <w:right w:val="single" w:sz="4" w:space="0" w:color="auto"/>
            </w:tcBorders>
            <w:shd w:val="clear" w:color="auto" w:fill="auto"/>
            <w:noWrap/>
            <w:vAlign w:val="center"/>
            <w:hideMark/>
          </w:tcPr>
          <w:p w14:paraId="4729974E"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44.4</w:t>
            </w:r>
          </w:p>
        </w:tc>
        <w:tc>
          <w:tcPr>
            <w:tcW w:w="0" w:type="auto"/>
            <w:tcBorders>
              <w:top w:val="nil"/>
              <w:left w:val="single" w:sz="4" w:space="0" w:color="auto"/>
              <w:bottom w:val="nil"/>
              <w:right w:val="single" w:sz="4" w:space="0" w:color="auto"/>
            </w:tcBorders>
            <w:shd w:val="clear" w:color="auto" w:fill="auto"/>
            <w:noWrap/>
            <w:vAlign w:val="center"/>
            <w:hideMark/>
          </w:tcPr>
          <w:p w14:paraId="219E5AD6"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60.2</w:t>
            </w:r>
          </w:p>
        </w:tc>
        <w:tc>
          <w:tcPr>
            <w:tcW w:w="0" w:type="auto"/>
            <w:tcBorders>
              <w:top w:val="nil"/>
              <w:left w:val="single" w:sz="4" w:space="0" w:color="auto"/>
              <w:bottom w:val="nil"/>
              <w:right w:val="single" w:sz="4" w:space="0" w:color="auto"/>
            </w:tcBorders>
            <w:shd w:val="clear" w:color="auto" w:fill="auto"/>
            <w:noWrap/>
            <w:vAlign w:val="center"/>
            <w:hideMark/>
          </w:tcPr>
          <w:p w14:paraId="530F92DE"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61.3</w:t>
            </w:r>
          </w:p>
        </w:tc>
        <w:tc>
          <w:tcPr>
            <w:tcW w:w="0" w:type="auto"/>
            <w:tcBorders>
              <w:top w:val="nil"/>
              <w:left w:val="single" w:sz="4" w:space="0" w:color="auto"/>
              <w:bottom w:val="nil"/>
              <w:right w:val="nil"/>
            </w:tcBorders>
            <w:shd w:val="clear" w:color="auto" w:fill="auto"/>
            <w:noWrap/>
            <w:vAlign w:val="center"/>
            <w:hideMark/>
          </w:tcPr>
          <w:p w14:paraId="1782214C"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58.3</w:t>
            </w:r>
          </w:p>
        </w:tc>
      </w:tr>
      <w:tr w:rsidR="00141E0C" w:rsidRPr="00D6457A" w14:paraId="53045A8A" w14:textId="77777777" w:rsidTr="00357B45">
        <w:trPr>
          <w:trHeight w:val="274"/>
        </w:trPr>
        <w:tc>
          <w:tcPr>
            <w:tcW w:w="0" w:type="auto"/>
            <w:tcBorders>
              <w:top w:val="nil"/>
              <w:left w:val="nil"/>
              <w:bottom w:val="nil"/>
              <w:right w:val="single" w:sz="4" w:space="0" w:color="auto"/>
            </w:tcBorders>
            <w:shd w:val="clear" w:color="auto" w:fill="auto"/>
            <w:noWrap/>
            <w:vAlign w:val="center"/>
            <w:hideMark/>
          </w:tcPr>
          <w:p w14:paraId="2EC5EA84" w14:textId="77777777" w:rsidR="00141E0C" w:rsidRPr="00D6457A" w:rsidRDefault="00141E0C" w:rsidP="00357B45">
            <w:pPr>
              <w:spacing w:after="0" w:line="240" w:lineRule="auto"/>
              <w:jc w:val="right"/>
              <w:rPr>
                <w:rFonts w:ascii="Times New Roman" w:eastAsia="Times New Roman" w:hAnsi="Times New Roman" w:cs="Times New Roman"/>
                <w:b/>
                <w:bCs/>
                <w:color w:val="000000"/>
                <w:sz w:val="18"/>
                <w:szCs w:val="18"/>
                <w:lang w:eastAsia="en-GB"/>
              </w:rPr>
            </w:pPr>
            <w:proofErr w:type="spellStart"/>
            <w:r w:rsidRPr="00D6457A">
              <w:rPr>
                <w:rFonts w:ascii="Times New Roman" w:eastAsia="Times New Roman" w:hAnsi="Times New Roman" w:cs="Times New Roman"/>
                <w:b/>
                <w:bCs/>
                <w:color w:val="000000"/>
                <w:sz w:val="18"/>
                <w:szCs w:val="18"/>
                <w:lang w:eastAsia="en-GB"/>
              </w:rPr>
              <w:t>Jdf</w:t>
            </w:r>
            <w:proofErr w:type="spellEnd"/>
            <w:r w:rsidRPr="00D6457A">
              <w:rPr>
                <w:rFonts w:ascii="Times New Roman" w:eastAsia="Times New Roman" w:hAnsi="Times New Roman" w:cs="Times New Roman"/>
                <w:b/>
                <w:bCs/>
                <w:color w:val="000000"/>
                <w:sz w:val="18"/>
                <w:szCs w:val="18"/>
                <w:lang w:eastAsia="en-GB"/>
              </w:rPr>
              <w:t xml:space="preserve"> </w:t>
            </w:r>
          </w:p>
        </w:tc>
        <w:tc>
          <w:tcPr>
            <w:tcW w:w="0" w:type="auto"/>
            <w:tcBorders>
              <w:top w:val="nil"/>
              <w:left w:val="single" w:sz="4" w:space="0" w:color="auto"/>
              <w:bottom w:val="nil"/>
              <w:right w:val="single" w:sz="4" w:space="0" w:color="auto"/>
            </w:tcBorders>
            <w:shd w:val="clear" w:color="auto" w:fill="auto"/>
            <w:noWrap/>
            <w:vAlign w:val="center"/>
            <w:hideMark/>
          </w:tcPr>
          <w:p w14:paraId="79C29AA6"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11</w:t>
            </w:r>
          </w:p>
        </w:tc>
        <w:tc>
          <w:tcPr>
            <w:tcW w:w="0" w:type="auto"/>
            <w:tcBorders>
              <w:top w:val="nil"/>
              <w:left w:val="single" w:sz="4" w:space="0" w:color="auto"/>
              <w:bottom w:val="nil"/>
              <w:right w:val="single" w:sz="4" w:space="0" w:color="auto"/>
            </w:tcBorders>
            <w:shd w:val="clear" w:color="auto" w:fill="auto"/>
            <w:noWrap/>
            <w:vAlign w:val="center"/>
            <w:hideMark/>
          </w:tcPr>
          <w:p w14:paraId="39B3C432"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11</w:t>
            </w:r>
          </w:p>
        </w:tc>
        <w:tc>
          <w:tcPr>
            <w:tcW w:w="0" w:type="auto"/>
            <w:tcBorders>
              <w:top w:val="nil"/>
              <w:left w:val="single" w:sz="4" w:space="0" w:color="auto"/>
              <w:bottom w:val="nil"/>
              <w:right w:val="single" w:sz="4" w:space="0" w:color="auto"/>
            </w:tcBorders>
            <w:shd w:val="clear" w:color="auto" w:fill="auto"/>
            <w:noWrap/>
            <w:vAlign w:val="center"/>
            <w:hideMark/>
          </w:tcPr>
          <w:p w14:paraId="407A8F9A"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11</w:t>
            </w:r>
          </w:p>
        </w:tc>
        <w:tc>
          <w:tcPr>
            <w:tcW w:w="0" w:type="auto"/>
            <w:tcBorders>
              <w:top w:val="nil"/>
              <w:left w:val="single" w:sz="4" w:space="0" w:color="auto"/>
              <w:bottom w:val="nil"/>
              <w:right w:val="single" w:sz="4" w:space="0" w:color="auto"/>
            </w:tcBorders>
            <w:shd w:val="clear" w:color="auto" w:fill="auto"/>
            <w:noWrap/>
            <w:vAlign w:val="center"/>
            <w:hideMark/>
          </w:tcPr>
          <w:p w14:paraId="38E3CDD4"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11</w:t>
            </w:r>
          </w:p>
        </w:tc>
        <w:tc>
          <w:tcPr>
            <w:tcW w:w="0" w:type="auto"/>
            <w:tcBorders>
              <w:top w:val="nil"/>
              <w:left w:val="nil"/>
              <w:bottom w:val="nil"/>
              <w:right w:val="single" w:sz="4" w:space="0" w:color="auto"/>
            </w:tcBorders>
            <w:shd w:val="clear" w:color="auto" w:fill="auto"/>
            <w:noWrap/>
            <w:vAlign w:val="center"/>
            <w:hideMark/>
          </w:tcPr>
          <w:p w14:paraId="165C116A"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44</w:t>
            </w:r>
          </w:p>
        </w:tc>
        <w:tc>
          <w:tcPr>
            <w:tcW w:w="0" w:type="auto"/>
            <w:tcBorders>
              <w:top w:val="nil"/>
              <w:left w:val="single" w:sz="4" w:space="0" w:color="auto"/>
              <w:bottom w:val="nil"/>
              <w:right w:val="single" w:sz="4" w:space="0" w:color="auto"/>
            </w:tcBorders>
            <w:shd w:val="clear" w:color="auto" w:fill="auto"/>
            <w:noWrap/>
            <w:vAlign w:val="center"/>
            <w:hideMark/>
          </w:tcPr>
          <w:p w14:paraId="6514C95A"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44</w:t>
            </w:r>
          </w:p>
        </w:tc>
        <w:tc>
          <w:tcPr>
            <w:tcW w:w="0" w:type="auto"/>
            <w:tcBorders>
              <w:top w:val="nil"/>
              <w:left w:val="single" w:sz="4" w:space="0" w:color="auto"/>
              <w:bottom w:val="nil"/>
              <w:right w:val="single" w:sz="4" w:space="0" w:color="auto"/>
            </w:tcBorders>
            <w:shd w:val="clear" w:color="auto" w:fill="auto"/>
            <w:noWrap/>
            <w:vAlign w:val="center"/>
            <w:hideMark/>
          </w:tcPr>
          <w:p w14:paraId="697D6439"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44</w:t>
            </w:r>
          </w:p>
        </w:tc>
        <w:tc>
          <w:tcPr>
            <w:tcW w:w="0" w:type="auto"/>
            <w:tcBorders>
              <w:top w:val="nil"/>
              <w:left w:val="single" w:sz="4" w:space="0" w:color="auto"/>
              <w:bottom w:val="nil"/>
              <w:right w:val="single" w:sz="4" w:space="0" w:color="auto"/>
            </w:tcBorders>
            <w:shd w:val="clear" w:color="auto" w:fill="auto"/>
            <w:noWrap/>
            <w:vAlign w:val="center"/>
            <w:hideMark/>
          </w:tcPr>
          <w:p w14:paraId="0A7AD971"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44</w:t>
            </w:r>
          </w:p>
        </w:tc>
        <w:tc>
          <w:tcPr>
            <w:tcW w:w="0" w:type="auto"/>
            <w:tcBorders>
              <w:top w:val="nil"/>
              <w:left w:val="nil"/>
              <w:bottom w:val="nil"/>
              <w:right w:val="single" w:sz="4" w:space="0" w:color="auto"/>
            </w:tcBorders>
            <w:shd w:val="clear" w:color="auto" w:fill="auto"/>
            <w:noWrap/>
            <w:vAlign w:val="center"/>
            <w:hideMark/>
          </w:tcPr>
          <w:p w14:paraId="25F48BC2"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44</w:t>
            </w:r>
          </w:p>
        </w:tc>
        <w:tc>
          <w:tcPr>
            <w:tcW w:w="0" w:type="auto"/>
            <w:tcBorders>
              <w:top w:val="nil"/>
              <w:left w:val="single" w:sz="4" w:space="0" w:color="auto"/>
              <w:bottom w:val="nil"/>
              <w:right w:val="single" w:sz="4" w:space="0" w:color="auto"/>
            </w:tcBorders>
            <w:shd w:val="clear" w:color="auto" w:fill="auto"/>
            <w:noWrap/>
            <w:vAlign w:val="center"/>
            <w:hideMark/>
          </w:tcPr>
          <w:p w14:paraId="31A264CC"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44</w:t>
            </w:r>
          </w:p>
        </w:tc>
        <w:tc>
          <w:tcPr>
            <w:tcW w:w="0" w:type="auto"/>
            <w:tcBorders>
              <w:top w:val="nil"/>
              <w:left w:val="single" w:sz="4" w:space="0" w:color="auto"/>
              <w:bottom w:val="nil"/>
              <w:right w:val="single" w:sz="4" w:space="0" w:color="auto"/>
            </w:tcBorders>
            <w:shd w:val="clear" w:color="auto" w:fill="auto"/>
            <w:noWrap/>
            <w:vAlign w:val="center"/>
            <w:hideMark/>
          </w:tcPr>
          <w:p w14:paraId="3E01BF59"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44</w:t>
            </w:r>
          </w:p>
        </w:tc>
        <w:tc>
          <w:tcPr>
            <w:tcW w:w="0" w:type="auto"/>
            <w:tcBorders>
              <w:top w:val="nil"/>
              <w:left w:val="single" w:sz="4" w:space="0" w:color="auto"/>
              <w:bottom w:val="nil"/>
              <w:right w:val="nil"/>
            </w:tcBorders>
            <w:shd w:val="clear" w:color="auto" w:fill="auto"/>
            <w:noWrap/>
            <w:vAlign w:val="center"/>
            <w:hideMark/>
          </w:tcPr>
          <w:p w14:paraId="64169FFB"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44</w:t>
            </w:r>
          </w:p>
        </w:tc>
      </w:tr>
      <w:tr w:rsidR="00141E0C" w:rsidRPr="00D6457A" w14:paraId="5BF38005" w14:textId="77777777" w:rsidTr="00357B45">
        <w:trPr>
          <w:trHeight w:val="287"/>
        </w:trPr>
        <w:tc>
          <w:tcPr>
            <w:tcW w:w="0" w:type="auto"/>
            <w:tcBorders>
              <w:top w:val="nil"/>
              <w:left w:val="nil"/>
              <w:bottom w:val="single" w:sz="8" w:space="0" w:color="auto"/>
              <w:right w:val="single" w:sz="4" w:space="0" w:color="auto"/>
            </w:tcBorders>
            <w:shd w:val="clear" w:color="auto" w:fill="auto"/>
            <w:noWrap/>
            <w:vAlign w:val="center"/>
            <w:hideMark/>
          </w:tcPr>
          <w:p w14:paraId="691251B9" w14:textId="77777777" w:rsidR="00141E0C" w:rsidRPr="00D6457A" w:rsidRDefault="00141E0C" w:rsidP="00357B45">
            <w:pPr>
              <w:spacing w:after="0" w:line="240" w:lineRule="auto"/>
              <w:jc w:val="right"/>
              <w:rPr>
                <w:rFonts w:ascii="Times New Roman" w:eastAsia="Times New Roman" w:hAnsi="Times New Roman" w:cs="Times New Roman"/>
                <w:b/>
                <w:bCs/>
                <w:i/>
                <w:iCs/>
                <w:color w:val="000000"/>
                <w:sz w:val="18"/>
                <w:szCs w:val="18"/>
                <w:lang w:eastAsia="en-GB"/>
              </w:rPr>
            </w:pPr>
            <w:r w:rsidRPr="00D6457A">
              <w:rPr>
                <w:rFonts w:ascii="Times New Roman" w:eastAsia="Times New Roman" w:hAnsi="Times New Roman" w:cs="Times New Roman"/>
                <w:b/>
                <w:bCs/>
                <w:i/>
                <w:iCs/>
                <w:color w:val="000000"/>
                <w:sz w:val="18"/>
                <w:szCs w:val="18"/>
                <w:lang w:eastAsia="en-GB"/>
              </w:rPr>
              <w:t>p-</w:t>
            </w:r>
            <w:proofErr w:type="spellStart"/>
            <w:r w:rsidRPr="00D6457A">
              <w:rPr>
                <w:rFonts w:ascii="Times New Roman" w:eastAsia="Times New Roman" w:hAnsi="Times New Roman" w:cs="Times New Roman"/>
                <w:b/>
                <w:bCs/>
                <w:i/>
                <w:iCs/>
                <w:color w:val="000000"/>
                <w:sz w:val="18"/>
                <w:szCs w:val="18"/>
                <w:lang w:eastAsia="en-GB"/>
              </w:rPr>
              <w:t>value</w:t>
            </w:r>
            <w:proofErr w:type="spellEnd"/>
            <w:r w:rsidRPr="00D6457A">
              <w:rPr>
                <w:rFonts w:ascii="Times New Roman" w:eastAsia="Times New Roman" w:hAnsi="Times New Roman" w:cs="Times New Roman"/>
                <w:b/>
                <w:bCs/>
                <w:i/>
                <w:iCs/>
                <w:color w:val="000000"/>
                <w:sz w:val="18"/>
                <w:szCs w:val="18"/>
                <w:lang w:eastAsia="en-GB"/>
              </w:rPr>
              <w:t xml:space="preserve"> </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7ED60E21"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0.111</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74E905B7"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0.114</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2A8D35E4"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0.607</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065941C6"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0.467</w:t>
            </w:r>
          </w:p>
        </w:tc>
        <w:tc>
          <w:tcPr>
            <w:tcW w:w="0" w:type="auto"/>
            <w:tcBorders>
              <w:top w:val="nil"/>
              <w:left w:val="nil"/>
              <w:bottom w:val="single" w:sz="8" w:space="0" w:color="auto"/>
              <w:right w:val="single" w:sz="4" w:space="0" w:color="auto"/>
            </w:tcBorders>
            <w:shd w:val="clear" w:color="auto" w:fill="auto"/>
            <w:noWrap/>
            <w:vAlign w:val="center"/>
            <w:hideMark/>
          </w:tcPr>
          <w:p w14:paraId="293D0985"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0.456</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25A2FCD3"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0.053</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78C9E565"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0.043</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74723D1D"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0.073</w:t>
            </w:r>
          </w:p>
        </w:tc>
        <w:tc>
          <w:tcPr>
            <w:tcW w:w="0" w:type="auto"/>
            <w:tcBorders>
              <w:top w:val="nil"/>
              <w:left w:val="nil"/>
              <w:bottom w:val="single" w:sz="8" w:space="0" w:color="auto"/>
              <w:right w:val="single" w:sz="4" w:space="0" w:color="auto"/>
            </w:tcBorders>
            <w:shd w:val="clear" w:color="auto" w:fill="auto"/>
            <w:noWrap/>
            <w:vAlign w:val="center"/>
            <w:hideMark/>
          </w:tcPr>
          <w:p w14:paraId="5D9F7140"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0.456</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48C89DDC"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0.053</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535CD331"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0.043</w:t>
            </w:r>
          </w:p>
        </w:tc>
        <w:tc>
          <w:tcPr>
            <w:tcW w:w="0" w:type="auto"/>
            <w:tcBorders>
              <w:top w:val="nil"/>
              <w:left w:val="single" w:sz="4" w:space="0" w:color="auto"/>
              <w:bottom w:val="single" w:sz="8" w:space="0" w:color="auto"/>
              <w:right w:val="nil"/>
            </w:tcBorders>
            <w:shd w:val="clear" w:color="auto" w:fill="auto"/>
            <w:noWrap/>
            <w:vAlign w:val="center"/>
            <w:hideMark/>
          </w:tcPr>
          <w:p w14:paraId="2B1EE993" w14:textId="77777777" w:rsidR="00141E0C" w:rsidRPr="00D6457A" w:rsidRDefault="00141E0C" w:rsidP="00357B45">
            <w:pPr>
              <w:spacing w:after="0" w:line="240" w:lineRule="auto"/>
              <w:rPr>
                <w:rFonts w:ascii="Times New Roman" w:eastAsia="Times New Roman" w:hAnsi="Times New Roman" w:cs="Times New Roman"/>
                <w:color w:val="000000"/>
                <w:sz w:val="18"/>
                <w:szCs w:val="18"/>
                <w:lang w:eastAsia="en-GB"/>
              </w:rPr>
            </w:pPr>
            <w:r w:rsidRPr="00D6457A">
              <w:rPr>
                <w:rFonts w:ascii="Times New Roman" w:eastAsia="Times New Roman" w:hAnsi="Times New Roman" w:cs="Times New Roman"/>
                <w:color w:val="000000"/>
                <w:sz w:val="18"/>
                <w:szCs w:val="18"/>
                <w:lang w:eastAsia="en-GB"/>
              </w:rPr>
              <w:t>0.073</w:t>
            </w:r>
          </w:p>
        </w:tc>
      </w:tr>
    </w:tbl>
    <w:p w14:paraId="278334EE" w14:textId="16650613" w:rsidR="00141E0C" w:rsidRPr="00D6457A" w:rsidRDefault="00141E0C" w:rsidP="008A0623">
      <w:pPr>
        <w:jc w:val="both"/>
        <w:rPr>
          <w:rFonts w:ascii="Times New Roman" w:hAnsi="Times New Roman" w:cs="Times New Roman"/>
          <w:sz w:val="18"/>
          <w:szCs w:val="18"/>
          <w:lang w:val="en-GB"/>
        </w:rPr>
      </w:pPr>
      <w:r w:rsidRPr="00D6457A">
        <w:rPr>
          <w:rFonts w:ascii="Times New Roman" w:hAnsi="Times New Roman" w:cs="Times New Roman"/>
          <w:sz w:val="18"/>
          <w:szCs w:val="18"/>
          <w:lang w:val="en-GB"/>
        </w:rPr>
        <w:t>Note: The table reports the estimated coefficients, se, N J-statistic, degree of freedom and the p-value associated with the J-statistics. With respect to the country-year FE, the results do not change for the model specification which add the time trend.</w:t>
      </w:r>
      <w:r w:rsidR="00DC2CDD" w:rsidRPr="00DC2CDD">
        <w:rPr>
          <w:rFonts w:ascii="Times New Roman" w:hAnsi="Times New Roman" w:cs="Times New Roman"/>
          <w:sz w:val="20"/>
          <w:szCs w:val="20"/>
          <w:lang w:val="en-GB"/>
        </w:rPr>
        <w:t xml:space="preserve"> </w:t>
      </w:r>
      <w:r w:rsidR="00DC2CDD" w:rsidRPr="00DC2CDD">
        <w:rPr>
          <w:rFonts w:ascii="Times New Roman" w:hAnsi="Times New Roman" w:cs="Times New Roman"/>
          <w:sz w:val="18"/>
          <w:szCs w:val="18"/>
          <w:lang w:val="en-GB"/>
        </w:rPr>
        <w:t>For OLS models, we use panel-corrected standard errors (PCSEs, Beck and Catz 1995)</w:t>
      </w:r>
      <w:r w:rsidR="001D11F6">
        <w:rPr>
          <w:rFonts w:ascii="Times New Roman" w:hAnsi="Times New Roman" w:cs="Times New Roman"/>
          <w:sz w:val="18"/>
          <w:szCs w:val="18"/>
          <w:lang w:val="en-GB"/>
        </w:rPr>
        <w:t>;</w:t>
      </w:r>
      <w:r w:rsidR="00DC2CDD" w:rsidRPr="00DC2CDD">
        <w:rPr>
          <w:rFonts w:ascii="Times New Roman" w:hAnsi="Times New Roman" w:cs="Times New Roman"/>
          <w:sz w:val="18"/>
          <w:szCs w:val="18"/>
          <w:lang w:val="en-GB"/>
        </w:rPr>
        <w:t xml:space="preserve"> </w:t>
      </w:r>
      <w:r w:rsidR="001D11F6">
        <w:rPr>
          <w:rFonts w:ascii="Times New Roman" w:hAnsi="Times New Roman" w:cs="Times New Roman"/>
          <w:sz w:val="18"/>
          <w:szCs w:val="18"/>
          <w:lang w:val="en-GB"/>
        </w:rPr>
        <w:t>f</w:t>
      </w:r>
      <w:r w:rsidR="00DC2CDD" w:rsidRPr="00DC2CDD">
        <w:rPr>
          <w:rFonts w:ascii="Times New Roman" w:hAnsi="Times New Roman" w:cs="Times New Roman"/>
          <w:sz w:val="18"/>
          <w:szCs w:val="18"/>
          <w:lang w:val="en-GB"/>
        </w:rPr>
        <w:t xml:space="preserve">or IVs models, we used Heteroskedasticity and Autocorrelation Consistent Standard Errors (HAC se); * p &lt; 0.10, ** p &lt; 0.05, *** p &lt; </w:t>
      </w:r>
      <w:r w:rsidR="0084689F" w:rsidRPr="00DC2CDD">
        <w:rPr>
          <w:rFonts w:ascii="Times New Roman" w:hAnsi="Times New Roman" w:cs="Times New Roman"/>
          <w:sz w:val="18"/>
          <w:szCs w:val="18"/>
          <w:lang w:val="en-GB"/>
        </w:rPr>
        <w:t>0.01.</w:t>
      </w:r>
    </w:p>
    <w:p w14:paraId="6F9264A0" w14:textId="5AC7C2C7" w:rsidR="00141E0C" w:rsidRPr="009C61EE" w:rsidRDefault="009C61EE" w:rsidP="00141E0C">
      <w:pPr>
        <w:spacing w:before="240" w:after="120"/>
        <w:rPr>
          <w:rFonts w:ascii="Times New Roman" w:hAnsi="Times New Roman" w:cs="Times New Roman"/>
          <w:b/>
          <w:lang w:val="en-GB"/>
        </w:rPr>
      </w:pPr>
      <w:r w:rsidRPr="009C61EE">
        <w:rPr>
          <w:rFonts w:ascii="Times New Roman" w:hAnsi="Times New Roman" w:cs="Times New Roman"/>
          <w:b/>
          <w:lang w:val="en-GB"/>
        </w:rPr>
        <w:t xml:space="preserve">References </w:t>
      </w:r>
    </w:p>
    <w:p w14:paraId="3C882575" w14:textId="364342D7" w:rsidR="009C61EE" w:rsidRDefault="009C61EE" w:rsidP="00141E0C">
      <w:pPr>
        <w:spacing w:before="240" w:after="120"/>
        <w:rPr>
          <w:rFonts w:ascii="Times New Roman" w:hAnsi="Times New Roman" w:cs="Times New Roman"/>
          <w:bCs/>
          <w:color w:val="000000" w:themeColor="text1"/>
          <w:lang w:val="en-GB"/>
        </w:rPr>
      </w:pPr>
      <w:r w:rsidRPr="009C61EE">
        <w:rPr>
          <w:rFonts w:ascii="Times New Roman" w:hAnsi="Times New Roman" w:cs="Times New Roman"/>
          <w:bCs/>
          <w:color w:val="000000" w:themeColor="text1"/>
          <w:lang w:val="en-GB"/>
        </w:rPr>
        <w:t xml:space="preserve">Baum, C. F., and </w:t>
      </w:r>
      <w:proofErr w:type="spellStart"/>
      <w:r w:rsidRPr="009C61EE">
        <w:rPr>
          <w:rFonts w:ascii="Times New Roman" w:hAnsi="Times New Roman" w:cs="Times New Roman"/>
          <w:bCs/>
          <w:color w:val="000000" w:themeColor="text1"/>
          <w:lang w:val="en-GB"/>
        </w:rPr>
        <w:t>Lewbel</w:t>
      </w:r>
      <w:proofErr w:type="spellEnd"/>
      <w:r w:rsidRPr="009C61EE">
        <w:rPr>
          <w:rFonts w:ascii="Times New Roman" w:hAnsi="Times New Roman" w:cs="Times New Roman"/>
          <w:bCs/>
          <w:color w:val="000000" w:themeColor="text1"/>
          <w:lang w:val="en-GB"/>
        </w:rPr>
        <w:t xml:space="preserve">, A. (2019), Advice on Using Heteroskedasticity-Based Identification. </w:t>
      </w:r>
      <w:r w:rsidRPr="009C61EE">
        <w:rPr>
          <w:rFonts w:ascii="Times New Roman" w:hAnsi="Times New Roman" w:cs="Times New Roman"/>
          <w:bCs/>
          <w:i/>
          <w:iCs/>
          <w:color w:val="000000" w:themeColor="text1"/>
          <w:lang w:val="en-GB"/>
        </w:rPr>
        <w:t>The Stata Journal</w:t>
      </w:r>
      <w:r>
        <w:rPr>
          <w:rFonts w:ascii="Times New Roman" w:hAnsi="Times New Roman" w:cs="Times New Roman"/>
          <w:bCs/>
          <w:i/>
          <w:iCs/>
          <w:color w:val="000000" w:themeColor="text1"/>
          <w:lang w:val="en-GB"/>
        </w:rPr>
        <w:t>,</w:t>
      </w:r>
      <w:r w:rsidRPr="009C61EE">
        <w:rPr>
          <w:rFonts w:ascii="Times New Roman" w:hAnsi="Times New Roman" w:cs="Times New Roman"/>
          <w:bCs/>
          <w:color w:val="000000" w:themeColor="text1"/>
          <w:lang w:val="en-GB"/>
        </w:rPr>
        <w:t xml:space="preserve"> 19, 4, 757–67.</w:t>
      </w:r>
    </w:p>
    <w:p w14:paraId="12B0D56B" w14:textId="019F424C" w:rsidR="00196587" w:rsidRDefault="00196587" w:rsidP="009C61EE">
      <w:pPr>
        <w:spacing w:after="160" w:line="360" w:lineRule="auto"/>
        <w:jc w:val="both"/>
        <w:rPr>
          <w:rFonts w:ascii="Times New Roman" w:hAnsi="Times New Roman" w:cs="Times New Roman"/>
          <w:bCs/>
          <w:color w:val="000000" w:themeColor="text1"/>
          <w:lang w:val="en-GB"/>
        </w:rPr>
      </w:pPr>
      <w:r w:rsidRPr="00196587">
        <w:rPr>
          <w:rFonts w:ascii="Times New Roman" w:hAnsi="Times New Roman" w:cs="Times New Roman"/>
          <w:bCs/>
          <w:color w:val="000000" w:themeColor="text1"/>
          <w:lang w:val="en-GB"/>
        </w:rPr>
        <w:t>Baum, C. F., Schaffer, M. E.</w:t>
      </w:r>
      <w:r>
        <w:rPr>
          <w:rFonts w:ascii="Times New Roman" w:hAnsi="Times New Roman" w:cs="Times New Roman"/>
          <w:bCs/>
          <w:color w:val="000000" w:themeColor="text1"/>
          <w:lang w:val="en-GB"/>
        </w:rPr>
        <w:t xml:space="preserve"> (</w:t>
      </w:r>
      <w:r w:rsidRPr="00196587">
        <w:rPr>
          <w:rFonts w:ascii="Times New Roman" w:hAnsi="Times New Roman" w:cs="Times New Roman"/>
          <w:bCs/>
          <w:color w:val="000000" w:themeColor="text1"/>
          <w:lang w:val="en-GB"/>
        </w:rPr>
        <w:t>2012</w:t>
      </w:r>
      <w:r>
        <w:rPr>
          <w:rFonts w:ascii="Times New Roman" w:hAnsi="Times New Roman" w:cs="Times New Roman"/>
          <w:bCs/>
          <w:color w:val="000000" w:themeColor="text1"/>
          <w:lang w:val="en-GB"/>
        </w:rPr>
        <w:t>),</w:t>
      </w:r>
      <w:r w:rsidRPr="00196587">
        <w:rPr>
          <w:rFonts w:ascii="Times New Roman" w:hAnsi="Times New Roman" w:cs="Times New Roman"/>
          <w:bCs/>
          <w:color w:val="000000" w:themeColor="text1"/>
          <w:lang w:val="en-GB"/>
        </w:rPr>
        <w:t> ivreg2h: Stata module to perform instrumental variables estimation using heteroskedasticity-based instruments. Statistical Software Components S457555, Department of Economics, Boston College. </w:t>
      </w:r>
      <w:hyperlink r:id="rId31" w:tgtFrame="_blank" w:history="1">
        <w:r w:rsidRPr="00196587">
          <w:rPr>
            <w:rStyle w:val="Hyperlink"/>
            <w:rFonts w:ascii="Times New Roman" w:hAnsi="Times New Roman" w:cs="Times New Roman"/>
            <w:bCs/>
            <w:lang w:val="en-GB"/>
          </w:rPr>
          <w:t>https://ideas.repec.org/c/boc/bocode/s457555.html</w:t>
        </w:r>
      </w:hyperlink>
      <w:r w:rsidRPr="00196587">
        <w:rPr>
          <w:rFonts w:ascii="Times New Roman" w:hAnsi="Times New Roman" w:cs="Times New Roman"/>
          <w:bCs/>
          <w:color w:val="000000" w:themeColor="text1"/>
          <w:lang w:val="en-GB"/>
        </w:rPr>
        <w:t xml:space="preserve">. </w:t>
      </w:r>
    </w:p>
    <w:p w14:paraId="3229D818" w14:textId="4B478B1E" w:rsidR="005700D0" w:rsidRPr="009C61EE" w:rsidRDefault="009C61EE" w:rsidP="009C61EE">
      <w:pPr>
        <w:spacing w:after="160" w:line="360" w:lineRule="auto"/>
        <w:jc w:val="both"/>
        <w:rPr>
          <w:rFonts w:ascii="Times New Roman" w:eastAsia="Calibri" w:hAnsi="Times New Roman" w:cs="Times New Roman"/>
          <w:color w:val="000000" w:themeColor="text1"/>
          <w:lang w:val="en-GB"/>
        </w:rPr>
      </w:pPr>
      <w:r w:rsidRPr="009C61EE">
        <w:rPr>
          <w:rFonts w:ascii="Times New Roman" w:eastAsia="Calibri" w:hAnsi="Times New Roman" w:cs="Times New Roman"/>
          <w:color w:val="000000" w:themeColor="text1"/>
          <w:lang w:val="en-GB"/>
        </w:rPr>
        <w:t xml:space="preserve">Beck, N., and Katz, J. (1995), What to do (and not to do) with Time-Series Cross-Section Data, </w:t>
      </w:r>
      <w:r w:rsidRPr="009C61EE">
        <w:rPr>
          <w:rFonts w:ascii="Times New Roman" w:eastAsia="Calibri" w:hAnsi="Times New Roman" w:cs="Times New Roman"/>
          <w:i/>
          <w:iCs/>
          <w:color w:val="000000" w:themeColor="text1"/>
          <w:lang w:val="en-GB"/>
        </w:rPr>
        <w:t>The American Political Science Review</w:t>
      </w:r>
      <w:r w:rsidRPr="009C61EE">
        <w:rPr>
          <w:rFonts w:ascii="Times New Roman" w:eastAsia="Calibri" w:hAnsi="Times New Roman" w:cs="Times New Roman"/>
          <w:color w:val="000000" w:themeColor="text1"/>
          <w:lang w:val="en-GB"/>
        </w:rPr>
        <w:t>, 89,3, 634-647.</w:t>
      </w:r>
    </w:p>
    <w:p w14:paraId="56F2FB74" w14:textId="42A56B21" w:rsidR="005700D0" w:rsidRDefault="005700D0" w:rsidP="00141E0C">
      <w:pPr>
        <w:spacing w:before="240" w:after="120"/>
        <w:rPr>
          <w:rFonts w:cstheme="minorHAnsi"/>
          <w:b/>
          <w:lang w:val="en-GB"/>
        </w:rPr>
      </w:pPr>
    </w:p>
    <w:p w14:paraId="7465415C" w14:textId="77777777" w:rsidR="005700D0" w:rsidRDefault="005700D0" w:rsidP="005700D0">
      <w:pPr>
        <w:spacing w:after="0"/>
        <w:rPr>
          <w:rFonts w:ascii="Times New Roman" w:eastAsia="Calibri" w:hAnsi="Times New Roman" w:cs="Times New Roman"/>
          <w:b/>
          <w:color w:val="000000"/>
          <w:sz w:val="24"/>
          <w:lang w:val="en-US"/>
        </w:rPr>
        <w:sectPr w:rsidR="005700D0" w:rsidSect="00357B45">
          <w:headerReference w:type="default" r:id="rId32"/>
          <w:pgSz w:w="16838" w:h="11906" w:orient="landscape" w:code="9"/>
          <w:pgMar w:top="1440" w:right="1440" w:bottom="1440" w:left="1440" w:header="709" w:footer="709" w:gutter="0"/>
          <w:cols w:space="708"/>
          <w:docGrid w:linePitch="360"/>
        </w:sectPr>
      </w:pPr>
    </w:p>
    <w:p w14:paraId="4DA769A6" w14:textId="61F0E54B" w:rsidR="005700D0" w:rsidRDefault="005700D0" w:rsidP="00D84CCA">
      <w:pPr>
        <w:rPr>
          <w:rFonts w:ascii="Times New Roman" w:eastAsia="Calibri" w:hAnsi="Times New Roman" w:cs="Times New Roman"/>
          <w:b/>
          <w:color w:val="000000"/>
          <w:sz w:val="24"/>
          <w:lang w:val="en-US"/>
        </w:rPr>
      </w:pPr>
      <w:r w:rsidRPr="005700D0">
        <w:rPr>
          <w:rFonts w:ascii="Times New Roman" w:hAnsi="Times New Roman" w:cs="Times New Roman"/>
          <w:b/>
          <w:bCs/>
          <w:sz w:val="24"/>
          <w:szCs w:val="24"/>
          <w:lang w:val="en-GB"/>
        </w:rPr>
        <w:lastRenderedPageBreak/>
        <w:t xml:space="preserve">Section </w:t>
      </w:r>
      <w:r w:rsidR="007E7BA9">
        <w:rPr>
          <w:rFonts w:ascii="Times New Roman" w:hAnsi="Times New Roman" w:cs="Times New Roman"/>
          <w:b/>
          <w:bCs/>
          <w:sz w:val="24"/>
          <w:szCs w:val="24"/>
          <w:lang w:val="en-GB"/>
        </w:rPr>
        <w:t>F</w:t>
      </w:r>
      <w:r w:rsidRPr="005700D0">
        <w:rPr>
          <w:rFonts w:ascii="Times New Roman" w:hAnsi="Times New Roman" w:cs="Times New Roman"/>
          <w:b/>
          <w:bCs/>
          <w:sz w:val="24"/>
          <w:szCs w:val="24"/>
          <w:lang w:val="en-GB"/>
        </w:rPr>
        <w:t>:</w:t>
      </w:r>
      <w:r w:rsidRPr="005700D0">
        <w:rPr>
          <w:rFonts w:ascii="Times New Roman" w:hAnsi="Times New Roman" w:cs="Times New Roman"/>
          <w:sz w:val="24"/>
          <w:szCs w:val="24"/>
          <w:lang w:val="en-GB"/>
        </w:rPr>
        <w:t xml:space="preserve"> </w:t>
      </w:r>
      <w:r w:rsidRPr="00F94C9A">
        <w:rPr>
          <w:rFonts w:ascii="Times New Roman" w:eastAsia="Calibri" w:hAnsi="Times New Roman" w:cs="Times New Roman"/>
          <w:b/>
          <w:color w:val="000000"/>
          <w:sz w:val="24"/>
          <w:lang w:val="en-US"/>
        </w:rPr>
        <w:t>Relationship between poverty rate and poverty gap</w:t>
      </w:r>
    </w:p>
    <w:p w14:paraId="2A8CDA33" w14:textId="77777777" w:rsidR="005700D0" w:rsidRPr="00DB2838" w:rsidRDefault="005700D0" w:rsidP="005700D0">
      <w:pPr>
        <w:spacing w:after="0"/>
        <w:rPr>
          <w:rFonts w:ascii="Times New Roman" w:eastAsia="Calibri" w:hAnsi="Times New Roman" w:cs="Times New Roman"/>
          <w:bCs/>
          <w:color w:val="000000" w:themeColor="text1"/>
          <w:sz w:val="24"/>
          <w:lang w:val="en-US"/>
        </w:rPr>
      </w:pPr>
      <w:proofErr w:type="gramStart"/>
      <w:r w:rsidRPr="00DB2838">
        <w:rPr>
          <w:rFonts w:ascii="Times New Roman" w:eastAsia="Calibri" w:hAnsi="Times New Roman" w:cs="Times New Roman"/>
          <w:bCs/>
          <w:color w:val="000000" w:themeColor="text1"/>
          <w:sz w:val="24"/>
          <w:lang w:val="en-US"/>
        </w:rPr>
        <w:t>In order to</w:t>
      </w:r>
      <w:proofErr w:type="gramEnd"/>
      <w:r w:rsidRPr="00DB2838">
        <w:rPr>
          <w:rFonts w:ascii="Times New Roman" w:eastAsia="Calibri" w:hAnsi="Times New Roman" w:cs="Times New Roman"/>
          <w:bCs/>
          <w:color w:val="000000" w:themeColor="text1"/>
          <w:sz w:val="24"/>
          <w:lang w:val="en-US"/>
        </w:rPr>
        <w:t xml:space="preserve"> clarify how the poverty gap might increase as consequence of a change in the pension benefits define poverty rate as: </w:t>
      </w:r>
    </w:p>
    <w:p w14:paraId="789BA8A5" w14:textId="5D1596E2" w:rsidR="005700D0" w:rsidRPr="005700D0" w:rsidRDefault="005700D0" w:rsidP="005700D0">
      <w:pPr>
        <w:spacing w:after="0"/>
        <w:rPr>
          <w:rFonts w:ascii="Times New Roman" w:eastAsia="Calibri" w:hAnsi="Times New Roman" w:cs="Times New Roman"/>
          <w:color w:val="000000"/>
          <w:sz w:val="2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550"/>
      </w:tblGrid>
      <w:tr w:rsidR="005700D0" w14:paraId="6B9D09B4" w14:textId="77777777" w:rsidTr="005700D0">
        <w:trPr>
          <w:trHeight w:val="432"/>
          <w:jc w:val="center"/>
        </w:trPr>
        <w:tc>
          <w:tcPr>
            <w:tcW w:w="3048" w:type="dxa"/>
          </w:tcPr>
          <w:p w14:paraId="014FB856" w14:textId="05C5D1EF" w:rsidR="005700D0" w:rsidRDefault="00A22FF7" w:rsidP="00357B45">
            <w:pPr>
              <w:spacing w:after="0"/>
              <w:rPr>
                <w:rFonts w:ascii="Times New Roman" w:eastAsia="Calibri" w:hAnsi="Times New Roman" w:cs="Times New Roman"/>
                <w:color w:val="000000"/>
                <w:lang w:val="en-US"/>
              </w:rPr>
            </w:pPr>
            <m:oMathPara>
              <m:oMath>
                <m:f>
                  <m:fPr>
                    <m:ctrlPr>
                      <w:rPr>
                        <w:rFonts w:ascii="Cambria Math" w:eastAsia="Calibri" w:hAnsi="Cambria Math" w:cs="Times New Roman"/>
                        <w:color w:val="000000"/>
                        <w:lang w:val="en-US"/>
                      </w:rPr>
                    </m:ctrlPr>
                  </m:fPr>
                  <m:num>
                    <m:nary>
                      <m:naryPr>
                        <m:chr m:val="∑"/>
                        <m:limLoc m:val="undOvr"/>
                        <m:ctrlPr>
                          <w:rPr>
                            <w:rFonts w:ascii="Cambria Math" w:eastAsia="Calibri" w:hAnsi="Cambria Math" w:cs="Times New Roman"/>
                            <w:color w:val="000000"/>
                            <w:lang w:val="en-US"/>
                          </w:rPr>
                        </m:ctrlPr>
                      </m:naryPr>
                      <m:sub>
                        <m:r>
                          <w:rPr>
                            <w:rFonts w:ascii="Cambria Math" w:eastAsia="Calibri" w:hAnsi="Cambria Math" w:cs="Times New Roman"/>
                            <w:color w:val="000000"/>
                            <w:lang w:val="en-US"/>
                          </w:rPr>
                          <m:t>j</m:t>
                        </m:r>
                        <m:r>
                          <m:rPr>
                            <m:sty m:val="p"/>
                          </m:rPr>
                          <w:rPr>
                            <w:rFonts w:ascii="Cambria Math" w:eastAsia="Calibri" w:hAnsi="Cambria Math" w:cs="Times New Roman"/>
                            <w:color w:val="000000"/>
                            <w:lang w:val="en-US"/>
                          </w:rPr>
                          <m:t>=1</m:t>
                        </m:r>
                      </m:sub>
                      <m:sup>
                        <m:r>
                          <w:rPr>
                            <w:rFonts w:ascii="Cambria Math" w:eastAsia="Calibri" w:hAnsi="Cambria Math" w:cs="Times New Roman"/>
                            <w:color w:val="000000"/>
                            <w:lang w:val="en-US"/>
                          </w:rPr>
                          <m:t>g</m:t>
                        </m:r>
                      </m:sup>
                      <m:e>
                        <m:r>
                          <w:rPr>
                            <w:rFonts w:ascii="Cambria Math" w:eastAsia="Calibri" w:hAnsi="Cambria Math" w:cs="Times New Roman"/>
                            <w:color w:val="000000"/>
                            <w:lang w:val="en-US"/>
                          </w:rPr>
                          <m:t>P</m:t>
                        </m:r>
                      </m:e>
                    </m:nary>
                  </m:num>
                  <m:den>
                    <m:r>
                      <w:rPr>
                        <w:rFonts w:ascii="Cambria Math" w:eastAsia="Calibri" w:hAnsi="Cambria Math" w:cs="Times New Roman"/>
                        <w:color w:val="000000"/>
                        <w:lang w:val="en-US"/>
                      </w:rPr>
                      <m:t>N</m:t>
                    </m:r>
                  </m:den>
                </m:f>
              </m:oMath>
            </m:oMathPara>
          </w:p>
        </w:tc>
        <w:tc>
          <w:tcPr>
            <w:tcW w:w="307" w:type="dxa"/>
            <w:vAlign w:val="center"/>
          </w:tcPr>
          <w:p w14:paraId="6A5F7875" w14:textId="77777777" w:rsidR="005700D0" w:rsidRDefault="005700D0" w:rsidP="00357B45">
            <w:pPr>
              <w:spacing w:after="0"/>
              <w:rPr>
                <w:rFonts w:ascii="Times New Roman" w:eastAsia="Calibri" w:hAnsi="Times New Roman" w:cs="Times New Roman"/>
                <w:color w:val="000000"/>
                <w:lang w:val="en-US"/>
              </w:rPr>
            </w:pPr>
            <w:r>
              <w:rPr>
                <w:rFonts w:ascii="Times New Roman" w:eastAsia="Calibri" w:hAnsi="Times New Roman" w:cs="Times New Roman"/>
                <w:color w:val="000000"/>
                <w:lang w:val="en-US"/>
              </w:rPr>
              <w:t>[A]</w:t>
            </w:r>
          </w:p>
        </w:tc>
      </w:tr>
    </w:tbl>
    <w:p w14:paraId="1C75DE6D" w14:textId="77777777" w:rsidR="005700D0" w:rsidRPr="00F94C9A" w:rsidRDefault="005700D0" w:rsidP="005700D0">
      <w:pPr>
        <w:spacing w:after="0"/>
        <w:rPr>
          <w:rFonts w:ascii="Times New Roman" w:eastAsia="Calibri" w:hAnsi="Times New Roman" w:cs="Times New Roman"/>
          <w:color w:val="000000"/>
          <w:sz w:val="24"/>
          <w:lang w:val="en-US"/>
        </w:rPr>
      </w:pPr>
    </w:p>
    <w:p w14:paraId="06A1C525" w14:textId="77777777" w:rsidR="005700D0" w:rsidRPr="00DB2838" w:rsidRDefault="005700D0" w:rsidP="005700D0">
      <w:pPr>
        <w:spacing w:after="0"/>
        <w:rPr>
          <w:rFonts w:ascii="Times New Roman" w:eastAsia="Calibri" w:hAnsi="Times New Roman" w:cs="Times New Roman"/>
          <w:color w:val="000000" w:themeColor="text1"/>
          <w:sz w:val="24"/>
          <w:lang w:val="en-US"/>
        </w:rPr>
      </w:pPr>
      <w:r w:rsidRPr="00DB2838">
        <w:rPr>
          <w:rFonts w:ascii="Times New Roman" w:eastAsia="Calibri" w:hAnsi="Times New Roman" w:cs="Times New Roman"/>
          <w:color w:val="000000" w:themeColor="text1"/>
          <w:sz w:val="24"/>
          <w:lang w:val="en-US"/>
        </w:rPr>
        <w:t xml:space="preserve">And define poverty gap as: </w:t>
      </w:r>
    </w:p>
    <w:p w14:paraId="0714D205" w14:textId="22B5C3D9" w:rsidR="005700D0" w:rsidRPr="005700D0" w:rsidRDefault="005700D0" w:rsidP="005700D0">
      <w:pPr>
        <w:spacing w:after="0"/>
        <w:rPr>
          <w:rFonts w:ascii="Times New Roman" w:eastAsia="Calibri" w:hAnsi="Times New Roman" w:cs="Times New Roman"/>
          <w:color w:val="000000"/>
          <w:sz w:val="2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536"/>
      </w:tblGrid>
      <w:tr w:rsidR="005700D0" w14:paraId="6FF47F1C" w14:textId="77777777" w:rsidTr="005700D0">
        <w:trPr>
          <w:trHeight w:val="444"/>
          <w:jc w:val="center"/>
        </w:trPr>
        <w:tc>
          <w:tcPr>
            <w:tcW w:w="3059" w:type="dxa"/>
          </w:tcPr>
          <w:p w14:paraId="67D56D34" w14:textId="24208638" w:rsidR="005700D0" w:rsidRDefault="00A22FF7" w:rsidP="00357B45">
            <w:pPr>
              <w:spacing w:after="0"/>
              <w:rPr>
                <w:rFonts w:ascii="Times New Roman" w:eastAsia="Calibri" w:hAnsi="Times New Roman" w:cs="Times New Roman"/>
                <w:color w:val="000000"/>
                <w:lang w:val="en-US"/>
              </w:rPr>
            </w:pPr>
            <m:oMathPara>
              <m:oMath>
                <m:f>
                  <m:fPr>
                    <m:ctrlPr>
                      <w:rPr>
                        <w:rFonts w:ascii="Cambria Math" w:eastAsia="Calibri" w:hAnsi="Cambria Math" w:cs="Times New Roman"/>
                        <w:color w:val="000000"/>
                        <w:lang w:val="en-US"/>
                      </w:rPr>
                    </m:ctrlPr>
                  </m:fPr>
                  <m:num>
                    <m:r>
                      <m:rPr>
                        <m:sty m:val="p"/>
                      </m:rPr>
                      <w:rPr>
                        <w:rFonts w:ascii="Cambria Math" w:eastAsia="Calibri" w:hAnsi="Cambria Math" w:cs="Times New Roman"/>
                        <w:color w:val="000000"/>
                        <w:lang w:val="en-US"/>
                      </w:rPr>
                      <m:t>1</m:t>
                    </m:r>
                  </m:num>
                  <m:den>
                    <m:r>
                      <w:rPr>
                        <w:rFonts w:ascii="Cambria Math" w:eastAsia="Calibri" w:hAnsi="Cambria Math" w:cs="Times New Roman"/>
                        <w:color w:val="000000"/>
                        <w:lang w:val="en-US"/>
                      </w:rPr>
                      <m:t>N</m:t>
                    </m:r>
                  </m:den>
                </m:f>
                <m:nary>
                  <m:naryPr>
                    <m:chr m:val="∑"/>
                    <m:limLoc m:val="undOvr"/>
                    <m:ctrlPr>
                      <w:rPr>
                        <w:rFonts w:ascii="Cambria Math" w:eastAsia="Calibri" w:hAnsi="Cambria Math" w:cs="Times New Roman"/>
                        <w:color w:val="000000"/>
                        <w:lang w:val="en-US"/>
                      </w:rPr>
                    </m:ctrlPr>
                  </m:naryPr>
                  <m:sub>
                    <m:r>
                      <w:rPr>
                        <w:rFonts w:ascii="Cambria Math" w:eastAsia="Calibri" w:hAnsi="Cambria Math" w:cs="Times New Roman"/>
                        <w:color w:val="000000"/>
                        <w:lang w:val="en-US"/>
                      </w:rPr>
                      <m:t>j</m:t>
                    </m:r>
                    <m:r>
                      <m:rPr>
                        <m:sty m:val="p"/>
                      </m:rPr>
                      <w:rPr>
                        <w:rFonts w:ascii="Cambria Math" w:eastAsia="Calibri" w:hAnsi="Cambria Math" w:cs="Times New Roman"/>
                        <w:color w:val="000000"/>
                        <w:lang w:val="en-US"/>
                      </w:rPr>
                      <m:t>=1</m:t>
                    </m:r>
                  </m:sub>
                  <m:sup>
                    <m:r>
                      <w:rPr>
                        <w:rFonts w:ascii="Cambria Math" w:eastAsia="Calibri" w:hAnsi="Cambria Math" w:cs="Times New Roman"/>
                        <w:color w:val="000000"/>
                        <w:lang w:val="en-US"/>
                      </w:rPr>
                      <m:t>g</m:t>
                    </m:r>
                  </m:sup>
                  <m:e>
                    <m:f>
                      <m:fPr>
                        <m:ctrlPr>
                          <w:rPr>
                            <w:rFonts w:ascii="Cambria Math" w:eastAsia="Calibri" w:hAnsi="Cambria Math" w:cs="Times New Roman"/>
                            <w:color w:val="000000"/>
                            <w:lang w:val="en-US"/>
                          </w:rPr>
                        </m:ctrlPr>
                      </m:fPr>
                      <m:num>
                        <m:r>
                          <w:rPr>
                            <w:rFonts w:ascii="Cambria Math" w:eastAsia="Calibri" w:hAnsi="Cambria Math" w:cs="Times New Roman"/>
                            <w:color w:val="000000"/>
                            <w:lang w:val="en-US"/>
                          </w:rPr>
                          <m:t>Z</m:t>
                        </m:r>
                        <m:r>
                          <m:rPr>
                            <m:sty m:val="p"/>
                          </m:rPr>
                          <w:rPr>
                            <w:rFonts w:ascii="Cambria Math" w:eastAsia="Calibri" w:hAnsi="Cambria Math" w:cs="Times New Roman"/>
                            <w:color w:val="000000"/>
                            <w:lang w:val="en-US"/>
                          </w:rPr>
                          <m:t>-</m:t>
                        </m:r>
                        <m:sSub>
                          <m:sSubPr>
                            <m:ctrlPr>
                              <w:rPr>
                                <w:rFonts w:ascii="Cambria Math" w:eastAsia="Calibri" w:hAnsi="Cambria Math" w:cs="Times New Roman"/>
                                <w:color w:val="000000"/>
                                <w:lang w:val="en-US"/>
                              </w:rPr>
                            </m:ctrlPr>
                          </m:sSubPr>
                          <m:e>
                            <m:r>
                              <w:rPr>
                                <w:rFonts w:ascii="Cambria Math" w:eastAsia="Calibri" w:hAnsi="Cambria Math" w:cs="Times New Roman"/>
                                <w:color w:val="000000"/>
                                <w:lang w:val="en-US"/>
                              </w:rPr>
                              <m:t>y</m:t>
                            </m:r>
                          </m:e>
                          <m:sub>
                            <m:r>
                              <w:rPr>
                                <w:rFonts w:ascii="Cambria Math" w:eastAsia="Calibri" w:hAnsi="Cambria Math" w:cs="Times New Roman"/>
                                <w:color w:val="000000"/>
                                <w:lang w:val="en-US"/>
                              </w:rPr>
                              <m:t>j</m:t>
                            </m:r>
                          </m:sub>
                        </m:sSub>
                      </m:num>
                      <m:den>
                        <m:r>
                          <w:rPr>
                            <w:rFonts w:ascii="Cambria Math" w:eastAsia="Calibri" w:hAnsi="Cambria Math" w:cs="Times New Roman"/>
                            <w:color w:val="000000"/>
                            <w:lang w:val="en-US"/>
                          </w:rPr>
                          <m:t>Z</m:t>
                        </m:r>
                      </m:den>
                    </m:f>
                  </m:e>
                </m:nary>
                <m:r>
                  <w:rPr>
                    <w:rFonts w:ascii="Cambria Math" w:eastAsia="Calibri" w:hAnsi="Cambria Math" w:cs="Times New Roman"/>
                    <w:color w:val="000000"/>
                    <w:lang w:val="en-US"/>
                  </w:rPr>
                  <m:t xml:space="preserve"> </m:t>
                </m:r>
              </m:oMath>
            </m:oMathPara>
          </w:p>
        </w:tc>
        <w:tc>
          <w:tcPr>
            <w:tcW w:w="308" w:type="dxa"/>
            <w:vAlign w:val="center"/>
          </w:tcPr>
          <w:p w14:paraId="01CB5124" w14:textId="7288037A" w:rsidR="005700D0" w:rsidRDefault="005700D0" w:rsidP="00357B45">
            <w:pPr>
              <w:spacing w:after="0"/>
              <w:rPr>
                <w:rFonts w:ascii="Times New Roman" w:eastAsia="Calibri" w:hAnsi="Times New Roman" w:cs="Times New Roman"/>
                <w:color w:val="000000"/>
                <w:lang w:val="en-US"/>
              </w:rPr>
            </w:pPr>
            <w:r>
              <w:rPr>
                <w:rFonts w:ascii="Times New Roman" w:eastAsia="Calibri" w:hAnsi="Times New Roman" w:cs="Times New Roman"/>
                <w:color w:val="000000"/>
                <w:lang w:val="en-US"/>
              </w:rPr>
              <w:t>[B]</w:t>
            </w:r>
          </w:p>
        </w:tc>
      </w:tr>
    </w:tbl>
    <w:p w14:paraId="5B33A889" w14:textId="77777777" w:rsidR="005700D0" w:rsidRPr="00F94C9A" w:rsidRDefault="005700D0" w:rsidP="005700D0">
      <w:pPr>
        <w:spacing w:after="0"/>
        <w:rPr>
          <w:rFonts w:ascii="Times New Roman" w:eastAsia="Calibri" w:hAnsi="Times New Roman" w:cs="Times New Roman"/>
          <w:color w:val="000000"/>
          <w:sz w:val="24"/>
          <w:lang w:val="en-US"/>
        </w:rPr>
      </w:pPr>
    </w:p>
    <w:p w14:paraId="09B4E054" w14:textId="77777777" w:rsidR="005700D0" w:rsidRPr="00DB2838" w:rsidRDefault="005700D0" w:rsidP="005700D0">
      <w:pPr>
        <w:spacing w:after="0"/>
        <w:jc w:val="both"/>
        <w:rPr>
          <w:rFonts w:ascii="Times New Roman" w:eastAsia="Calibri" w:hAnsi="Times New Roman" w:cs="Times New Roman"/>
          <w:color w:val="000000" w:themeColor="text1"/>
          <w:sz w:val="24"/>
          <w:lang w:val="en-US"/>
        </w:rPr>
      </w:pPr>
      <w:r w:rsidRPr="00DB2838">
        <w:rPr>
          <w:rFonts w:ascii="Times New Roman" w:eastAsia="Calibri" w:hAnsi="Times New Roman" w:cs="Times New Roman"/>
          <w:color w:val="000000" w:themeColor="text1"/>
          <w:sz w:val="24"/>
          <w:lang w:val="en-US"/>
        </w:rPr>
        <w:t xml:space="preserve">Where </w:t>
      </w:r>
      <m:oMath>
        <m:r>
          <w:rPr>
            <w:rFonts w:ascii="Cambria Math" w:eastAsia="Calibri" w:hAnsi="Cambria Math" w:cs="Times New Roman"/>
            <w:color w:val="000000" w:themeColor="text1"/>
            <w:sz w:val="24"/>
            <w:lang w:val="en-US"/>
          </w:rPr>
          <m:t>P</m:t>
        </m:r>
      </m:oMath>
      <w:r w:rsidRPr="00DB2838">
        <w:rPr>
          <w:rFonts w:ascii="Times New Roman" w:eastAsia="Times New Roman" w:hAnsi="Times New Roman" w:cs="Times New Roman"/>
          <w:color w:val="000000" w:themeColor="text1"/>
          <w:sz w:val="24"/>
          <w:lang w:val="en-US"/>
        </w:rPr>
        <w:t xml:space="preserve"> is the number of poor people, </w:t>
      </w:r>
      <m:oMath>
        <m:r>
          <w:rPr>
            <w:rFonts w:ascii="Cambria Math" w:eastAsia="Calibri" w:hAnsi="Cambria Math" w:cs="Times New Roman"/>
            <w:color w:val="000000" w:themeColor="text1"/>
            <w:sz w:val="24"/>
            <w:lang w:val="en-US"/>
          </w:rPr>
          <m:t>Z</m:t>
        </m:r>
      </m:oMath>
      <w:r w:rsidRPr="00DB2838">
        <w:rPr>
          <w:rFonts w:ascii="Times New Roman" w:eastAsia="Calibri" w:hAnsi="Times New Roman" w:cs="Times New Roman"/>
          <w:color w:val="000000" w:themeColor="text1"/>
          <w:sz w:val="24"/>
          <w:lang w:val="en-US"/>
        </w:rPr>
        <w:t xml:space="preserve"> is the poverty line (threshold) and </w:t>
      </w:r>
      <m:oMath>
        <m:r>
          <w:rPr>
            <w:rFonts w:ascii="Cambria Math" w:eastAsia="Calibri" w:hAnsi="Cambria Math" w:cs="Times New Roman"/>
            <w:color w:val="000000" w:themeColor="text1"/>
            <w:sz w:val="24"/>
            <w:lang w:val="en-US"/>
          </w:rPr>
          <m:t>y</m:t>
        </m:r>
      </m:oMath>
      <w:r w:rsidRPr="00DB2838">
        <w:rPr>
          <w:rFonts w:ascii="Times New Roman" w:eastAsia="Calibri" w:hAnsi="Times New Roman" w:cs="Times New Roman"/>
          <w:color w:val="000000" w:themeColor="text1"/>
          <w:sz w:val="24"/>
          <w:lang w:val="en-US"/>
        </w:rPr>
        <w:t xml:space="preserve"> is the income for country </w:t>
      </w:r>
      <m:oMath>
        <m:r>
          <w:rPr>
            <w:rFonts w:ascii="Cambria Math" w:eastAsia="Calibri" w:hAnsi="Cambria Math" w:cs="Times New Roman"/>
            <w:color w:val="000000" w:themeColor="text1"/>
            <w:sz w:val="24"/>
            <w:lang w:val="en-US"/>
          </w:rPr>
          <m:t>g</m:t>
        </m:r>
      </m:oMath>
      <w:r w:rsidRPr="00DB2838">
        <w:rPr>
          <w:rFonts w:ascii="Times New Roman" w:eastAsia="Calibri" w:hAnsi="Times New Roman" w:cs="Times New Roman"/>
          <w:color w:val="000000" w:themeColor="text1"/>
          <w:sz w:val="24"/>
          <w:lang w:val="en-US"/>
        </w:rPr>
        <w:t xml:space="preserve"> and household </w:t>
      </w:r>
      <m:oMath>
        <m:r>
          <w:rPr>
            <w:rFonts w:ascii="Cambria Math" w:eastAsia="Calibri" w:hAnsi="Cambria Math" w:cs="Times New Roman"/>
            <w:color w:val="000000" w:themeColor="text1"/>
            <w:sz w:val="24"/>
            <w:lang w:val="en-US"/>
          </w:rPr>
          <m:t>j</m:t>
        </m:r>
      </m:oMath>
      <w:r w:rsidRPr="00DB2838">
        <w:rPr>
          <w:rFonts w:ascii="Times New Roman" w:eastAsia="Calibri" w:hAnsi="Times New Roman" w:cs="Times New Roman"/>
          <w:color w:val="000000" w:themeColor="text1"/>
          <w:sz w:val="24"/>
          <w:lang w:val="en-US"/>
        </w:rPr>
        <w:t xml:space="preserve">. N is the total number of households/units. Both numerators (in A and B) are directly linked via: </w:t>
      </w:r>
      <m:oMath>
        <m:sSub>
          <m:sSubPr>
            <m:ctrlPr>
              <w:rPr>
                <w:rFonts w:ascii="Cambria Math" w:eastAsia="Calibri" w:hAnsi="Cambria Math" w:cs="Times New Roman"/>
                <w:color w:val="000000" w:themeColor="text1"/>
                <w:sz w:val="24"/>
                <w:lang w:val="en-US"/>
              </w:rPr>
            </m:ctrlPr>
          </m:sSubPr>
          <m:e>
            <m:r>
              <w:rPr>
                <w:rFonts w:ascii="Cambria Math" w:eastAsia="Calibri" w:hAnsi="Cambria Math" w:cs="Times New Roman"/>
                <w:color w:val="000000" w:themeColor="text1"/>
                <w:sz w:val="24"/>
                <w:lang w:val="en-US"/>
              </w:rPr>
              <m:t>P</m:t>
            </m:r>
          </m:e>
          <m:sub>
            <m:r>
              <w:rPr>
                <w:rFonts w:ascii="Cambria Math" w:eastAsia="Calibri" w:hAnsi="Cambria Math" w:cs="Times New Roman"/>
                <w:color w:val="000000" w:themeColor="text1"/>
                <w:sz w:val="24"/>
                <w:lang w:val="en-US"/>
              </w:rPr>
              <m:t>j</m:t>
            </m:r>
          </m:sub>
        </m:sSub>
        <m:r>
          <w:rPr>
            <w:rFonts w:ascii="Cambria Math" w:eastAsia="Calibri" w:hAnsi="Cambria Math" w:cs="Times New Roman"/>
            <w:color w:val="000000" w:themeColor="text1"/>
            <w:sz w:val="24"/>
            <w:lang w:val="en-US"/>
          </w:rPr>
          <m:t xml:space="preserve">= </m:t>
        </m:r>
        <m:sSub>
          <m:sSubPr>
            <m:ctrlPr>
              <w:rPr>
                <w:rFonts w:ascii="Cambria Math" w:eastAsia="Calibri" w:hAnsi="Cambria Math" w:cs="Times New Roman"/>
                <w:color w:val="000000" w:themeColor="text1"/>
                <w:sz w:val="24"/>
                <w:lang w:val="en-US"/>
              </w:rPr>
            </m:ctrlPr>
          </m:sSubPr>
          <m:e>
            <m:r>
              <m:rPr>
                <m:sty m:val="p"/>
              </m:rPr>
              <w:rPr>
                <w:rFonts w:ascii="Cambria Math" w:eastAsia="Calibri" w:hAnsi="Cambria Math" w:cs="Times New Roman"/>
                <w:color w:val="000000" w:themeColor="text1"/>
                <w:sz w:val="24"/>
                <w:lang w:val="en-US"/>
              </w:rPr>
              <m:t>(</m:t>
            </m:r>
            <m:r>
              <w:rPr>
                <w:rFonts w:ascii="Cambria Math" w:eastAsia="Calibri" w:hAnsi="Cambria Math" w:cs="Times New Roman"/>
                <w:color w:val="000000" w:themeColor="text1"/>
                <w:sz w:val="24"/>
                <w:lang w:val="en-US"/>
              </w:rPr>
              <m:t>Z</m:t>
            </m:r>
            <m:r>
              <m:rPr>
                <m:sty m:val="p"/>
              </m:rPr>
              <w:rPr>
                <w:rFonts w:ascii="Cambria Math" w:eastAsia="Calibri" w:hAnsi="Cambria Math" w:cs="Times New Roman"/>
                <w:color w:val="000000" w:themeColor="text1"/>
                <w:sz w:val="24"/>
                <w:lang w:val="en-US"/>
              </w:rPr>
              <m:t>-</m:t>
            </m:r>
            <m:r>
              <w:rPr>
                <w:rFonts w:ascii="Cambria Math" w:eastAsia="Calibri" w:hAnsi="Cambria Math" w:cs="Times New Roman"/>
                <w:color w:val="000000" w:themeColor="text1"/>
                <w:sz w:val="24"/>
                <w:lang w:val="en-US"/>
              </w:rPr>
              <m:t>y</m:t>
            </m:r>
          </m:e>
          <m:sub>
            <m:r>
              <w:rPr>
                <w:rFonts w:ascii="Cambria Math" w:eastAsia="Calibri" w:hAnsi="Cambria Math" w:cs="Times New Roman"/>
                <w:color w:val="000000" w:themeColor="text1"/>
                <w:sz w:val="24"/>
                <w:lang w:val="en-US"/>
              </w:rPr>
              <m:t>j</m:t>
            </m:r>
          </m:sub>
        </m:sSub>
        <m:r>
          <m:rPr>
            <m:sty m:val="p"/>
          </m:rPr>
          <w:rPr>
            <w:rFonts w:ascii="Cambria Math" w:eastAsia="Calibri" w:hAnsi="Cambria Math" w:cs="Times New Roman"/>
            <w:color w:val="000000" w:themeColor="text1"/>
            <w:sz w:val="24"/>
            <w:lang w:val="en-US"/>
          </w:rPr>
          <m:t>)</m:t>
        </m:r>
      </m:oMath>
      <w:r w:rsidRPr="00DB2838">
        <w:rPr>
          <w:rFonts w:ascii="Times New Roman" w:eastAsia="Calibri" w:hAnsi="Times New Roman" w:cs="Times New Roman"/>
          <w:color w:val="000000" w:themeColor="text1"/>
          <w:sz w:val="24"/>
          <w:lang w:val="en-US"/>
        </w:rPr>
        <w:t xml:space="preserve">. </w:t>
      </w:r>
    </w:p>
    <w:p w14:paraId="585B1A60" w14:textId="7140638A" w:rsidR="004519AB" w:rsidRPr="00DB2838" w:rsidRDefault="005700D0" w:rsidP="008854A1">
      <w:pPr>
        <w:spacing w:after="0"/>
        <w:jc w:val="both"/>
        <w:rPr>
          <w:color w:val="000000" w:themeColor="text1"/>
          <w:lang w:val="en-GB"/>
        </w:rPr>
      </w:pPr>
      <w:r w:rsidRPr="00DB2838">
        <w:rPr>
          <w:rFonts w:ascii="Times New Roman" w:eastAsia="Calibri" w:hAnsi="Times New Roman" w:cs="Times New Roman"/>
          <w:color w:val="000000" w:themeColor="text1"/>
          <w:sz w:val="24"/>
          <w:lang w:val="en-US"/>
        </w:rPr>
        <w:t xml:space="preserve">This implies that the numerator of the poverty gap would be very sensible to changes in the poverty rate. Suppose the scenario where we move households that are considered as poor (but very close to the threshold, so the amount of income that they need to avoid poverty is considerable low) to a position above that threshold. For example, a policy intervention that reduces the poverty risks by increasing monetary transfers to poor households (i.e., an increase in pension benefits). If we move these households above the poverty line, it means that they would have a total gap </w:t>
      </w:r>
      <m:oMath>
        <m:sSub>
          <m:sSubPr>
            <m:ctrlPr>
              <w:rPr>
                <w:rFonts w:ascii="Cambria Math" w:eastAsia="Calibri" w:hAnsi="Cambria Math" w:cs="Times New Roman"/>
                <w:color w:val="000000" w:themeColor="text1"/>
                <w:sz w:val="24"/>
                <w:lang w:val="en-US"/>
              </w:rPr>
            </m:ctrlPr>
          </m:sSubPr>
          <m:e>
            <m:r>
              <m:rPr>
                <m:sty m:val="p"/>
              </m:rPr>
              <w:rPr>
                <w:rFonts w:ascii="Cambria Math" w:eastAsia="Calibri" w:hAnsi="Cambria Math" w:cs="Times New Roman"/>
                <w:color w:val="000000" w:themeColor="text1"/>
                <w:sz w:val="24"/>
                <w:lang w:val="en-US"/>
              </w:rPr>
              <m:t>(</m:t>
            </m:r>
            <m:r>
              <w:rPr>
                <w:rFonts w:ascii="Cambria Math" w:eastAsia="Calibri" w:hAnsi="Cambria Math" w:cs="Times New Roman"/>
                <w:color w:val="000000" w:themeColor="text1"/>
                <w:sz w:val="24"/>
                <w:lang w:val="en-US"/>
              </w:rPr>
              <m:t>Z</m:t>
            </m:r>
            <m:r>
              <m:rPr>
                <m:sty m:val="p"/>
              </m:rPr>
              <w:rPr>
                <w:rFonts w:ascii="Cambria Math" w:eastAsia="Calibri" w:hAnsi="Cambria Math" w:cs="Times New Roman"/>
                <w:color w:val="000000" w:themeColor="text1"/>
                <w:sz w:val="24"/>
                <w:lang w:val="en-US"/>
              </w:rPr>
              <m:t>-</m:t>
            </m:r>
            <m:r>
              <w:rPr>
                <w:rFonts w:ascii="Cambria Math" w:eastAsia="Calibri" w:hAnsi="Cambria Math" w:cs="Times New Roman"/>
                <w:color w:val="000000" w:themeColor="text1"/>
                <w:sz w:val="24"/>
                <w:lang w:val="en-US"/>
              </w:rPr>
              <m:t>y</m:t>
            </m:r>
          </m:e>
          <m:sub>
            <m:r>
              <w:rPr>
                <w:rFonts w:ascii="Cambria Math" w:eastAsia="Calibri" w:hAnsi="Cambria Math" w:cs="Times New Roman"/>
                <w:color w:val="000000" w:themeColor="text1"/>
                <w:sz w:val="24"/>
                <w:lang w:val="en-US"/>
              </w:rPr>
              <m:t>j</m:t>
            </m:r>
          </m:sub>
        </m:sSub>
        <m:r>
          <m:rPr>
            <m:sty m:val="p"/>
          </m:rPr>
          <w:rPr>
            <w:rFonts w:ascii="Cambria Math" w:eastAsia="Calibri" w:hAnsi="Cambria Math" w:cs="Times New Roman"/>
            <w:color w:val="000000" w:themeColor="text1"/>
            <w:sz w:val="24"/>
            <w:lang w:val="en-US"/>
          </w:rPr>
          <m:t>)</m:t>
        </m:r>
      </m:oMath>
      <w:r w:rsidRPr="00DB2838">
        <w:rPr>
          <w:rFonts w:ascii="Times New Roman" w:eastAsia="Calibri" w:hAnsi="Times New Roman" w:cs="Times New Roman"/>
          <w:color w:val="000000" w:themeColor="text1"/>
          <w:sz w:val="24"/>
          <w:lang w:val="en-US"/>
        </w:rPr>
        <w:t xml:space="preserve"> of  </w:t>
      </w:r>
      <m:oMath>
        <m:r>
          <m:rPr>
            <m:sty m:val="p"/>
          </m:rPr>
          <w:rPr>
            <w:rFonts w:ascii="Cambria Math" w:eastAsia="Calibri" w:hAnsi="Cambria Math" w:cs="Times New Roman"/>
            <w:color w:val="000000" w:themeColor="text1"/>
            <w:sz w:val="24"/>
            <w:lang w:val="en-US"/>
          </w:rPr>
          <m:t>0</m:t>
        </m:r>
      </m:oMath>
      <w:r w:rsidRPr="00DB2838">
        <w:rPr>
          <w:rFonts w:ascii="Times New Roman" w:eastAsia="Calibri" w:hAnsi="Times New Roman" w:cs="Times New Roman"/>
          <w:color w:val="000000" w:themeColor="text1"/>
          <w:sz w:val="24"/>
          <w:lang w:val="en-US"/>
        </w:rPr>
        <w:t>, leaving only households with a bigger total gap in the numerator (</w:t>
      </w:r>
      <m:oMath>
        <m:r>
          <w:rPr>
            <w:rFonts w:ascii="Cambria Math" w:eastAsia="Calibri" w:hAnsi="Cambria Math" w:cs="Times New Roman"/>
            <w:color w:val="000000" w:themeColor="text1"/>
            <w:sz w:val="24"/>
            <w:lang w:val="en-US"/>
          </w:rPr>
          <m:t>Z</m:t>
        </m:r>
        <m:r>
          <m:rPr>
            <m:sty m:val="p"/>
          </m:rPr>
          <w:rPr>
            <w:rFonts w:ascii="Cambria Math" w:eastAsia="Calibri" w:hAnsi="Cambria Math" w:cs="Times New Roman"/>
            <w:color w:val="000000" w:themeColor="text1"/>
            <w:sz w:val="24"/>
            <w:lang w:val="en-US"/>
          </w:rPr>
          <m:t>-</m:t>
        </m:r>
        <m:sSub>
          <m:sSubPr>
            <m:ctrlPr>
              <w:rPr>
                <w:rFonts w:ascii="Cambria Math" w:eastAsia="Calibri" w:hAnsi="Cambria Math" w:cs="Times New Roman"/>
                <w:color w:val="000000" w:themeColor="text1"/>
                <w:sz w:val="24"/>
                <w:lang w:val="en-US"/>
              </w:rPr>
            </m:ctrlPr>
          </m:sSubPr>
          <m:e>
            <m:r>
              <w:rPr>
                <w:rFonts w:ascii="Cambria Math" w:eastAsia="Calibri" w:hAnsi="Cambria Math" w:cs="Times New Roman"/>
                <w:color w:val="000000" w:themeColor="text1"/>
                <w:sz w:val="24"/>
                <w:lang w:val="en-US"/>
              </w:rPr>
              <m:t>y</m:t>
            </m:r>
          </m:e>
          <m:sub>
            <m:r>
              <w:rPr>
                <w:rFonts w:ascii="Cambria Math" w:eastAsia="Calibri" w:hAnsi="Cambria Math" w:cs="Times New Roman"/>
                <w:color w:val="000000" w:themeColor="text1"/>
                <w:sz w:val="24"/>
                <w:lang w:val="en-US"/>
              </w:rPr>
              <m:t>j</m:t>
            </m:r>
          </m:sub>
        </m:sSub>
      </m:oMath>
      <w:r w:rsidRPr="00DB2838">
        <w:rPr>
          <w:rFonts w:ascii="Times New Roman" w:eastAsia="Times New Roman" w:hAnsi="Times New Roman" w:cs="Times New Roman"/>
          <w:color w:val="000000" w:themeColor="text1"/>
          <w:sz w:val="24"/>
          <w:lang w:val="en-US"/>
        </w:rPr>
        <w:t>) where this expression would be (</w:t>
      </w:r>
      <m:oMath>
        <m:sSub>
          <m:sSubPr>
            <m:ctrlPr>
              <w:rPr>
                <w:rFonts w:ascii="Cambria Math" w:eastAsia="Calibri" w:hAnsi="Cambria Math" w:cs="Times New Roman"/>
                <w:color w:val="000000" w:themeColor="text1"/>
                <w:sz w:val="24"/>
                <w:lang w:val="en-US"/>
              </w:rPr>
            </m:ctrlPr>
          </m:sSubPr>
          <m:e>
            <m:r>
              <w:rPr>
                <w:rFonts w:ascii="Cambria Math" w:eastAsia="Calibri" w:hAnsi="Cambria Math" w:cs="Times New Roman"/>
                <w:color w:val="000000" w:themeColor="text1"/>
                <w:sz w:val="24"/>
                <w:lang w:val="en-US"/>
              </w:rPr>
              <m:t>y</m:t>
            </m:r>
          </m:e>
          <m:sub>
            <m:r>
              <w:rPr>
                <w:rFonts w:ascii="Cambria Math" w:eastAsia="Calibri" w:hAnsi="Cambria Math" w:cs="Times New Roman"/>
                <w:color w:val="000000" w:themeColor="text1"/>
                <w:sz w:val="24"/>
                <w:lang w:val="en-US"/>
              </w:rPr>
              <m:t>j</m:t>
            </m:r>
          </m:sub>
        </m:sSub>
        <m:r>
          <m:rPr>
            <m:sty m:val="p"/>
          </m:rPr>
          <w:rPr>
            <w:rFonts w:ascii="Cambria Math" w:eastAsia="Calibri" w:hAnsi="Cambria Math" w:cs="Times New Roman"/>
            <w:color w:val="000000" w:themeColor="text1"/>
            <w:sz w:val="24"/>
            <w:lang w:val="en-US"/>
          </w:rPr>
          <m:t>&lt;</m:t>
        </m:r>
        <m:r>
          <w:rPr>
            <w:rFonts w:ascii="Cambria Math" w:eastAsia="Calibri" w:hAnsi="Cambria Math" w:cs="Times New Roman"/>
            <w:color w:val="000000" w:themeColor="text1"/>
            <w:sz w:val="24"/>
            <w:lang w:val="en-US"/>
          </w:rPr>
          <m:t>Z</m:t>
        </m:r>
        <m:r>
          <m:rPr>
            <m:sty m:val="p"/>
          </m:rPr>
          <w:rPr>
            <w:rFonts w:ascii="Cambria Math" w:eastAsia="Calibri" w:hAnsi="Cambria Math" w:cs="Times New Roman"/>
            <w:color w:val="000000" w:themeColor="text1"/>
            <w:sz w:val="24"/>
            <w:lang w:val="en-US"/>
          </w:rPr>
          <m:t>)</m:t>
        </m:r>
      </m:oMath>
      <w:r w:rsidRPr="00DB2838">
        <w:rPr>
          <w:rFonts w:ascii="Times New Roman" w:eastAsia="Calibri" w:hAnsi="Times New Roman" w:cs="Times New Roman"/>
          <w:color w:val="000000" w:themeColor="text1"/>
          <w:sz w:val="24"/>
          <w:lang w:val="en-US"/>
        </w:rPr>
        <w:t>. If the denominator remains fixed in the equation, this will automatically i</w:t>
      </w:r>
      <w:proofErr w:type="spellStart"/>
      <w:r w:rsidRPr="00DB2838">
        <w:rPr>
          <w:rFonts w:ascii="Times New Roman" w:eastAsia="Calibri" w:hAnsi="Times New Roman" w:cs="Times New Roman"/>
          <w:color w:val="000000" w:themeColor="text1"/>
          <w:sz w:val="24"/>
          <w:lang w:val="en-US"/>
        </w:rPr>
        <w:t>ncrease</w:t>
      </w:r>
      <w:proofErr w:type="spellEnd"/>
      <w:r w:rsidRPr="00DB2838">
        <w:rPr>
          <w:rFonts w:ascii="Times New Roman" w:eastAsia="Calibri" w:hAnsi="Times New Roman" w:cs="Times New Roman"/>
          <w:color w:val="000000" w:themeColor="text1"/>
          <w:sz w:val="24"/>
          <w:lang w:val="en-US"/>
        </w:rPr>
        <w:t xml:space="preserve"> the value of the poverty gap in the considered country. Given this, in a counterfactual scenario in which households that are placed close to threshold are systematically moved above the poverty line, the head count of poor people would decrease (i.e., a reduction in the poverty rate) but the poverty gap might increase because only the poorest remained in the numerator. That is, the average distance from the threshold would increase simply because only values at the bottom of the income rank would remain.</w:t>
      </w:r>
    </w:p>
    <w:sectPr w:rsidR="004519AB" w:rsidRPr="00DB2838" w:rsidSect="008854A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7CAA" w14:textId="77777777" w:rsidR="00A22FF7" w:rsidRDefault="00A22FF7">
      <w:pPr>
        <w:spacing w:after="0" w:line="240" w:lineRule="auto"/>
      </w:pPr>
      <w:r>
        <w:separator/>
      </w:r>
    </w:p>
  </w:endnote>
  <w:endnote w:type="continuationSeparator" w:id="0">
    <w:p w14:paraId="32A99A41" w14:textId="77777777" w:rsidR="00A22FF7" w:rsidRDefault="00A2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MS Gothic"/>
    <w:charset w:val="8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1D76" w14:textId="77777777" w:rsidR="00357B45" w:rsidRDefault="00357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3FB8" w14:textId="77777777" w:rsidR="00357B45" w:rsidRDefault="00357B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50AC" w14:textId="77777777" w:rsidR="00357B45" w:rsidRDefault="00357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57F3" w14:textId="77777777" w:rsidR="00A22FF7" w:rsidRDefault="00A22FF7">
      <w:pPr>
        <w:spacing w:after="0" w:line="240" w:lineRule="auto"/>
      </w:pPr>
      <w:r>
        <w:separator/>
      </w:r>
    </w:p>
  </w:footnote>
  <w:footnote w:type="continuationSeparator" w:id="0">
    <w:p w14:paraId="44C1F014" w14:textId="77777777" w:rsidR="00A22FF7" w:rsidRDefault="00A22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83E6" w14:textId="77777777" w:rsidR="00357B45" w:rsidRDefault="00357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C968" w14:textId="77777777" w:rsidR="00357B45" w:rsidRDefault="00357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F649" w14:textId="77777777" w:rsidR="00357B45" w:rsidRDefault="00357B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969963"/>
      <w:docPartObj>
        <w:docPartGallery w:val="Page Numbers (Top of Page)"/>
        <w:docPartUnique/>
      </w:docPartObj>
    </w:sdtPr>
    <w:sdtEndPr>
      <w:rPr>
        <w:noProof/>
      </w:rPr>
    </w:sdtEndPr>
    <w:sdtContent>
      <w:p w14:paraId="7C7B001A" w14:textId="7832ED63" w:rsidR="00357B45" w:rsidRDefault="00357B45">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15BFF011" w14:textId="77777777" w:rsidR="00357B45" w:rsidRDefault="00357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B723B"/>
    <w:multiLevelType w:val="hybridMultilevel"/>
    <w:tmpl w:val="703ACBAA"/>
    <w:lvl w:ilvl="0" w:tplc="C1DCCC20">
      <w:numFmt w:val="bullet"/>
      <w:lvlText w:val="-"/>
      <w:lvlJc w:val="left"/>
      <w:pPr>
        <w:ind w:left="720" w:hanging="360"/>
      </w:pPr>
      <w:rPr>
        <w:rFonts w:ascii="TimesNewRomanPSMT" w:eastAsiaTheme="minorHAnsi" w:cs="TimesNewRomanPSMT" w:hint="eastAsi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A01"/>
    <w:rsid w:val="00040250"/>
    <w:rsid w:val="00091B8D"/>
    <w:rsid w:val="000F0A01"/>
    <w:rsid w:val="00141E0C"/>
    <w:rsid w:val="00182CB1"/>
    <w:rsid w:val="00195E3D"/>
    <w:rsid w:val="00196587"/>
    <w:rsid w:val="001B584B"/>
    <w:rsid w:val="001D11F6"/>
    <w:rsid w:val="002C1B5D"/>
    <w:rsid w:val="00352CA2"/>
    <w:rsid w:val="00357B45"/>
    <w:rsid w:val="0038724F"/>
    <w:rsid w:val="00390AE9"/>
    <w:rsid w:val="004231A7"/>
    <w:rsid w:val="004519AB"/>
    <w:rsid w:val="004F2317"/>
    <w:rsid w:val="0053543F"/>
    <w:rsid w:val="005700D0"/>
    <w:rsid w:val="00575336"/>
    <w:rsid w:val="00584525"/>
    <w:rsid w:val="005E7344"/>
    <w:rsid w:val="005F3E98"/>
    <w:rsid w:val="00611C8F"/>
    <w:rsid w:val="00624118"/>
    <w:rsid w:val="0065714B"/>
    <w:rsid w:val="00687B71"/>
    <w:rsid w:val="006C1C22"/>
    <w:rsid w:val="00715B22"/>
    <w:rsid w:val="00740B7A"/>
    <w:rsid w:val="00775D98"/>
    <w:rsid w:val="00792D53"/>
    <w:rsid w:val="00793463"/>
    <w:rsid w:val="007E7BA9"/>
    <w:rsid w:val="0082502F"/>
    <w:rsid w:val="0084689F"/>
    <w:rsid w:val="00853DED"/>
    <w:rsid w:val="00861139"/>
    <w:rsid w:val="008854A1"/>
    <w:rsid w:val="00894406"/>
    <w:rsid w:val="008A0623"/>
    <w:rsid w:val="008C796E"/>
    <w:rsid w:val="008D1124"/>
    <w:rsid w:val="008F139D"/>
    <w:rsid w:val="0098640D"/>
    <w:rsid w:val="009A6A75"/>
    <w:rsid w:val="009B1BC5"/>
    <w:rsid w:val="009C61EE"/>
    <w:rsid w:val="009D3C75"/>
    <w:rsid w:val="00A22FF7"/>
    <w:rsid w:val="00A70131"/>
    <w:rsid w:val="00BB31CD"/>
    <w:rsid w:val="00BC49E0"/>
    <w:rsid w:val="00C16A0A"/>
    <w:rsid w:val="00C418F2"/>
    <w:rsid w:val="00C457DF"/>
    <w:rsid w:val="00CF19B7"/>
    <w:rsid w:val="00D6457A"/>
    <w:rsid w:val="00D84CCA"/>
    <w:rsid w:val="00DB2838"/>
    <w:rsid w:val="00DC2CDD"/>
    <w:rsid w:val="00E07779"/>
    <w:rsid w:val="00E706BD"/>
    <w:rsid w:val="00ED554A"/>
    <w:rsid w:val="00F01061"/>
    <w:rsid w:val="00F51260"/>
    <w:rsid w:val="00F53660"/>
    <w:rsid w:val="00F9743D"/>
    <w:rsid w:val="00FE2EEF"/>
    <w:rsid w:val="00FF5A3D"/>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C7F5"/>
  <w15:chartTrackingRefBased/>
  <w15:docId w15:val="{EC4C668E-98D9-4BC4-94E2-112C2669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0C"/>
    <w:pPr>
      <w:spacing w:after="200" w:line="276" w:lineRule="auto"/>
    </w:pPr>
    <w:rPr>
      <w:lang w:val="it-IT"/>
    </w:rPr>
  </w:style>
  <w:style w:type="paragraph" w:styleId="Heading1">
    <w:name w:val="heading 1"/>
    <w:basedOn w:val="Normal"/>
    <w:next w:val="BodyText"/>
    <w:link w:val="Heading1Char"/>
    <w:uiPriority w:val="9"/>
    <w:qFormat/>
    <w:rsid w:val="00141E0C"/>
    <w:pPr>
      <w:keepNext/>
      <w:keepLines/>
      <w:spacing w:before="240" w:after="120" w:line="240" w:lineRule="auto"/>
      <w:outlineLvl w:val="0"/>
    </w:pPr>
    <w:rPr>
      <w:rFonts w:ascii="Times New (W1)" w:eastAsiaTheme="majorEastAsia" w:hAnsi="Times New (W1)" w:cstheme="majorHAnsi"/>
      <w:b/>
      <w:bCs/>
      <w:sz w:val="24"/>
      <w:szCs w:val="28"/>
      <w:lang w:val="fi-FI"/>
    </w:rPr>
  </w:style>
  <w:style w:type="paragraph" w:styleId="Heading2">
    <w:name w:val="heading 2"/>
    <w:basedOn w:val="Normal"/>
    <w:next w:val="BodyText"/>
    <w:link w:val="Heading2Char"/>
    <w:uiPriority w:val="9"/>
    <w:unhideWhenUsed/>
    <w:qFormat/>
    <w:rsid w:val="00141E0C"/>
    <w:pPr>
      <w:keepNext/>
      <w:keepLines/>
      <w:spacing w:before="240" w:after="120" w:line="240" w:lineRule="auto"/>
      <w:outlineLvl w:val="1"/>
    </w:pPr>
    <w:rPr>
      <w:rFonts w:ascii="Times New (W1)" w:eastAsiaTheme="majorEastAsia" w:hAnsi="Times New (W1)" w:cstheme="majorHAnsi"/>
      <w:b/>
      <w:bCs/>
      <w:sz w:val="24"/>
      <w:szCs w:val="26"/>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E0C"/>
    <w:rPr>
      <w:rFonts w:ascii="Times New (W1)" w:eastAsiaTheme="majorEastAsia" w:hAnsi="Times New (W1)" w:cstheme="majorHAnsi"/>
      <w:b/>
      <w:bCs/>
      <w:sz w:val="24"/>
      <w:szCs w:val="28"/>
      <w:lang w:val="fi-FI"/>
    </w:rPr>
  </w:style>
  <w:style w:type="character" w:customStyle="1" w:styleId="Heading2Char">
    <w:name w:val="Heading 2 Char"/>
    <w:basedOn w:val="DefaultParagraphFont"/>
    <w:link w:val="Heading2"/>
    <w:uiPriority w:val="9"/>
    <w:rsid w:val="00141E0C"/>
    <w:rPr>
      <w:rFonts w:ascii="Times New (W1)" w:eastAsiaTheme="majorEastAsia" w:hAnsi="Times New (W1)" w:cstheme="majorHAnsi"/>
      <w:b/>
      <w:bCs/>
      <w:sz w:val="24"/>
      <w:szCs w:val="26"/>
      <w:lang w:val="fi-FI"/>
    </w:rPr>
  </w:style>
  <w:style w:type="paragraph" w:styleId="Footer">
    <w:name w:val="footer"/>
    <w:basedOn w:val="Normal"/>
    <w:link w:val="FooterChar"/>
    <w:uiPriority w:val="99"/>
    <w:unhideWhenUsed/>
    <w:rsid w:val="00141E0C"/>
    <w:pPr>
      <w:spacing w:after="0" w:line="240" w:lineRule="auto"/>
    </w:pPr>
    <w:rPr>
      <w:rFonts w:ascii="Times New (W1)" w:hAnsi="Times New (W1)" w:cstheme="minorHAnsi"/>
      <w:szCs w:val="24"/>
      <w:lang w:val="fi-FI"/>
    </w:rPr>
  </w:style>
  <w:style w:type="character" w:customStyle="1" w:styleId="FooterChar">
    <w:name w:val="Footer Char"/>
    <w:basedOn w:val="DefaultParagraphFont"/>
    <w:link w:val="Footer"/>
    <w:uiPriority w:val="99"/>
    <w:rsid w:val="00141E0C"/>
    <w:rPr>
      <w:rFonts w:ascii="Times New (W1)" w:hAnsi="Times New (W1)" w:cstheme="minorHAnsi"/>
      <w:szCs w:val="24"/>
      <w:lang w:val="fi-FI"/>
    </w:rPr>
  </w:style>
  <w:style w:type="paragraph" w:styleId="Header">
    <w:name w:val="header"/>
    <w:basedOn w:val="Normal"/>
    <w:link w:val="HeaderChar"/>
    <w:uiPriority w:val="99"/>
    <w:unhideWhenUsed/>
    <w:rsid w:val="00141E0C"/>
    <w:pPr>
      <w:spacing w:after="0" w:line="240" w:lineRule="auto"/>
    </w:pPr>
    <w:rPr>
      <w:rFonts w:ascii="Times New (W1)" w:hAnsi="Times New (W1)" w:cstheme="minorHAnsi"/>
      <w:szCs w:val="24"/>
      <w:lang w:val="fi-FI"/>
    </w:rPr>
  </w:style>
  <w:style w:type="character" w:customStyle="1" w:styleId="HeaderChar">
    <w:name w:val="Header Char"/>
    <w:basedOn w:val="DefaultParagraphFont"/>
    <w:link w:val="Header"/>
    <w:uiPriority w:val="99"/>
    <w:rsid w:val="00141E0C"/>
    <w:rPr>
      <w:rFonts w:ascii="Times New (W1)" w:hAnsi="Times New (W1)" w:cstheme="minorHAnsi"/>
      <w:szCs w:val="24"/>
      <w:lang w:val="fi-FI"/>
    </w:rPr>
  </w:style>
  <w:style w:type="table" w:styleId="TableGrid">
    <w:name w:val="Table Grid"/>
    <w:basedOn w:val="TableNormal"/>
    <w:uiPriority w:val="59"/>
    <w:rsid w:val="00141E0C"/>
    <w:pPr>
      <w:spacing w:after="0" w:line="240" w:lineRule="auto"/>
    </w:pPr>
    <w:rPr>
      <w:rFonts w:ascii="Times New (W1)" w:hAnsi="Times New (W1)" w:cstheme="minorHAnsi"/>
      <w:sz w:val="24"/>
      <w:szCs w:val="24"/>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41E0C"/>
    <w:pPr>
      <w:spacing w:after="120"/>
    </w:pPr>
  </w:style>
  <w:style w:type="character" w:customStyle="1" w:styleId="BodyTextChar">
    <w:name w:val="Body Text Char"/>
    <w:basedOn w:val="DefaultParagraphFont"/>
    <w:link w:val="BodyText"/>
    <w:uiPriority w:val="99"/>
    <w:semiHidden/>
    <w:rsid w:val="00141E0C"/>
    <w:rPr>
      <w:lang w:val="it-IT"/>
    </w:rPr>
  </w:style>
  <w:style w:type="paragraph" w:styleId="BalloonText">
    <w:name w:val="Balloon Text"/>
    <w:basedOn w:val="Normal"/>
    <w:link w:val="BalloonTextChar"/>
    <w:uiPriority w:val="99"/>
    <w:semiHidden/>
    <w:unhideWhenUsed/>
    <w:rsid w:val="00657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14B"/>
    <w:rPr>
      <w:rFonts w:ascii="Segoe UI" w:hAnsi="Segoe UI" w:cs="Segoe UI"/>
      <w:sz w:val="18"/>
      <w:szCs w:val="18"/>
      <w:lang w:val="it-IT"/>
    </w:rPr>
  </w:style>
  <w:style w:type="character" w:styleId="CommentReference">
    <w:name w:val="annotation reference"/>
    <w:basedOn w:val="DefaultParagraphFont"/>
    <w:uiPriority w:val="99"/>
    <w:semiHidden/>
    <w:unhideWhenUsed/>
    <w:rsid w:val="00C418F2"/>
    <w:rPr>
      <w:sz w:val="16"/>
      <w:szCs w:val="16"/>
    </w:rPr>
  </w:style>
  <w:style w:type="paragraph" w:styleId="CommentText">
    <w:name w:val="annotation text"/>
    <w:basedOn w:val="Normal"/>
    <w:link w:val="CommentTextChar"/>
    <w:uiPriority w:val="99"/>
    <w:semiHidden/>
    <w:unhideWhenUsed/>
    <w:rsid w:val="00C418F2"/>
    <w:pPr>
      <w:spacing w:line="240" w:lineRule="auto"/>
    </w:pPr>
    <w:rPr>
      <w:sz w:val="20"/>
      <w:szCs w:val="20"/>
    </w:rPr>
  </w:style>
  <w:style w:type="character" w:customStyle="1" w:styleId="CommentTextChar">
    <w:name w:val="Comment Text Char"/>
    <w:basedOn w:val="DefaultParagraphFont"/>
    <w:link w:val="CommentText"/>
    <w:uiPriority w:val="99"/>
    <w:semiHidden/>
    <w:rsid w:val="00C418F2"/>
    <w:rPr>
      <w:sz w:val="20"/>
      <w:szCs w:val="20"/>
      <w:lang w:val="it-IT"/>
    </w:rPr>
  </w:style>
  <w:style w:type="paragraph" w:styleId="CommentSubject">
    <w:name w:val="annotation subject"/>
    <w:basedOn w:val="CommentText"/>
    <w:next w:val="CommentText"/>
    <w:link w:val="CommentSubjectChar"/>
    <w:uiPriority w:val="99"/>
    <w:semiHidden/>
    <w:unhideWhenUsed/>
    <w:rsid w:val="00C418F2"/>
    <w:rPr>
      <w:b/>
      <w:bCs/>
    </w:rPr>
  </w:style>
  <w:style w:type="character" w:customStyle="1" w:styleId="CommentSubjectChar">
    <w:name w:val="Comment Subject Char"/>
    <w:basedOn w:val="CommentTextChar"/>
    <w:link w:val="CommentSubject"/>
    <w:uiPriority w:val="99"/>
    <w:semiHidden/>
    <w:rsid w:val="00C418F2"/>
    <w:rPr>
      <w:b/>
      <w:bCs/>
      <w:sz w:val="20"/>
      <w:szCs w:val="20"/>
      <w:lang w:val="it-IT"/>
    </w:rPr>
  </w:style>
  <w:style w:type="character" w:styleId="Hyperlink">
    <w:name w:val="Hyperlink"/>
    <w:basedOn w:val="DefaultParagraphFont"/>
    <w:uiPriority w:val="99"/>
    <w:unhideWhenUsed/>
    <w:rsid w:val="009A6A75"/>
    <w:rPr>
      <w:color w:val="0563C1" w:themeColor="hyperlink"/>
      <w:u w:val="single"/>
    </w:rPr>
  </w:style>
  <w:style w:type="character" w:styleId="UnresolvedMention">
    <w:name w:val="Unresolved Mention"/>
    <w:basedOn w:val="DefaultParagraphFont"/>
    <w:uiPriority w:val="99"/>
    <w:semiHidden/>
    <w:unhideWhenUsed/>
    <w:rsid w:val="009A6A75"/>
    <w:rPr>
      <w:color w:val="605E5C"/>
      <w:shd w:val="clear" w:color="auto" w:fill="E1DFDD"/>
    </w:rPr>
  </w:style>
  <w:style w:type="paragraph" w:styleId="ListParagraph">
    <w:name w:val="List Paragraph"/>
    <w:basedOn w:val="Normal"/>
    <w:uiPriority w:val="34"/>
    <w:qFormat/>
    <w:rsid w:val="00357B45"/>
    <w:pPr>
      <w:spacing w:after="160" w:line="256" w:lineRule="auto"/>
      <w:ind w:left="720"/>
      <w:contextualSpacing/>
    </w:pPr>
  </w:style>
  <w:style w:type="table" w:customStyle="1" w:styleId="TableGrid1">
    <w:name w:val="Table Grid1"/>
    <w:basedOn w:val="TableNormal"/>
    <w:next w:val="TableGrid"/>
    <w:uiPriority w:val="39"/>
    <w:rsid w:val="00861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ls.ca/reports/csls2016-06.pdf" TargetMode="External"/><Relationship Id="rId18" Type="http://schemas.openxmlformats.org/officeDocument/2006/relationships/hyperlink" Target="http://www.ggdc.net/pw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tif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sls.ca/reports/csls2015-12.pdf" TargetMode="External"/><Relationship Id="rId17" Type="http://schemas.openxmlformats.org/officeDocument/2006/relationships/hyperlink" Target="https://www.lisdatacenter.org/news-and-events/comparative-welfare-states-dataset-2020/"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wed2.org/" TargetMode="External"/><Relationship Id="rId20" Type="http://schemas.openxmlformats.org/officeDocument/2006/relationships/hyperlink" Target="https://stats.oecd.org/Index.aspx?DataSetCode=SOC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ls.ca/reports/csls2015-13.pdf" TargetMode="External"/><Relationship Id="rId24" Type="http://schemas.openxmlformats.org/officeDocument/2006/relationships/image" Target="media/image4.png"/><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ec.europa.eu/eurostat/statisticsexplained/index.php?title=Glossary:Equivalised_disposable_income" TargetMode="External"/><Relationship Id="rId23" Type="http://schemas.openxmlformats.org/officeDocument/2006/relationships/image" Target="media/image3.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ata.oecd.org/emp/labour-force.htm" TargetMode="External"/><Relationship Id="rId31" Type="http://schemas.openxmlformats.org/officeDocument/2006/relationships/hyperlink" Target="https://ideas.repec.org/c/boc/bocode/s457555.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sdatacenter.org/wp-content/uploads/files/data-lis-variables.pdf" TargetMode="External"/><Relationship Id="rId22" Type="http://schemas.openxmlformats.org/officeDocument/2006/relationships/image" Target="media/image2.tif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1F6D83549554CB487D0D581A7694A" ma:contentTypeVersion="13" ma:contentTypeDescription="Create a new document." ma:contentTypeScope="" ma:versionID="779ced3c37830c97d5b74a56533f2e99">
  <xsd:schema xmlns:xsd="http://www.w3.org/2001/XMLSchema" xmlns:xs="http://www.w3.org/2001/XMLSchema" xmlns:p="http://schemas.microsoft.com/office/2006/metadata/properties" xmlns:ns3="9f835e05-f28b-4b79-9709-e7e59a004fec" xmlns:ns4="7e0dfa28-f9c6-4b52-9a43-cfb8c52a5a94" targetNamespace="http://schemas.microsoft.com/office/2006/metadata/properties" ma:root="true" ma:fieldsID="42a7a5e09ffe453bfac29b026ef99565" ns3:_="" ns4:_="">
    <xsd:import namespace="9f835e05-f28b-4b79-9709-e7e59a004fec"/>
    <xsd:import namespace="7e0dfa28-f9c6-4b52-9a43-cfb8c52a5a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35e05-f28b-4b79-9709-e7e59a004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0dfa28-f9c6-4b52-9a43-cfb8c52a5a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F6A3C-938D-4A2D-BB2E-89C7F6904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35e05-f28b-4b79-9709-e7e59a004fec"/>
    <ds:schemaRef ds:uri="7e0dfa28-f9c6-4b52-9a43-cfb8c52a5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F1605-5B5B-44E9-9AD5-FBE8083E0C5C}">
  <ds:schemaRefs>
    <ds:schemaRef ds:uri="http://schemas.openxmlformats.org/officeDocument/2006/bibliography"/>
  </ds:schemaRefs>
</ds:datastoreItem>
</file>

<file path=customXml/itemProps3.xml><?xml version="1.0" encoding="utf-8"?>
<ds:datastoreItem xmlns:ds="http://schemas.openxmlformats.org/officeDocument/2006/customXml" ds:itemID="{37E3A086-8F51-4E19-A6CD-2E30EEEE75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1A0A9F-349A-41AA-B821-D6FAB99400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2021-02-18T14:16:00Z</dcterms:created>
  <dcterms:modified xsi:type="dcterms:W3CDTF">2021-05-24T09:11:00Z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0x01010056F1F6D83549554CB487D0D581A7694A</vt:lpwstr>
  </property>
</Properties>
</file>