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7C" w:rsidRPr="00822D07" w:rsidRDefault="00822D07" w:rsidP="00822D07">
      <w:pPr>
        <w:pStyle w:val="Heading1"/>
        <w:spacing w:line="480" w:lineRule="auto"/>
        <w:rPr>
          <w:rStyle w:val="BookTitle"/>
          <w:rFonts w:ascii="Arial" w:hAnsi="Arial" w:cs="Arial"/>
          <w:i w:val="0"/>
          <w:color w:val="auto"/>
          <w:szCs w:val="24"/>
        </w:rPr>
      </w:pPr>
      <w:r w:rsidRPr="00822D07">
        <w:rPr>
          <w:rStyle w:val="BookTitle"/>
          <w:rFonts w:ascii="Arial" w:hAnsi="Arial" w:cs="Arial"/>
          <w:i w:val="0"/>
          <w:color w:val="auto"/>
          <w:szCs w:val="24"/>
        </w:rPr>
        <w:t>Online Supplementary Material</w:t>
      </w:r>
    </w:p>
    <w:p w:rsidR="00822D07" w:rsidRDefault="00822D07" w:rsidP="00822D07"/>
    <w:p w:rsidR="00822D07" w:rsidRDefault="00822D07" w:rsidP="00822D07">
      <w:pPr>
        <w:pStyle w:val="Heading1"/>
        <w:widowControl w:val="0"/>
        <w:rPr>
          <w:rFonts w:ascii="Arial" w:eastAsia="Times New Roman" w:hAnsi="Arial" w:cs="Arial"/>
          <w:b/>
          <w:color w:val="auto"/>
          <w:sz w:val="24"/>
          <w:lang w:eastAsia="en-GB"/>
        </w:rPr>
      </w:pPr>
      <w:r>
        <w:rPr>
          <w:rFonts w:ascii="Arial" w:eastAsia="Times New Roman" w:hAnsi="Arial" w:cs="Arial"/>
          <w:b/>
          <w:color w:val="auto"/>
          <w:sz w:val="24"/>
          <w:lang w:eastAsia="en-GB"/>
        </w:rPr>
        <w:t>Appendix 1: Non-randomness of UC ‘Full Service’ rollout in respect to labour/housing market characteristics?</w:t>
      </w:r>
    </w:p>
    <w:p w:rsidR="004F6FD0" w:rsidRPr="004F6FD0" w:rsidRDefault="004F6FD0" w:rsidP="004F6FD0">
      <w:pPr>
        <w:rPr>
          <w:lang w:eastAsia="en-GB"/>
        </w:rPr>
      </w:pPr>
    </w:p>
    <w:p w:rsidR="00822D07" w:rsidRDefault="00822D07" w:rsidP="00822D07">
      <w:pPr>
        <w:pStyle w:val="EndNoteBibliography"/>
        <w:keepNext/>
        <w:keepLines/>
        <w:widowControl w:val="0"/>
        <w:rPr>
          <w:rStyle w:val="BookTitle"/>
          <w:b w:val="0"/>
          <w:bCs w:val="0"/>
          <w:i w:val="0"/>
          <w:iCs w:val="0"/>
        </w:rPr>
      </w:pPr>
      <w:r>
        <w:rPr>
          <w:lang w:val="en-GB" w:eastAsia="en-GB"/>
        </w:rPr>
        <w:drawing>
          <wp:inline distT="0" distB="0" distL="0" distR="0" wp14:anchorId="6CF30491" wp14:editId="42031733">
            <wp:extent cx="5731510" cy="41681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domness of UC Rollout.png"/>
                    <pic:cNvPicPr/>
                  </pic:nvPicPr>
                  <pic:blipFill>
                    <a:blip r:embed="rId4">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rsidR="00822D07" w:rsidRDefault="004B4C92" w:rsidP="00822D07">
      <w:pPr>
        <w:keepNext/>
        <w:keepLines/>
        <w:widowControl w:val="0"/>
        <w:jc w:val="both"/>
        <w:rPr>
          <w:rFonts w:ascii="Times New Roman" w:hAnsi="Times New Roman" w:cs="Times New Roman"/>
          <w:sz w:val="21"/>
          <w:szCs w:val="21"/>
        </w:rPr>
      </w:pPr>
      <w:r>
        <w:rPr>
          <w:rFonts w:ascii="Times New Roman" w:hAnsi="Times New Roman" w:cs="Times New Roman"/>
          <w:sz w:val="21"/>
          <w:szCs w:val="21"/>
        </w:rPr>
        <w:t xml:space="preserve">Web Figure 1. Quarterly trends in mean housing/labour market characteristics </w:t>
      </w:r>
      <w:r w:rsidRPr="00FE7960">
        <w:rPr>
          <w:rStyle w:val="BookTitle"/>
          <w:rFonts w:ascii="Times New Roman" w:hAnsi="Times New Roman" w:cs="Times New Roman"/>
          <w:b w:val="0"/>
          <w:i w:val="0"/>
          <w:sz w:val="21"/>
          <w:szCs w:val="21"/>
        </w:rPr>
        <w:t xml:space="preserve">in UC ‘Full Service’ versus non UC ‘Full Service’ local </w:t>
      </w:r>
      <w:r>
        <w:rPr>
          <w:rStyle w:val="BookTitle"/>
          <w:rFonts w:ascii="Times New Roman" w:hAnsi="Times New Roman" w:cs="Times New Roman"/>
          <w:b w:val="0"/>
          <w:i w:val="0"/>
          <w:sz w:val="21"/>
          <w:szCs w:val="21"/>
        </w:rPr>
        <w:t xml:space="preserve">authorities, 2017-2018. </w:t>
      </w:r>
      <w:r w:rsidR="0016061E">
        <w:rPr>
          <w:rStyle w:val="BookTitle"/>
          <w:rFonts w:ascii="Times New Roman" w:hAnsi="Times New Roman" w:cs="Times New Roman"/>
          <w:b w:val="0"/>
          <w:i w:val="0"/>
          <w:sz w:val="21"/>
          <w:szCs w:val="21"/>
        </w:rPr>
        <w:t xml:space="preserve">Notes: </w:t>
      </w:r>
      <w:r w:rsidR="0016061E" w:rsidRPr="0016061E">
        <w:rPr>
          <w:rStyle w:val="BookTitle"/>
          <w:rFonts w:ascii="Times New Roman" w:hAnsi="Times New Roman" w:cs="Times New Roman"/>
          <w:b w:val="0"/>
          <w:i w:val="0"/>
          <w:sz w:val="21"/>
          <w:szCs w:val="21"/>
        </w:rPr>
        <w:t>The number of local authorities that were UCFS areas gradually increased over time as rollout progressed – 10 percent of local authorities were UCFS areas by 2017 Q1, increasing to 17 percent by 2017 Q3, 37 percent by 2018 Q1, 65 percent by 2018 Q3 and 85 percent by 2018 Q4 (based on classification of ‘UC Full Service’ variable set out in the explanatory variables section</w:t>
      </w:r>
      <w:r w:rsidR="00E81552">
        <w:rPr>
          <w:rStyle w:val="BookTitle"/>
          <w:rFonts w:ascii="Times New Roman" w:hAnsi="Times New Roman" w:cs="Times New Roman"/>
          <w:b w:val="0"/>
          <w:i w:val="0"/>
          <w:sz w:val="21"/>
          <w:szCs w:val="21"/>
        </w:rPr>
        <w:t>)</w:t>
      </w:r>
      <w:r w:rsidR="0016061E" w:rsidRPr="0016061E">
        <w:rPr>
          <w:rStyle w:val="BookTitle"/>
          <w:rFonts w:ascii="Times New Roman" w:hAnsi="Times New Roman" w:cs="Times New Roman"/>
          <w:b w:val="0"/>
          <w:i w:val="0"/>
          <w:sz w:val="21"/>
          <w:szCs w:val="21"/>
        </w:rPr>
        <w:t>.</w:t>
      </w:r>
    </w:p>
    <w:p w:rsidR="00822D07" w:rsidRDefault="00822D07" w:rsidP="00822D07"/>
    <w:p w:rsidR="00822D07" w:rsidRDefault="00822D07" w:rsidP="00822D07">
      <w:pPr>
        <w:pStyle w:val="Heading1"/>
        <w:pageBreakBefore/>
        <w:widowControl w:val="0"/>
        <w:rPr>
          <w:rFonts w:ascii="Arial" w:eastAsia="Times New Roman" w:hAnsi="Arial" w:cs="Arial"/>
          <w:b/>
          <w:color w:val="auto"/>
          <w:sz w:val="24"/>
          <w:szCs w:val="24"/>
          <w:lang w:eastAsia="en-GB"/>
        </w:rPr>
      </w:pPr>
      <w:r w:rsidRPr="00041D21">
        <w:rPr>
          <w:rFonts w:ascii="Arial" w:eastAsia="Times New Roman" w:hAnsi="Arial" w:cs="Arial"/>
          <w:b/>
          <w:color w:val="auto"/>
          <w:sz w:val="24"/>
          <w:szCs w:val="24"/>
          <w:lang w:eastAsia="en-GB"/>
        </w:rPr>
        <w:lastRenderedPageBreak/>
        <w:t>Appendix 2: Repeated analysis using mortgage reposse</w:t>
      </w:r>
      <w:r>
        <w:rPr>
          <w:rFonts w:ascii="Arial" w:eastAsia="Times New Roman" w:hAnsi="Arial" w:cs="Arial"/>
          <w:b/>
          <w:color w:val="auto"/>
          <w:sz w:val="24"/>
          <w:szCs w:val="24"/>
          <w:lang w:eastAsia="en-GB"/>
        </w:rPr>
        <w:t xml:space="preserve">ssion rates as non-equivalent </w:t>
      </w:r>
      <w:r w:rsidRPr="00041D21">
        <w:rPr>
          <w:rFonts w:ascii="Arial" w:eastAsia="Times New Roman" w:hAnsi="Arial" w:cs="Arial"/>
          <w:b/>
          <w:color w:val="auto"/>
          <w:sz w:val="24"/>
          <w:szCs w:val="24"/>
          <w:lang w:eastAsia="en-GB"/>
        </w:rPr>
        <w:t>dependent variables</w:t>
      </w:r>
      <w:r>
        <w:rPr>
          <w:rFonts w:ascii="Arial" w:eastAsia="Times New Roman" w:hAnsi="Arial" w:cs="Arial"/>
          <w:b/>
          <w:color w:val="auto"/>
          <w:sz w:val="24"/>
          <w:szCs w:val="24"/>
          <w:lang w:eastAsia="en-GB"/>
        </w:rPr>
        <w:t xml:space="preserve"> (Falsification Test)</w:t>
      </w:r>
    </w:p>
    <w:p w:rsidR="004F6FD0" w:rsidRPr="004F6FD0" w:rsidRDefault="004F6FD0" w:rsidP="004F6FD0">
      <w:pPr>
        <w:rPr>
          <w:lang w:eastAsia="en-GB"/>
        </w:rPr>
      </w:pPr>
    </w:p>
    <w:p w:rsidR="00822D07" w:rsidRDefault="00D601D3" w:rsidP="00822D07">
      <w:pPr>
        <w:rPr>
          <w:lang w:eastAsia="en-GB"/>
        </w:rPr>
      </w:pPr>
      <w:r>
        <w:rPr>
          <w:noProof/>
          <w:lang w:eastAsia="en-GB"/>
        </w:rPr>
        <w:drawing>
          <wp:inline distT="0" distB="0" distL="0" distR="0">
            <wp:extent cx="5731510" cy="49269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SIFICATION TEST TABLE REVISED.tif"/>
                    <pic:cNvPicPr/>
                  </pic:nvPicPr>
                  <pic:blipFill>
                    <a:blip r:embed="rId5">
                      <a:extLst>
                        <a:ext uri="{28A0092B-C50C-407E-A947-70E740481C1C}">
                          <a14:useLocalDpi xmlns:a14="http://schemas.microsoft.com/office/drawing/2010/main" val="0"/>
                        </a:ext>
                      </a:extLst>
                    </a:blip>
                    <a:stretch>
                      <a:fillRect/>
                    </a:stretch>
                  </pic:blipFill>
                  <pic:spPr>
                    <a:xfrm>
                      <a:off x="0" y="0"/>
                      <a:ext cx="5731510" cy="4926965"/>
                    </a:xfrm>
                    <a:prstGeom prst="rect">
                      <a:avLst/>
                    </a:prstGeom>
                  </pic:spPr>
                </pic:pic>
              </a:graphicData>
            </a:graphic>
          </wp:inline>
        </w:drawing>
      </w:r>
    </w:p>
    <w:p w:rsidR="004B4C92" w:rsidRDefault="004B4C92" w:rsidP="004B4C92">
      <w:pPr>
        <w:widowControl w:val="0"/>
        <w:jc w:val="both"/>
        <w:rPr>
          <w:rStyle w:val="BookTitle"/>
          <w:rFonts w:ascii="Times New Roman" w:hAnsi="Times New Roman" w:cs="Times New Roman"/>
          <w:b w:val="0"/>
          <w:i w:val="0"/>
          <w:sz w:val="21"/>
          <w:szCs w:val="21"/>
        </w:rPr>
      </w:pPr>
      <w:r>
        <w:rPr>
          <w:rStyle w:val="BookTitle"/>
          <w:rFonts w:ascii="Times New Roman" w:hAnsi="Times New Roman" w:cs="Times New Roman"/>
          <w:b w:val="0"/>
          <w:i w:val="0"/>
          <w:sz w:val="21"/>
          <w:szCs w:val="21"/>
        </w:rPr>
        <w:t xml:space="preserve">Web Table 1: </w:t>
      </w:r>
      <w:r w:rsidRPr="004B4C92">
        <w:rPr>
          <w:rStyle w:val="BookTitle"/>
          <w:rFonts w:ascii="Times New Roman" w:hAnsi="Times New Roman" w:cs="Times New Roman"/>
          <w:b w:val="0"/>
          <w:i w:val="0"/>
          <w:sz w:val="21"/>
          <w:szCs w:val="21"/>
        </w:rPr>
        <w:t>Relationship between UC ‘Fu</w:t>
      </w:r>
      <w:r>
        <w:rPr>
          <w:rStyle w:val="BookTitle"/>
          <w:rFonts w:ascii="Times New Roman" w:hAnsi="Times New Roman" w:cs="Times New Roman"/>
          <w:b w:val="0"/>
          <w:i w:val="0"/>
          <w:sz w:val="21"/>
          <w:szCs w:val="21"/>
        </w:rPr>
        <w:t>ll Service’ rollout and mortgage lender</w:t>
      </w:r>
      <w:r w:rsidRPr="004B4C92">
        <w:rPr>
          <w:rStyle w:val="BookTitle"/>
          <w:rFonts w:ascii="Times New Roman" w:hAnsi="Times New Roman" w:cs="Times New Roman"/>
          <w:b w:val="0"/>
          <w:i w:val="0"/>
          <w:sz w:val="21"/>
          <w:szCs w:val="21"/>
        </w:rPr>
        <w:t xml:space="preserve"> repossession rates </w:t>
      </w:r>
      <w:proofErr w:type="gramStart"/>
      <w:r w:rsidRPr="004B4C92">
        <w:rPr>
          <w:rStyle w:val="BookTitle"/>
          <w:rFonts w:ascii="Times New Roman" w:hAnsi="Times New Roman" w:cs="Times New Roman"/>
          <w:b w:val="0"/>
          <w:i w:val="0"/>
          <w:sz w:val="21"/>
          <w:szCs w:val="21"/>
        </w:rPr>
        <w:t>within</w:t>
      </w:r>
      <w:proofErr w:type="gramEnd"/>
      <w:r w:rsidRPr="004B4C92">
        <w:rPr>
          <w:rStyle w:val="BookTitle"/>
          <w:rFonts w:ascii="Times New Roman" w:hAnsi="Times New Roman" w:cs="Times New Roman"/>
          <w:b w:val="0"/>
          <w:i w:val="0"/>
          <w:sz w:val="21"/>
          <w:szCs w:val="21"/>
        </w:rPr>
        <w:t xml:space="preserve"> 323 English local a</w:t>
      </w:r>
      <w:r w:rsidR="00A81525">
        <w:rPr>
          <w:rStyle w:val="BookTitle"/>
          <w:rFonts w:ascii="Times New Roman" w:hAnsi="Times New Roman" w:cs="Times New Roman"/>
          <w:b w:val="0"/>
          <w:i w:val="0"/>
          <w:sz w:val="21"/>
          <w:szCs w:val="21"/>
        </w:rPr>
        <w:t>uthorities</w:t>
      </w:r>
      <w:r w:rsidRPr="004B4C92">
        <w:rPr>
          <w:rStyle w:val="BookTitle"/>
          <w:rFonts w:ascii="Times New Roman" w:hAnsi="Times New Roman" w:cs="Times New Roman"/>
          <w:b w:val="0"/>
          <w:i w:val="0"/>
          <w:sz w:val="21"/>
          <w:szCs w:val="21"/>
        </w:rPr>
        <w:t>, Q1 2012 – Q1 2019</w:t>
      </w:r>
      <w:r>
        <w:rPr>
          <w:rStyle w:val="BookTitle"/>
          <w:rFonts w:ascii="Times New Roman" w:hAnsi="Times New Roman" w:cs="Times New Roman"/>
          <w:b w:val="0"/>
          <w:i w:val="0"/>
          <w:sz w:val="21"/>
          <w:szCs w:val="21"/>
        </w:rPr>
        <w:t xml:space="preserve">. </w:t>
      </w:r>
      <w:r w:rsidRPr="004B4C92">
        <w:rPr>
          <w:rStyle w:val="BookTitle"/>
          <w:rFonts w:ascii="Times New Roman" w:hAnsi="Times New Roman" w:cs="Times New Roman"/>
          <w:b w:val="0"/>
          <w:i w:val="0"/>
          <w:sz w:val="21"/>
          <w:szCs w:val="21"/>
        </w:rPr>
        <w:t>Notes:</w:t>
      </w:r>
      <w:r w:rsidRPr="00FE7960">
        <w:rPr>
          <w:rStyle w:val="BookTitle"/>
          <w:rFonts w:ascii="Times New Roman" w:hAnsi="Times New Roman" w:cs="Times New Roman"/>
          <w:b w:val="0"/>
          <w:i w:val="0"/>
          <w:sz w:val="21"/>
          <w:szCs w:val="21"/>
        </w:rPr>
        <w:t xml:space="preserve"> Driscoll-</w:t>
      </w:r>
      <w:proofErr w:type="spellStart"/>
      <w:r w:rsidRPr="00FE7960">
        <w:rPr>
          <w:rStyle w:val="BookTitle"/>
          <w:rFonts w:ascii="Times New Roman" w:hAnsi="Times New Roman" w:cs="Times New Roman"/>
          <w:b w:val="0"/>
          <w:i w:val="0"/>
          <w:sz w:val="21"/>
          <w:szCs w:val="21"/>
        </w:rPr>
        <w:t>Kraay</w:t>
      </w:r>
      <w:proofErr w:type="spellEnd"/>
      <w:r w:rsidRPr="00FE7960">
        <w:rPr>
          <w:rStyle w:val="BookTitle"/>
          <w:rFonts w:ascii="Times New Roman" w:hAnsi="Times New Roman" w:cs="Times New Roman"/>
          <w:b w:val="0"/>
          <w:i w:val="0"/>
          <w:sz w:val="21"/>
          <w:szCs w:val="21"/>
        </w:rPr>
        <w:t xml:space="preserve"> standard errors shown in brackets under coefficients. All models include local authority and (quarterly) time fixed effects. </w:t>
      </w:r>
      <w:r>
        <w:rPr>
          <w:rStyle w:val="BookTitle"/>
          <w:rFonts w:ascii="Times New Roman" w:hAnsi="Times New Roman" w:cs="Times New Roman"/>
          <w:b w:val="0"/>
          <w:sz w:val="21"/>
          <w:szCs w:val="21"/>
        </w:rPr>
        <w:t xml:space="preserve">N </w:t>
      </w:r>
      <w:r>
        <w:rPr>
          <w:rStyle w:val="BookTitle"/>
          <w:rFonts w:ascii="Times New Roman" w:hAnsi="Times New Roman" w:cs="Times New Roman"/>
          <w:b w:val="0"/>
          <w:i w:val="0"/>
          <w:sz w:val="21"/>
          <w:szCs w:val="21"/>
        </w:rPr>
        <w:t>refers to the number of local authority quarters. Mortgage Lender</w:t>
      </w:r>
      <w:r w:rsidRPr="00FE7960">
        <w:rPr>
          <w:rStyle w:val="BookTitle"/>
          <w:rFonts w:ascii="Times New Roman" w:hAnsi="Times New Roman" w:cs="Times New Roman"/>
          <w:b w:val="0"/>
          <w:i w:val="0"/>
          <w:sz w:val="21"/>
          <w:szCs w:val="21"/>
        </w:rPr>
        <w:t xml:space="preserve"> repossession rates</w:t>
      </w:r>
      <w:r>
        <w:rPr>
          <w:rStyle w:val="BookTitle"/>
          <w:rFonts w:ascii="Times New Roman" w:hAnsi="Times New Roman" w:cs="Times New Roman"/>
          <w:b w:val="0"/>
          <w:i w:val="0"/>
          <w:sz w:val="21"/>
          <w:szCs w:val="21"/>
        </w:rPr>
        <w:t xml:space="preserve"> are per 10,000 owner occupied</w:t>
      </w:r>
      <w:r w:rsidR="00A81525">
        <w:rPr>
          <w:rStyle w:val="BookTitle"/>
          <w:rFonts w:ascii="Times New Roman" w:hAnsi="Times New Roman" w:cs="Times New Roman"/>
          <w:b w:val="0"/>
          <w:i w:val="0"/>
          <w:sz w:val="21"/>
          <w:szCs w:val="21"/>
        </w:rPr>
        <w:t xml:space="preserve"> dwellings</w:t>
      </w:r>
      <w:r w:rsidRPr="00FE7960">
        <w:rPr>
          <w:rStyle w:val="BookTitle"/>
          <w:rFonts w:ascii="Times New Roman" w:hAnsi="Times New Roman" w:cs="Times New Roman"/>
          <w:b w:val="0"/>
          <w:i w:val="0"/>
          <w:sz w:val="21"/>
          <w:szCs w:val="21"/>
        </w:rPr>
        <w:t xml:space="preserve"> in the l</w:t>
      </w:r>
      <w:r>
        <w:rPr>
          <w:rStyle w:val="BookTitle"/>
          <w:rFonts w:ascii="Times New Roman" w:hAnsi="Times New Roman" w:cs="Times New Roman"/>
          <w:b w:val="0"/>
          <w:i w:val="0"/>
          <w:sz w:val="21"/>
          <w:szCs w:val="21"/>
        </w:rPr>
        <w:t>ocal authority. Mortgage repossession warrants and bailiff repossessions are not considered as these take much longer than in the case of landlord repossession, meaning the two are not comparable.</w:t>
      </w:r>
      <w:r w:rsidRPr="00FE7960">
        <w:rPr>
          <w:rStyle w:val="BookTitle"/>
          <w:rFonts w:ascii="Times New Roman" w:hAnsi="Times New Roman" w:cs="Times New Roman"/>
          <w:b w:val="0"/>
          <w:i w:val="0"/>
          <w:sz w:val="21"/>
          <w:szCs w:val="21"/>
        </w:rPr>
        <w:t xml:space="preserve"> +p&lt;0.10, *p&lt;0.05, **p&lt;0.01, ***p&lt;0.001.</w:t>
      </w:r>
    </w:p>
    <w:p w:rsidR="004B4C92" w:rsidRDefault="004B4C92" w:rsidP="004B4C92">
      <w:pPr>
        <w:widowControl w:val="0"/>
        <w:jc w:val="both"/>
        <w:rPr>
          <w:rStyle w:val="BookTitle"/>
          <w:rFonts w:ascii="Times New Roman" w:hAnsi="Times New Roman" w:cs="Times New Roman"/>
          <w:b w:val="0"/>
          <w:i w:val="0"/>
          <w:sz w:val="21"/>
          <w:szCs w:val="21"/>
        </w:rPr>
      </w:pPr>
      <w:r>
        <w:rPr>
          <w:noProof/>
          <w:lang w:eastAsia="en-GB"/>
        </w:rPr>
        <w:lastRenderedPageBreak/>
        <w:drawing>
          <wp:inline distT="0" distB="0" distL="0" distR="0" wp14:anchorId="367C3891" wp14:editId="5692D86F">
            <wp:extent cx="5731510" cy="264795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2 Falsification T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47950"/>
                    </a:xfrm>
                    <a:prstGeom prst="rect">
                      <a:avLst/>
                    </a:prstGeom>
                  </pic:spPr>
                </pic:pic>
              </a:graphicData>
            </a:graphic>
          </wp:inline>
        </w:drawing>
      </w:r>
    </w:p>
    <w:p w:rsidR="004B4C92" w:rsidRDefault="004B4C92" w:rsidP="004B4C92">
      <w:pPr>
        <w:jc w:val="both"/>
        <w:rPr>
          <w:rStyle w:val="BookTitle"/>
          <w:rFonts w:ascii="Times New Roman" w:hAnsi="Times New Roman" w:cs="Times New Roman"/>
          <w:b w:val="0"/>
          <w:i w:val="0"/>
          <w:sz w:val="21"/>
          <w:szCs w:val="21"/>
        </w:rPr>
      </w:pPr>
      <w:r>
        <w:rPr>
          <w:rStyle w:val="BookTitle"/>
          <w:rFonts w:ascii="Times New Roman" w:hAnsi="Times New Roman" w:cs="Times New Roman"/>
          <w:b w:val="0"/>
          <w:i w:val="0"/>
          <w:sz w:val="21"/>
          <w:szCs w:val="21"/>
        </w:rPr>
        <w:t>Web Figure 2</w:t>
      </w:r>
      <w:r w:rsidRPr="00FE7960">
        <w:rPr>
          <w:rStyle w:val="BookTitle"/>
          <w:rFonts w:ascii="Times New Roman" w:hAnsi="Times New Roman" w:cs="Times New Roman"/>
          <w:b w:val="0"/>
          <w:i w:val="0"/>
          <w:sz w:val="21"/>
          <w:szCs w:val="21"/>
        </w:rPr>
        <w:t>.</w:t>
      </w:r>
      <w:r>
        <w:rPr>
          <w:rStyle w:val="BookTitle"/>
          <w:rFonts w:ascii="Times New Roman" w:hAnsi="Times New Roman" w:cs="Times New Roman"/>
          <w:b w:val="0"/>
          <w:i w:val="0"/>
          <w:sz w:val="21"/>
          <w:szCs w:val="21"/>
        </w:rPr>
        <w:t xml:space="preserve"> </w:t>
      </w:r>
      <w:r w:rsidRPr="00FE7960">
        <w:rPr>
          <w:rStyle w:val="BookTitle"/>
          <w:rFonts w:ascii="Times New Roman" w:hAnsi="Times New Roman" w:cs="Times New Roman"/>
          <w:b w:val="0"/>
          <w:i w:val="0"/>
          <w:sz w:val="21"/>
          <w:szCs w:val="21"/>
        </w:rPr>
        <w:t>Q</w:t>
      </w:r>
      <w:r>
        <w:rPr>
          <w:rStyle w:val="BookTitle"/>
          <w:rFonts w:ascii="Times New Roman" w:hAnsi="Times New Roman" w:cs="Times New Roman"/>
          <w:b w:val="0"/>
          <w:i w:val="0"/>
          <w:sz w:val="21"/>
          <w:szCs w:val="21"/>
        </w:rPr>
        <w:t>uarterly trends in mean mortgage lender</w:t>
      </w:r>
      <w:r w:rsidRPr="00FE7960">
        <w:rPr>
          <w:rStyle w:val="BookTitle"/>
          <w:rFonts w:ascii="Times New Roman" w:hAnsi="Times New Roman" w:cs="Times New Roman"/>
          <w:b w:val="0"/>
          <w:i w:val="0"/>
          <w:sz w:val="21"/>
          <w:szCs w:val="21"/>
        </w:rPr>
        <w:t xml:space="preserve"> repossession rates in UC ‘Full Service’ versus non UC ‘Full Service’ local </w:t>
      </w:r>
      <w:r>
        <w:rPr>
          <w:rStyle w:val="BookTitle"/>
          <w:rFonts w:ascii="Times New Roman" w:hAnsi="Times New Roman" w:cs="Times New Roman"/>
          <w:b w:val="0"/>
          <w:i w:val="0"/>
          <w:sz w:val="21"/>
          <w:szCs w:val="21"/>
        </w:rPr>
        <w:t>authorities, 2017-2018. Notes: The number of local authorities that were UCFS areas gradually increased over time as rollout progressed – 10 percent of local authorities were UCFS areas by 2017 Q1, increasing to 17 percent by 2017 Q3, 37 percent by 2018 Q1, 65 percent by 2018 Q3 and 85 percent by 2018 Q4 (based on classification of ‘</w:t>
      </w:r>
      <w:r>
        <w:rPr>
          <w:rStyle w:val="BookTitle"/>
          <w:rFonts w:ascii="Times New Roman" w:hAnsi="Times New Roman" w:cs="Times New Roman"/>
          <w:b w:val="0"/>
          <w:sz w:val="21"/>
          <w:szCs w:val="21"/>
        </w:rPr>
        <w:t xml:space="preserve">UC Full Service’ </w:t>
      </w:r>
      <w:r>
        <w:rPr>
          <w:rStyle w:val="BookTitle"/>
          <w:rFonts w:ascii="Times New Roman" w:hAnsi="Times New Roman" w:cs="Times New Roman"/>
          <w:b w:val="0"/>
          <w:i w:val="0"/>
          <w:sz w:val="21"/>
          <w:szCs w:val="21"/>
        </w:rPr>
        <w:t xml:space="preserve">variable set out in the explanatory variables section. </w:t>
      </w:r>
    </w:p>
    <w:p w:rsidR="004B4C92" w:rsidRDefault="004B4C92" w:rsidP="004B4C92">
      <w:pPr>
        <w:jc w:val="both"/>
        <w:rPr>
          <w:rStyle w:val="BookTitle"/>
          <w:rFonts w:ascii="Times New Roman" w:hAnsi="Times New Roman" w:cs="Times New Roman"/>
          <w:b w:val="0"/>
          <w:i w:val="0"/>
          <w:sz w:val="21"/>
          <w:szCs w:val="21"/>
        </w:rPr>
      </w:pPr>
    </w:p>
    <w:p w:rsidR="004B4C92" w:rsidRDefault="004B4C92" w:rsidP="004B4C92">
      <w:pPr>
        <w:jc w:val="both"/>
        <w:rPr>
          <w:rStyle w:val="BookTitle"/>
          <w:rFonts w:ascii="Times New Roman" w:hAnsi="Times New Roman" w:cs="Times New Roman"/>
          <w:b w:val="0"/>
          <w:i w:val="0"/>
          <w:sz w:val="21"/>
          <w:szCs w:val="21"/>
        </w:rPr>
      </w:pPr>
      <w:r>
        <w:rPr>
          <w:b/>
          <w:noProof/>
          <w:color w:val="FF0000"/>
          <w:lang w:eastAsia="en-GB"/>
        </w:rPr>
        <w:drawing>
          <wp:inline distT="0" distB="0" distL="0" distR="0" wp14:anchorId="4A2F95C9" wp14:editId="1E92119E">
            <wp:extent cx="5731206" cy="3476446"/>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LSIFICATION TEST PRE PO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9803" cy="3487726"/>
                    </a:xfrm>
                    <a:prstGeom prst="rect">
                      <a:avLst/>
                    </a:prstGeom>
                  </pic:spPr>
                </pic:pic>
              </a:graphicData>
            </a:graphic>
          </wp:inline>
        </w:drawing>
      </w:r>
    </w:p>
    <w:p w:rsidR="00F06251" w:rsidRPr="004F6FD0" w:rsidRDefault="004B4C92" w:rsidP="004F6FD0">
      <w:pPr>
        <w:jc w:val="both"/>
        <w:rPr>
          <w:rFonts w:ascii="Times New Roman" w:hAnsi="Times New Roman" w:cs="Times New Roman"/>
          <w:bCs/>
          <w:iCs/>
          <w:spacing w:val="5"/>
          <w:sz w:val="21"/>
          <w:szCs w:val="21"/>
        </w:rPr>
      </w:pPr>
      <w:r>
        <w:rPr>
          <w:rStyle w:val="BookTitle"/>
          <w:rFonts w:ascii="Times New Roman" w:hAnsi="Times New Roman" w:cs="Times New Roman"/>
          <w:b w:val="0"/>
          <w:i w:val="0"/>
          <w:sz w:val="21"/>
          <w:szCs w:val="21"/>
        </w:rPr>
        <w:t>Web Figure 3.</w:t>
      </w:r>
      <w:r w:rsidRPr="00FE7960">
        <w:rPr>
          <w:rStyle w:val="BookTitle"/>
          <w:rFonts w:ascii="Times New Roman" w:hAnsi="Times New Roman" w:cs="Times New Roman"/>
          <w:b w:val="0"/>
          <w:i w:val="0"/>
          <w:sz w:val="21"/>
          <w:szCs w:val="21"/>
        </w:rPr>
        <w:t xml:space="preserve"> Q</w:t>
      </w:r>
      <w:r>
        <w:rPr>
          <w:rStyle w:val="BookTitle"/>
          <w:rFonts w:ascii="Times New Roman" w:hAnsi="Times New Roman" w:cs="Times New Roman"/>
          <w:b w:val="0"/>
          <w:i w:val="0"/>
          <w:sz w:val="21"/>
          <w:szCs w:val="21"/>
        </w:rPr>
        <w:t>uarterly trends in mean mortgage lender</w:t>
      </w:r>
      <w:r w:rsidRPr="00FE7960">
        <w:rPr>
          <w:rStyle w:val="BookTitle"/>
          <w:rFonts w:ascii="Times New Roman" w:hAnsi="Times New Roman" w:cs="Times New Roman"/>
          <w:b w:val="0"/>
          <w:i w:val="0"/>
          <w:sz w:val="21"/>
          <w:szCs w:val="21"/>
        </w:rPr>
        <w:t xml:space="preserve"> repossession rates (relative to the average across local authorities) in English local authorities, before and after UC ‘Full Service’ rollout.</w:t>
      </w:r>
      <w:r>
        <w:rPr>
          <w:rStyle w:val="BookTitle"/>
          <w:rFonts w:ascii="Times New Roman" w:hAnsi="Times New Roman" w:cs="Times New Roman"/>
          <w:b w:val="0"/>
          <w:i w:val="0"/>
          <w:sz w:val="21"/>
          <w:szCs w:val="21"/>
        </w:rPr>
        <w:t xml:space="preserve"> Notes: only includes data on the 136</w:t>
      </w:r>
      <w:r w:rsidRPr="00FE7960">
        <w:rPr>
          <w:rStyle w:val="BookTitle"/>
          <w:rFonts w:ascii="Times New Roman" w:hAnsi="Times New Roman" w:cs="Times New Roman"/>
          <w:b w:val="0"/>
          <w:i w:val="0"/>
          <w:sz w:val="21"/>
          <w:szCs w:val="21"/>
        </w:rPr>
        <w:t xml:space="preserve"> local authorities with r</w:t>
      </w:r>
      <w:r>
        <w:rPr>
          <w:rStyle w:val="BookTitle"/>
          <w:rFonts w:ascii="Times New Roman" w:hAnsi="Times New Roman" w:cs="Times New Roman"/>
          <w:b w:val="0"/>
          <w:i w:val="0"/>
          <w:sz w:val="21"/>
          <w:szCs w:val="21"/>
        </w:rPr>
        <w:t xml:space="preserve">epossessions data available to the fourth quarter or more </w:t>
      </w:r>
      <w:r w:rsidRPr="00FE7960">
        <w:rPr>
          <w:rStyle w:val="BookTitle"/>
          <w:rFonts w:ascii="Times New Roman" w:hAnsi="Times New Roman" w:cs="Times New Roman"/>
          <w:b w:val="0"/>
          <w:i w:val="0"/>
          <w:sz w:val="21"/>
          <w:szCs w:val="21"/>
        </w:rPr>
        <w:t xml:space="preserve">post ‘Full Service’ rollout. </w:t>
      </w:r>
      <w:r>
        <w:rPr>
          <w:rStyle w:val="BookTitle"/>
          <w:rFonts w:ascii="Times New Roman" w:hAnsi="Times New Roman" w:cs="Times New Roman"/>
          <w:b w:val="0"/>
          <w:i w:val="0"/>
          <w:sz w:val="21"/>
          <w:szCs w:val="21"/>
        </w:rPr>
        <w:t xml:space="preserve">‘Full Service’ rollout is the first quarter in which UC ‘Full Service’ was available in most Jobcentres in the local authority for most of the quarter. </w:t>
      </w:r>
      <w:r w:rsidRPr="00FE7960">
        <w:rPr>
          <w:rStyle w:val="BookTitle"/>
          <w:rFonts w:ascii="Times New Roman" w:hAnsi="Times New Roman" w:cs="Times New Roman"/>
          <w:b w:val="0"/>
          <w:i w:val="0"/>
          <w:sz w:val="21"/>
          <w:szCs w:val="21"/>
        </w:rPr>
        <w:t>Y axes give the me</w:t>
      </w:r>
      <w:r>
        <w:rPr>
          <w:rStyle w:val="BookTitle"/>
          <w:rFonts w:ascii="Times New Roman" w:hAnsi="Times New Roman" w:cs="Times New Roman"/>
          <w:b w:val="0"/>
          <w:i w:val="0"/>
          <w:sz w:val="21"/>
          <w:szCs w:val="21"/>
        </w:rPr>
        <w:t>an of the ratio between mortgage lender</w:t>
      </w:r>
      <w:r w:rsidRPr="00FE7960">
        <w:rPr>
          <w:rStyle w:val="BookTitle"/>
          <w:rFonts w:ascii="Times New Roman" w:hAnsi="Times New Roman" w:cs="Times New Roman"/>
          <w:b w:val="0"/>
          <w:i w:val="0"/>
          <w:sz w:val="21"/>
          <w:szCs w:val="21"/>
        </w:rPr>
        <w:t xml:space="preserve"> repossession rate</w:t>
      </w:r>
      <w:r>
        <w:rPr>
          <w:rStyle w:val="BookTitle"/>
          <w:rFonts w:ascii="Times New Roman" w:hAnsi="Times New Roman" w:cs="Times New Roman"/>
          <w:b w:val="0"/>
          <w:i w:val="0"/>
          <w:sz w:val="21"/>
          <w:szCs w:val="21"/>
        </w:rPr>
        <w:t>s and the average across the 136</w:t>
      </w:r>
      <w:r w:rsidRPr="00FE7960">
        <w:rPr>
          <w:rStyle w:val="BookTitle"/>
          <w:rFonts w:ascii="Times New Roman" w:hAnsi="Times New Roman" w:cs="Times New Roman"/>
          <w:b w:val="0"/>
          <w:i w:val="0"/>
          <w:sz w:val="21"/>
          <w:szCs w:val="21"/>
        </w:rPr>
        <w:t xml:space="preserve"> local a</w:t>
      </w:r>
      <w:r w:rsidR="004F6FD0">
        <w:rPr>
          <w:rStyle w:val="BookTitle"/>
          <w:rFonts w:ascii="Times New Roman" w:hAnsi="Times New Roman" w:cs="Times New Roman"/>
          <w:b w:val="0"/>
          <w:i w:val="0"/>
          <w:sz w:val="21"/>
          <w:szCs w:val="21"/>
        </w:rPr>
        <w:t>uthorities in the given quarter.</w:t>
      </w:r>
      <w:bookmarkStart w:id="0" w:name="_GoBack"/>
      <w:bookmarkEnd w:id="0"/>
    </w:p>
    <w:sectPr w:rsidR="00F06251" w:rsidRPr="004F6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07"/>
    <w:rsid w:val="0016061E"/>
    <w:rsid w:val="0026497C"/>
    <w:rsid w:val="003B7B94"/>
    <w:rsid w:val="004B4C92"/>
    <w:rsid w:val="004D68EB"/>
    <w:rsid w:val="004F6FD0"/>
    <w:rsid w:val="00771558"/>
    <w:rsid w:val="00822D07"/>
    <w:rsid w:val="00946E96"/>
    <w:rsid w:val="009D2BF6"/>
    <w:rsid w:val="00A81525"/>
    <w:rsid w:val="00AF27B7"/>
    <w:rsid w:val="00D601D3"/>
    <w:rsid w:val="00E81552"/>
    <w:rsid w:val="00F0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B569"/>
  <w15:chartTrackingRefBased/>
  <w15:docId w15:val="{4FFA1CCB-02B8-469F-8FDD-81850364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D07"/>
    <w:pPr>
      <w:keepNext/>
      <w:keepLines/>
      <w:spacing w:before="240" w:after="0"/>
      <w:jc w:val="both"/>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07"/>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822D07"/>
    <w:rPr>
      <w:b/>
      <w:bCs/>
      <w:i/>
      <w:iCs/>
      <w:spacing w:val="5"/>
    </w:rPr>
  </w:style>
  <w:style w:type="paragraph" w:customStyle="1" w:styleId="EndNoteBibliography">
    <w:name w:val="EndNote Bibliography"/>
    <w:basedOn w:val="Normal"/>
    <w:link w:val="EndNoteBibliographyChar"/>
    <w:rsid w:val="00822D07"/>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22D0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t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51AA026C.dotm</Template>
  <TotalTime>43</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Hardie (student)</dc:creator>
  <cp:keywords/>
  <dc:description/>
  <cp:lastModifiedBy>Iain Hardie (student)</cp:lastModifiedBy>
  <cp:revision>7</cp:revision>
  <dcterms:created xsi:type="dcterms:W3CDTF">2019-08-21T12:56:00Z</dcterms:created>
  <dcterms:modified xsi:type="dcterms:W3CDTF">2019-11-23T15:56:00Z</dcterms:modified>
</cp:coreProperties>
</file>