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37" w:rsidRPr="00521137" w:rsidRDefault="00521137" w:rsidP="00CD24C9">
      <w:pPr>
        <w:pStyle w:val="Caption"/>
        <w:spacing w:after="0"/>
        <w:rPr>
          <w:rStyle w:val="None"/>
          <w:rFonts w:asciiTheme="minorHAnsi" w:hAnsiTheme="minorHAnsi"/>
          <w:b/>
          <w:i w:val="0"/>
          <w:iCs w:val="0"/>
          <w:color w:val="000000"/>
          <w:sz w:val="22"/>
          <w:szCs w:val="22"/>
          <w:u w:color="000000"/>
        </w:rPr>
      </w:pPr>
      <w:bookmarkStart w:id="0" w:name="_Ref528068631"/>
      <w:bookmarkStart w:id="1" w:name="_Ref528068679"/>
      <w:r w:rsidRPr="00521137">
        <w:rPr>
          <w:rStyle w:val="None"/>
          <w:rFonts w:asciiTheme="minorHAnsi" w:hAnsiTheme="minorHAnsi"/>
          <w:b/>
          <w:i w:val="0"/>
          <w:iCs w:val="0"/>
          <w:color w:val="000000"/>
          <w:sz w:val="22"/>
          <w:szCs w:val="22"/>
          <w:u w:color="000000"/>
        </w:rPr>
        <w:t>Tables</w:t>
      </w:r>
    </w:p>
    <w:p w:rsidR="00521137" w:rsidRDefault="00521137" w:rsidP="00CD24C9">
      <w:pPr>
        <w:pStyle w:val="Caption"/>
        <w:spacing w:after="0"/>
        <w:rPr>
          <w:rStyle w:val="None"/>
          <w:rFonts w:asciiTheme="minorHAnsi" w:hAnsiTheme="minorHAnsi"/>
          <w:i w:val="0"/>
          <w:iCs w:val="0"/>
          <w:color w:val="000000"/>
          <w:sz w:val="22"/>
          <w:szCs w:val="22"/>
          <w:u w:color="000000"/>
        </w:rPr>
      </w:pPr>
    </w:p>
    <w:p w:rsidR="00CD24C9" w:rsidRPr="00CD24C9" w:rsidRDefault="00CD24C9" w:rsidP="00CD24C9">
      <w:pPr>
        <w:pStyle w:val="Caption"/>
        <w:spacing w:after="0"/>
        <w:rPr>
          <w:rStyle w:val="None"/>
          <w:rFonts w:asciiTheme="minorHAnsi" w:hAnsiTheme="minorHAnsi"/>
          <w:i w:val="0"/>
          <w:iCs w:val="0"/>
          <w:color w:val="000000"/>
          <w:sz w:val="22"/>
          <w:szCs w:val="22"/>
          <w:u w:color="000000"/>
        </w:rPr>
      </w:pPr>
      <w:r w:rsidRPr="00CD24C9">
        <w:rPr>
          <w:rStyle w:val="None"/>
          <w:rFonts w:asciiTheme="minorHAnsi" w:hAnsiTheme="minorHAnsi"/>
          <w:i w:val="0"/>
          <w:iCs w:val="0"/>
          <w:color w:val="000000"/>
          <w:sz w:val="22"/>
          <w:szCs w:val="22"/>
          <w:u w:color="000000"/>
        </w:rPr>
        <w:t xml:space="preserve">Table </w:t>
      </w:r>
      <w:r w:rsidRPr="00CD24C9">
        <w:rPr>
          <w:rStyle w:val="None"/>
          <w:rFonts w:asciiTheme="minorHAnsi" w:hAnsiTheme="minorHAnsi"/>
          <w:i w:val="0"/>
          <w:iCs w:val="0"/>
          <w:color w:val="000000"/>
          <w:sz w:val="22"/>
          <w:szCs w:val="22"/>
          <w:u w:color="000000"/>
        </w:rPr>
        <w:fldChar w:fldCharType="begin"/>
      </w:r>
      <w:r w:rsidRPr="00CD24C9">
        <w:rPr>
          <w:rStyle w:val="None"/>
          <w:rFonts w:asciiTheme="minorHAnsi" w:hAnsiTheme="minorHAnsi"/>
          <w:i w:val="0"/>
          <w:iCs w:val="0"/>
          <w:color w:val="000000"/>
          <w:sz w:val="22"/>
          <w:szCs w:val="22"/>
          <w:u w:color="000000"/>
        </w:rPr>
        <w:instrText xml:space="preserve"> SEQ Table \* ARABIC </w:instrText>
      </w:r>
      <w:r w:rsidRPr="00CD24C9">
        <w:rPr>
          <w:rStyle w:val="None"/>
          <w:rFonts w:asciiTheme="minorHAnsi" w:hAnsiTheme="minorHAnsi"/>
          <w:i w:val="0"/>
          <w:iCs w:val="0"/>
          <w:color w:val="000000"/>
          <w:sz w:val="22"/>
          <w:szCs w:val="22"/>
          <w:u w:color="000000"/>
        </w:rPr>
        <w:fldChar w:fldCharType="separate"/>
      </w:r>
      <w:r w:rsidRPr="00CD24C9">
        <w:rPr>
          <w:rStyle w:val="None"/>
          <w:rFonts w:asciiTheme="minorHAnsi" w:hAnsiTheme="minorHAnsi"/>
          <w:i w:val="0"/>
          <w:iCs w:val="0"/>
          <w:noProof/>
          <w:color w:val="000000"/>
          <w:sz w:val="22"/>
          <w:szCs w:val="22"/>
          <w:u w:color="000000"/>
        </w:rPr>
        <w:t>1</w:t>
      </w:r>
      <w:r w:rsidRPr="00CD24C9">
        <w:rPr>
          <w:rStyle w:val="None"/>
          <w:rFonts w:asciiTheme="minorHAnsi" w:hAnsiTheme="minorHAnsi"/>
          <w:i w:val="0"/>
          <w:iCs w:val="0"/>
          <w:color w:val="000000"/>
          <w:sz w:val="22"/>
          <w:szCs w:val="22"/>
          <w:u w:color="000000"/>
        </w:rPr>
        <w:fldChar w:fldCharType="end"/>
      </w:r>
      <w:bookmarkEnd w:id="0"/>
      <w:r w:rsidRPr="00CD24C9">
        <w:rPr>
          <w:rStyle w:val="None"/>
          <w:rFonts w:asciiTheme="minorHAnsi" w:hAnsiTheme="minorHAnsi"/>
          <w:i w:val="0"/>
          <w:iCs w:val="0"/>
          <w:color w:val="000000"/>
          <w:sz w:val="22"/>
          <w:szCs w:val="22"/>
          <w:u w:color="000000"/>
        </w:rPr>
        <w:t>: Prevalence of food insecurity in relation to household characteristics in Europe, 2007</w:t>
      </w:r>
      <w:r w:rsidRPr="00CD24C9">
        <w:rPr>
          <w:rStyle w:val="None"/>
          <w:rFonts w:asciiTheme="minorHAnsi" w:hAnsiTheme="minorHAnsi"/>
          <w:sz w:val="22"/>
          <w:szCs w:val="22"/>
          <w:vertAlign w:val="superscript"/>
        </w:rPr>
        <w:endnoteReference w:id="1"/>
      </w: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96"/>
        <w:gridCol w:w="1260"/>
        <w:gridCol w:w="1259"/>
        <w:gridCol w:w="1260"/>
        <w:gridCol w:w="1405"/>
        <w:gridCol w:w="1116"/>
      </w:tblGrid>
      <w:tr w:rsidR="00CD24C9" w:rsidRPr="00CD24C9" w:rsidTr="007D4BBD">
        <w:trPr>
          <w:trHeight w:val="476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All respondents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Food insecure respondents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Difference between groups</w:t>
            </w:r>
          </w:p>
        </w:tc>
      </w:tr>
      <w:tr w:rsidR="00CD24C9" w:rsidRPr="00CD24C9" w:rsidTr="007D4BBD">
        <w:trPr>
          <w:trHeight w:val="504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Column proportion (%)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Row proportion (%)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Chi-squared test statistic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p-value</w:t>
            </w: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t(28998)</w:t>
            </w:r>
          </w:p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=-13.9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 xml:space="preserve">Mean 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48.9 years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53.7 years</w:t>
            </w: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p&lt;.000</w:t>
            </w: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12,452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16,548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1,913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100.4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p&lt;.000</w:t>
            </w:r>
          </w:p>
        </w:tc>
      </w:tr>
      <w:tr w:rsidR="00CD24C9" w:rsidRPr="00CD24C9" w:rsidTr="007D4BBD">
        <w:trPr>
          <w:trHeight w:val="231"/>
        </w:trPr>
        <w:tc>
          <w:tcPr>
            <w:tcW w:w="9772" w:type="dxa"/>
            <w:gridSpan w:val="7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Household composition</w:t>
            </w: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One person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6,129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Couple, no children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8,232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Couple with children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Lone parent with children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Other</w:t>
            </w:r>
            <w:r w:rsidRPr="00CD24C9">
              <w:rPr>
                <w:rStyle w:val="EndnoteReference"/>
                <w:rFonts w:asciiTheme="minorHAnsi" w:hAnsiTheme="minorHAnsi"/>
                <w:sz w:val="20"/>
                <w:szCs w:val="20"/>
              </w:rPr>
              <w:endnoteReference w:id="2"/>
            </w:r>
            <w:r w:rsidRPr="00CD24C9">
              <w:rPr>
                <w:rFonts w:asciiTheme="minorHAnsi" w:hAnsiTheme="minorHAnsi"/>
                <w:sz w:val="20"/>
                <w:szCs w:val="20"/>
              </w:rPr>
              <w:t>, no children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5,975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Other, with children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1,581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307.6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p&lt;.000</w:t>
            </w:r>
          </w:p>
        </w:tc>
      </w:tr>
      <w:tr w:rsidR="00CD24C9" w:rsidRPr="00CD24C9" w:rsidTr="007D4BBD">
        <w:trPr>
          <w:trHeight w:val="245"/>
        </w:trPr>
        <w:tc>
          <w:tcPr>
            <w:tcW w:w="9772" w:type="dxa"/>
            <w:gridSpan w:val="7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Income</w:t>
            </w: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Lowest quartile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4,897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Quartile 2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4,953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Quartile 3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5,034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Highest quartile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5,028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Unknown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9,088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1,200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p&lt;.000</w:t>
            </w:r>
          </w:p>
        </w:tc>
      </w:tr>
      <w:tr w:rsidR="00CD24C9" w:rsidRPr="00CD24C9" w:rsidTr="007D4BBD">
        <w:trPr>
          <w:trHeight w:val="231"/>
        </w:trPr>
        <w:tc>
          <w:tcPr>
            <w:tcW w:w="9772" w:type="dxa"/>
            <w:gridSpan w:val="7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Housing tenure</w:t>
            </w: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Owner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21,456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74.0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Private renter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3,627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Social renter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2,723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Other tenure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1,194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29.6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p&lt;.000</w:t>
            </w:r>
          </w:p>
        </w:tc>
      </w:tr>
      <w:tr w:rsidR="00CD24C9" w:rsidRPr="00CD24C9" w:rsidTr="007D4BBD">
        <w:trPr>
          <w:trHeight w:val="245"/>
        </w:trPr>
        <w:tc>
          <w:tcPr>
            <w:tcW w:w="9772" w:type="dxa"/>
            <w:gridSpan w:val="7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b/>
                <w:sz w:val="20"/>
                <w:szCs w:val="20"/>
              </w:rPr>
              <w:t>Education</w:t>
            </w:r>
            <w:r w:rsidRPr="00CD24C9">
              <w:rPr>
                <w:rStyle w:val="EndnoteReference"/>
                <w:rFonts w:asciiTheme="minorHAnsi" w:hAnsiTheme="minorHAnsi" w:cstheme="minorHAnsi"/>
                <w:b/>
                <w:sz w:val="20"/>
                <w:szCs w:val="20"/>
              </w:rPr>
              <w:endnoteReference w:id="3"/>
            </w: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sz w:val="20"/>
                <w:szCs w:val="20"/>
              </w:rPr>
              <w:t xml:space="preserve">No education 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sz w:val="20"/>
                <w:szCs w:val="20"/>
              </w:rPr>
              <w:t xml:space="preserve">Primary 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sz w:val="20"/>
                <w:szCs w:val="20"/>
              </w:rPr>
              <w:t xml:space="preserve">Lower secondary 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5,459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sz w:val="20"/>
                <w:szCs w:val="20"/>
              </w:rPr>
              <w:t xml:space="preserve">Upper secondary 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11,557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1,247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sz w:val="20"/>
                <w:szCs w:val="20"/>
              </w:rPr>
              <w:t xml:space="preserve">Postsecondary 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2,533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sz w:val="20"/>
                <w:szCs w:val="20"/>
              </w:rPr>
              <w:t>Tertiary (first level)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5,284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sz w:val="20"/>
                <w:szCs w:val="20"/>
              </w:rPr>
              <w:t>Tertiary (advanced level)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415.0</w:t>
            </w: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p&lt;.000</w:t>
            </w:r>
          </w:p>
        </w:tc>
      </w:tr>
      <w:tr w:rsidR="00CD24C9" w:rsidRPr="00CD24C9" w:rsidTr="007D4BBD">
        <w:trPr>
          <w:trHeight w:val="231"/>
        </w:trPr>
        <w:tc>
          <w:tcPr>
            <w:tcW w:w="9772" w:type="dxa"/>
            <w:gridSpan w:val="7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b/>
                <w:sz w:val="20"/>
                <w:szCs w:val="20"/>
              </w:rPr>
              <w:t>Employment status</w:t>
            </w: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Employed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14,475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Unemployed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1,323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74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Unable to work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Retired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8,438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1,276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Homemaker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2,314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Student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1,305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752.7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p&lt;.000</w:t>
            </w:r>
          </w:p>
        </w:tc>
      </w:tr>
      <w:tr w:rsidR="00CD24C9" w:rsidRPr="00CD24C9" w:rsidTr="007D4BBD">
        <w:trPr>
          <w:trHeight w:val="245"/>
        </w:trPr>
        <w:tc>
          <w:tcPr>
            <w:tcW w:w="9772" w:type="dxa"/>
            <w:gridSpan w:val="7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Urban-rural location</w:t>
            </w: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13,834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1,390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sz w:val="20"/>
                <w:szCs w:val="20"/>
              </w:rPr>
              <w:t>Rural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15,166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1,518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p=0.913</w:t>
            </w:r>
          </w:p>
        </w:tc>
      </w:tr>
      <w:tr w:rsidR="00CD24C9" w:rsidRPr="00CD24C9" w:rsidTr="007D4BBD">
        <w:trPr>
          <w:trHeight w:val="245"/>
        </w:trPr>
        <w:tc>
          <w:tcPr>
            <w:tcW w:w="9772" w:type="dxa"/>
            <w:gridSpan w:val="7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 xml:space="preserve">Disability status </w:t>
            </w:r>
          </w:p>
        </w:tc>
      </w:tr>
      <w:tr w:rsidR="00CD24C9" w:rsidRPr="00CD24C9" w:rsidTr="007D4BBD">
        <w:trPr>
          <w:trHeight w:val="245"/>
        </w:trPr>
        <w:tc>
          <w:tcPr>
            <w:tcW w:w="237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sz w:val="20"/>
                <w:szCs w:val="20"/>
              </w:rPr>
              <w:t>No disability</w:t>
            </w:r>
          </w:p>
        </w:tc>
        <w:tc>
          <w:tcPr>
            <w:tcW w:w="109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22,414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125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1,825</w:t>
            </w:r>
          </w:p>
        </w:tc>
        <w:tc>
          <w:tcPr>
            <w:tcW w:w="12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405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24C9" w:rsidRPr="00CD24C9" w:rsidTr="007D4BBD">
        <w:trPr>
          <w:trHeight w:val="231"/>
        </w:trPr>
        <w:tc>
          <w:tcPr>
            <w:tcW w:w="237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sz w:val="20"/>
                <w:szCs w:val="20"/>
              </w:rPr>
              <w:t>Has a disability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6,586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388.8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D24C9">
              <w:rPr>
                <w:rFonts w:asciiTheme="minorHAnsi" w:hAnsiTheme="minorHAnsi"/>
                <w:sz w:val="20"/>
                <w:szCs w:val="20"/>
              </w:rPr>
              <w:t>p&lt;.000</w:t>
            </w:r>
          </w:p>
        </w:tc>
      </w:tr>
      <w:tr w:rsidR="00CD24C9" w:rsidRPr="00CD24C9" w:rsidTr="007D4BBD">
        <w:trPr>
          <w:trHeight w:val="2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29,000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100.0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2,908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pStyle w:val="BodyA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D24C9">
              <w:rPr>
                <w:rFonts w:asciiTheme="minorHAnsi" w:hAnsiTheme="minorHAnsi"/>
                <w:b/>
                <w:sz w:val="20"/>
                <w:szCs w:val="20"/>
              </w:rPr>
              <w:t>10.0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D24C9" w:rsidRPr="00CD24C9" w:rsidRDefault="00CD24C9" w:rsidP="00CD24C9">
      <w:pPr>
        <w:pStyle w:val="Caption"/>
        <w:spacing w:after="0"/>
        <w:contextualSpacing/>
        <w:rPr>
          <w:rFonts w:asciiTheme="minorHAnsi" w:hAnsiTheme="minorHAnsi"/>
          <w:i w:val="0"/>
          <w:color w:val="auto"/>
          <w:sz w:val="20"/>
          <w:szCs w:val="20"/>
        </w:rPr>
      </w:pPr>
    </w:p>
    <w:p w:rsidR="00CD24C9" w:rsidRPr="00CD24C9" w:rsidRDefault="00CD24C9" w:rsidP="00CD24C9">
      <w:pPr>
        <w:pStyle w:val="Caption"/>
        <w:spacing w:after="0"/>
        <w:contextualSpacing/>
        <w:rPr>
          <w:rFonts w:asciiTheme="minorHAnsi" w:hAnsiTheme="minorHAnsi"/>
          <w:i w:val="0"/>
          <w:color w:val="auto"/>
          <w:sz w:val="22"/>
          <w:szCs w:val="24"/>
        </w:rPr>
      </w:pPr>
      <w:r w:rsidRPr="00CD24C9">
        <w:rPr>
          <w:rFonts w:asciiTheme="minorHAnsi" w:hAnsiTheme="minorHAnsi"/>
          <w:i w:val="0"/>
          <w:color w:val="auto"/>
          <w:sz w:val="22"/>
          <w:szCs w:val="24"/>
        </w:rPr>
        <w:br w:type="page"/>
      </w:r>
    </w:p>
    <w:p w:rsidR="00CD24C9" w:rsidRPr="005C5899" w:rsidRDefault="00CD24C9" w:rsidP="00CD24C9">
      <w:pPr>
        <w:contextualSpacing/>
        <w:rPr>
          <w:rFonts w:asciiTheme="minorHAnsi" w:hAnsiTheme="minorHAnsi" w:cstheme="minorHAnsi"/>
          <w:sz w:val="22"/>
        </w:rPr>
      </w:pPr>
      <w:r w:rsidRPr="005C5899">
        <w:rPr>
          <w:rFonts w:asciiTheme="minorHAnsi" w:hAnsiTheme="minorHAnsi" w:cstheme="minorHAnsi"/>
          <w:sz w:val="22"/>
        </w:rPr>
        <w:lastRenderedPageBreak/>
        <w:t xml:space="preserve">Table </w:t>
      </w:r>
      <w:r w:rsidRPr="005C5899">
        <w:rPr>
          <w:rFonts w:asciiTheme="minorHAnsi" w:hAnsiTheme="minorHAnsi" w:cstheme="minorHAnsi"/>
          <w:sz w:val="22"/>
        </w:rPr>
        <w:fldChar w:fldCharType="begin"/>
      </w:r>
      <w:r w:rsidRPr="005C5899">
        <w:rPr>
          <w:rFonts w:asciiTheme="minorHAnsi" w:hAnsiTheme="minorHAnsi" w:cstheme="minorHAnsi"/>
          <w:sz w:val="22"/>
        </w:rPr>
        <w:instrText xml:space="preserve"> SEQ Table \* ARABIC </w:instrText>
      </w:r>
      <w:r w:rsidRPr="005C5899">
        <w:rPr>
          <w:rFonts w:asciiTheme="minorHAnsi" w:hAnsiTheme="minorHAnsi" w:cstheme="minorHAnsi"/>
          <w:sz w:val="22"/>
        </w:rPr>
        <w:fldChar w:fldCharType="separate"/>
      </w:r>
      <w:r w:rsidRPr="005C5899">
        <w:rPr>
          <w:rFonts w:asciiTheme="minorHAnsi" w:hAnsiTheme="minorHAnsi" w:cstheme="minorHAnsi"/>
          <w:noProof/>
          <w:sz w:val="22"/>
        </w:rPr>
        <w:t>2</w:t>
      </w:r>
      <w:r w:rsidRPr="005C5899">
        <w:rPr>
          <w:rFonts w:asciiTheme="minorHAnsi" w:hAnsiTheme="minorHAnsi" w:cstheme="minorHAnsi"/>
          <w:sz w:val="22"/>
        </w:rPr>
        <w:fldChar w:fldCharType="end"/>
      </w:r>
      <w:bookmarkEnd w:id="1"/>
      <w:r w:rsidRPr="005C5899">
        <w:rPr>
          <w:rFonts w:asciiTheme="minorHAnsi" w:hAnsiTheme="minorHAnsi" w:cstheme="minorHAnsi"/>
          <w:sz w:val="22"/>
        </w:rPr>
        <w:t>: Multilevel logistic regression models predicting food insecurity from individual economic and demographic characteristics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353"/>
        <w:gridCol w:w="1176"/>
        <w:gridCol w:w="1176"/>
        <w:gridCol w:w="1506"/>
        <w:gridCol w:w="1109"/>
      </w:tblGrid>
      <w:tr w:rsidR="00CD24C9" w:rsidRPr="00CD24C9" w:rsidTr="007D4BBD">
        <w:trPr>
          <w:trHeight w:val="433"/>
        </w:trPr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Model 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Model 2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Model 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Model 4</w:t>
            </w:r>
          </w:p>
        </w:tc>
      </w:tr>
      <w:tr w:rsidR="00CD24C9" w:rsidRPr="00CD24C9" w:rsidTr="007D4BBD">
        <w:tc>
          <w:tcPr>
            <w:tcW w:w="62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i/>
                <w:sz w:val="18"/>
                <w:szCs w:val="18"/>
              </w:rPr>
              <w:t>Regression coefficients (exponentiated coefficients, standard errors)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0.062***</w:t>
            </w:r>
          </w:p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0.048***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(0.012)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0.007***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(0.002)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0.029***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(0.009)</w:t>
            </w: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2007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2011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1.521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(0.174)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1.497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(0.160)</w:t>
            </w: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1.494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(0.164)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1.215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(0.154)</w:t>
            </w: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1.308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(0.036)</w:t>
            </w: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1.115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(0.034)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1.115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(0.034)</w:t>
            </w:r>
          </w:p>
        </w:tc>
      </w:tr>
      <w:tr w:rsidR="00CD24C9" w:rsidRPr="00CD24C9" w:rsidTr="007D4BBD">
        <w:trPr>
          <w:trHeight w:val="56"/>
        </w:trPr>
        <w:tc>
          <w:tcPr>
            <w:tcW w:w="2353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Age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1.014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(0.001)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1.002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(0.001)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1.002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(0.001)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Age squared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1.000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(0.000)</w:t>
            </w: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1.000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(0.000)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1.000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(0.000)</w:t>
            </w: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One person household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1.622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(0.068)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1.619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(0.067)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Couple, no children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Couple with children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0.990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(0.053)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0.988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(0.052)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Lone parent household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1.560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(0.128)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1.559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(0.128)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Other, no children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1.081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(0.048)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1.078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(0.047)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Other, with children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1.106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(0.073)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1.102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(0.072)</w:t>
            </w: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Highest income quartile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Quartile 2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tabs>
                <w:tab w:val="center" w:pos="900"/>
                <w:tab w:val="right" w:pos="180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ab/>
              <w:t>2.046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ab/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(0.131)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2.047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(0.131)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Quartile 3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3.165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(0.199)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3.168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(0.195)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Lowest income quartile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5.683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(0.353)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5.690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(0.348)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Missing income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2.594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(0.159)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2.600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(0.156)</w:t>
            </w: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Homeowner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Private renter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1.686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(0.084)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1.684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(0.084)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Social renter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1.688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(0.088)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1.687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(0.088)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Other tenure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1.326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(0.086)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1.327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(0.088)</w:t>
            </w: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No education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3.933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(0.856)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4.166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(1.079)</w:t>
            </w:r>
          </w:p>
        </w:tc>
      </w:tr>
      <w:tr w:rsidR="00CD24C9" w:rsidRPr="00CD24C9" w:rsidTr="007D4BBD">
        <w:tc>
          <w:tcPr>
            <w:tcW w:w="2353" w:type="dxa"/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Primary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2.433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(0.487)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2.584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(0.636)</w:t>
            </w:r>
          </w:p>
        </w:tc>
      </w:tr>
      <w:tr w:rsidR="00CD24C9" w:rsidRPr="00CD24C9" w:rsidTr="007D4BBD">
        <w:tc>
          <w:tcPr>
            <w:tcW w:w="2353" w:type="dxa"/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Lower secondary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2.368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(0.468)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2.513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(0.613)</w:t>
            </w:r>
          </w:p>
        </w:tc>
      </w:tr>
      <w:tr w:rsidR="00CD24C9" w:rsidRPr="00CD24C9" w:rsidTr="007D4BBD">
        <w:tc>
          <w:tcPr>
            <w:tcW w:w="2353" w:type="dxa"/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Upper secondary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1.748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(0.344)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1.859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(0.452)</w:t>
            </w:r>
          </w:p>
        </w:tc>
      </w:tr>
      <w:tr w:rsidR="00CD24C9" w:rsidRPr="00CD24C9" w:rsidTr="007D4BBD">
        <w:tc>
          <w:tcPr>
            <w:tcW w:w="2353" w:type="dxa"/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Postsecondary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1.624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(0.332)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1.724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(0.430)</w:t>
            </w:r>
          </w:p>
        </w:tc>
      </w:tr>
      <w:tr w:rsidR="00CD24C9" w:rsidRPr="00CD24C9" w:rsidTr="007D4BBD">
        <w:tc>
          <w:tcPr>
            <w:tcW w:w="2353" w:type="dxa"/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Tertiary (first level)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1.162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(0.232)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1.233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(0.303)</w:t>
            </w:r>
          </w:p>
        </w:tc>
      </w:tr>
      <w:tr w:rsidR="00CD24C9" w:rsidRPr="00CD24C9" w:rsidTr="007D4BBD">
        <w:tc>
          <w:tcPr>
            <w:tcW w:w="2353" w:type="dxa"/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2353" w:type="dxa"/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Tertiary (advanced level)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</w:tr>
      <w:tr w:rsidR="00CD24C9" w:rsidRPr="00CD24C9" w:rsidTr="007D4BBD"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Employed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Unemployed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2.097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(0.109)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2.094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(0.108)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Unable to work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1.681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(0.132)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1.679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(0.134)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Retired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1.245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(0.067)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1.245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(0.067)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Homemaker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1.190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(0.076)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1.188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(0.076)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Student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0.935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(0.089)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0.933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(0.088)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1.280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(0.145)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1.280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(0.145)</w:t>
            </w: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Urban location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Rural location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0.969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(0.029)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0.968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(0.029)</w:t>
            </w: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No disability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(.)</w:t>
            </w:r>
          </w:p>
        </w:tc>
      </w:tr>
      <w:tr w:rsidR="00CD24C9" w:rsidRPr="00CD24C9" w:rsidTr="007D4BBD">
        <w:tc>
          <w:tcPr>
            <w:tcW w:w="2353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Has a disability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1.538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(0.051)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1.539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(0.052)</w:t>
            </w: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GDP per capita</w:t>
            </w:r>
          </w:p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1.000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(0.000)</w:t>
            </w:r>
          </w:p>
        </w:tc>
      </w:tr>
      <w:tr w:rsidR="00CD24C9" w:rsidRPr="00CD24C9" w:rsidTr="007D4BBD">
        <w:tc>
          <w:tcPr>
            <w:tcW w:w="2353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Unemployment rate</w:t>
            </w:r>
          </w:p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1.036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(0.020)</w:t>
            </w:r>
          </w:p>
        </w:tc>
      </w:tr>
      <w:tr w:rsidR="00CD24C9" w:rsidRPr="00CD24C9" w:rsidTr="007D4BBD">
        <w:tc>
          <w:tcPr>
            <w:tcW w:w="6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i/>
                <w:sz w:val="18"/>
                <w:szCs w:val="18"/>
              </w:rPr>
              <w:t>Variance components (level 2)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Intercept variance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6.309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(3.510)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6.390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(3.574)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8.506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(5.383)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1.938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(0.408)</w:t>
            </w:r>
          </w:p>
        </w:tc>
      </w:tr>
      <w:tr w:rsidR="00CD24C9" w:rsidRPr="00CD24C9" w:rsidTr="007D4BBD">
        <w:tc>
          <w:tcPr>
            <w:tcW w:w="2353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Slope variance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1.317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(0.120)</w:t>
            </w:r>
          </w:p>
        </w:tc>
        <w:tc>
          <w:tcPr>
            <w:tcW w:w="117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1.328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(0.123)</w:t>
            </w:r>
          </w:p>
        </w:tc>
        <w:tc>
          <w:tcPr>
            <w:tcW w:w="1506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1.351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(0.132)</w:t>
            </w:r>
          </w:p>
        </w:tc>
        <w:tc>
          <w:tcPr>
            <w:tcW w:w="1109" w:type="dxa"/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1.282</w:t>
            </w:r>
            <w:r w:rsidRPr="00CD24C9">
              <w:rPr>
                <w:rFonts w:asciiTheme="minorHAnsi" w:hAnsiTheme="minorHAnsi"/>
                <w:sz w:val="18"/>
                <w:szCs w:val="18"/>
                <w:vertAlign w:val="superscript"/>
              </w:rPr>
              <w:t>**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(0.106)</w:t>
            </w:r>
          </w:p>
        </w:tc>
      </w:tr>
      <w:tr w:rsidR="00CD24C9" w:rsidRPr="00CD24C9" w:rsidTr="007D4BBD">
        <w:tc>
          <w:tcPr>
            <w:tcW w:w="2353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 xml:space="preserve">Intercept–slope covariance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0.765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(0.134)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0.759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(0.133)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0.787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(0.148)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0.871</w:t>
            </w:r>
            <w:r w:rsidRPr="00CD24C9">
              <w:rPr>
                <w:rFonts w:asciiTheme="minorHAnsi" w:hAnsiTheme="minorHAnsi"/>
                <w:sz w:val="18"/>
                <w:szCs w:val="18"/>
              </w:rPr>
              <w:br/>
              <w:t>(0.087)</w:t>
            </w: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Variance partition coefficient (%)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39.8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41.2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43.6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16.7</w:t>
            </w:r>
          </w:p>
        </w:tc>
      </w:tr>
      <w:tr w:rsidR="00CD24C9" w:rsidRPr="00CD24C9" w:rsidTr="007D4BBD">
        <w:tc>
          <w:tcPr>
            <w:tcW w:w="62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i/>
                <w:sz w:val="18"/>
                <w:szCs w:val="18"/>
              </w:rPr>
              <w:t>Goodness of fit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2353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DIC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37,947.14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37,471.12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33,833.29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33,833.2</w:t>
            </w:r>
          </w:p>
        </w:tc>
      </w:tr>
      <w:tr w:rsidR="00CD24C9" w:rsidRPr="00CD24C9" w:rsidTr="007D4BBD"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</w:p>
        </w:tc>
        <w:tc>
          <w:tcPr>
            <w:tcW w:w="4967" w:type="dxa"/>
            <w:gridSpan w:val="4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63,168</w:t>
            </w:r>
          </w:p>
        </w:tc>
      </w:tr>
    </w:tbl>
    <w:p w:rsidR="00CD24C9" w:rsidRPr="00CD24C9" w:rsidRDefault="00CD24C9" w:rsidP="00CD24C9">
      <w:pPr>
        <w:contextualSpacing/>
        <w:rPr>
          <w:rFonts w:asciiTheme="minorHAnsi" w:hAnsiTheme="minorHAnsi" w:cstheme="minorHAnsi"/>
          <w:sz w:val="18"/>
          <w:szCs w:val="18"/>
        </w:rPr>
      </w:pPr>
      <w:r w:rsidRPr="00CD24C9">
        <w:rPr>
          <w:rFonts w:asciiTheme="minorHAnsi" w:hAnsiTheme="minorHAnsi" w:cstheme="minorHAnsi"/>
          <w:sz w:val="18"/>
          <w:szCs w:val="18"/>
        </w:rPr>
        <w:t>* p&lt;.05, ** p&lt;.01, *** p&lt;.001. DIC = Deviance Information Criterion</w:t>
      </w:r>
    </w:p>
    <w:p w:rsidR="00CD24C9" w:rsidRPr="00CD24C9" w:rsidRDefault="00CD24C9" w:rsidP="00CD24C9">
      <w:pPr>
        <w:contextualSpacing/>
        <w:rPr>
          <w:rFonts w:asciiTheme="minorHAnsi" w:hAnsiTheme="minorHAnsi" w:cstheme="minorHAnsi"/>
          <w:sz w:val="18"/>
          <w:szCs w:val="18"/>
        </w:rPr>
      </w:pPr>
      <w:r w:rsidRPr="00CD24C9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† </w:t>
      </w:r>
      <w:r w:rsidRPr="00CD24C9">
        <w:rPr>
          <w:rFonts w:asciiTheme="minorHAnsi" w:hAnsiTheme="minorHAnsi" w:cstheme="minorHAnsi"/>
          <w:sz w:val="18"/>
          <w:szCs w:val="18"/>
        </w:rPr>
        <w:t>Level 1 variance is a function of the mean in logistic models so is not estimated</w:t>
      </w:r>
    </w:p>
    <w:p w:rsidR="00CD24C9" w:rsidRPr="00CD24C9" w:rsidRDefault="00CD24C9" w:rsidP="00CD24C9">
      <w:pPr>
        <w:contextualSpacing/>
        <w:rPr>
          <w:rFonts w:asciiTheme="minorHAnsi" w:hAnsiTheme="minorHAnsi"/>
        </w:rPr>
      </w:pPr>
    </w:p>
    <w:p w:rsidR="00CD24C9" w:rsidRPr="00CD24C9" w:rsidRDefault="00CD24C9" w:rsidP="00CD24C9">
      <w:pPr>
        <w:pStyle w:val="Body"/>
        <w:rPr>
          <w:rFonts w:asciiTheme="minorHAnsi" w:hAnsiTheme="minorHAnsi"/>
        </w:rPr>
      </w:pPr>
    </w:p>
    <w:p w:rsidR="00CD24C9" w:rsidRPr="00CD24C9" w:rsidRDefault="00CD24C9">
      <w:pPr>
        <w:rPr>
          <w:rFonts w:asciiTheme="minorHAnsi" w:hAnsiTheme="minorHAnsi"/>
        </w:rPr>
      </w:pPr>
      <w:r w:rsidRPr="00CD24C9">
        <w:rPr>
          <w:rFonts w:asciiTheme="minorHAnsi" w:hAnsiTheme="minorHAnsi"/>
        </w:rPr>
        <w:br w:type="page"/>
      </w:r>
    </w:p>
    <w:p w:rsidR="00CD24C9" w:rsidRPr="00CD24C9" w:rsidRDefault="00CD24C9" w:rsidP="00CD24C9">
      <w:pPr>
        <w:pStyle w:val="Caption"/>
        <w:spacing w:after="0"/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</w:pPr>
      <w:bookmarkStart w:id="2" w:name="_Ref528068701"/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lastRenderedPageBreak/>
        <w:t xml:space="preserve">Table </w:t>
      </w:r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fldChar w:fldCharType="begin"/>
      </w:r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instrText xml:space="preserve"> SEQ Table \* ARABIC </w:instrText>
      </w:r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fldChar w:fldCharType="separate"/>
      </w:r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noProof/>
          <w:color w:val="000000"/>
          <w:sz w:val="22"/>
          <w:szCs w:val="22"/>
          <w:u w:color="000000"/>
        </w:rPr>
        <w:t>3</w:t>
      </w:r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fldChar w:fldCharType="end"/>
      </w:r>
      <w:bookmarkEnd w:id="2"/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t>: Multilevel logistic regression models predicting food insecurity from social benefit receipt, adjusted for underlying economic conditions and individual economic and demographic characteristics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252"/>
        <w:gridCol w:w="162"/>
        <w:gridCol w:w="1052"/>
        <w:gridCol w:w="1052"/>
        <w:gridCol w:w="1141"/>
        <w:gridCol w:w="1054"/>
      </w:tblGrid>
      <w:tr w:rsidR="00CD24C9" w:rsidRPr="00CD24C9" w:rsidTr="007D4BBD">
        <w:trPr>
          <w:trHeight w:val="513"/>
        </w:trPr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D24C9">
              <w:rPr>
                <w:rStyle w:val="None"/>
                <w:rFonts w:asciiTheme="minorHAnsi" w:hAnsiTheme="minorHAnsi"/>
                <w:sz w:val="18"/>
                <w:szCs w:val="18"/>
              </w:rPr>
              <w:t>Model 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D24C9">
              <w:rPr>
                <w:rStyle w:val="None"/>
                <w:rFonts w:asciiTheme="minorHAnsi" w:hAnsiTheme="minorHAnsi"/>
                <w:sz w:val="18"/>
                <w:szCs w:val="18"/>
              </w:rPr>
              <w:t>Model 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D24C9">
              <w:rPr>
                <w:rStyle w:val="None"/>
                <w:rFonts w:asciiTheme="minorHAnsi" w:hAnsiTheme="minorHAnsi"/>
                <w:sz w:val="18"/>
                <w:szCs w:val="18"/>
              </w:rPr>
              <w:t>Model 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D24C9">
              <w:rPr>
                <w:rStyle w:val="None"/>
                <w:rFonts w:asciiTheme="minorHAnsi" w:hAnsiTheme="minorHAnsi"/>
                <w:sz w:val="18"/>
                <w:szCs w:val="18"/>
              </w:rPr>
              <w:t>Model 8</w:t>
            </w:r>
          </w:p>
        </w:tc>
      </w:tr>
      <w:tr w:rsidR="00CD24C9" w:rsidRPr="00CD24C9" w:rsidTr="007D4BBD">
        <w:trPr>
          <w:trHeight w:val="256"/>
        </w:trPr>
        <w:tc>
          <w:tcPr>
            <w:tcW w:w="67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i/>
                <w:sz w:val="18"/>
                <w:szCs w:val="18"/>
              </w:rPr>
              <w:t>Regression coefficients (exponentiated coefficients, standard errors)</w:t>
            </w:r>
          </w:p>
        </w:tc>
      </w:tr>
      <w:tr w:rsidR="00CD24C9" w:rsidRPr="00CD24C9" w:rsidTr="007D4BBD">
        <w:trPr>
          <w:trHeight w:val="256"/>
        </w:trPr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0.033***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(0.011)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0.034***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(0.015)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0.029***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(0.010)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0.036***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(0.019)</w:t>
            </w:r>
          </w:p>
        </w:tc>
      </w:tr>
      <w:tr w:rsidR="00CD24C9" w:rsidRPr="00CD24C9" w:rsidTr="007D4BBD">
        <w:trPr>
          <w:trHeight w:val="208"/>
        </w:trPr>
        <w:tc>
          <w:tcPr>
            <w:tcW w:w="2414" w:type="dxa"/>
            <w:gridSpan w:val="2"/>
            <w:vMerge w:val="restart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</w:tr>
      <w:tr w:rsidR="00CD24C9" w:rsidRPr="00CD24C9" w:rsidTr="007D4BBD">
        <w:trPr>
          <w:trHeight w:val="129"/>
        </w:trPr>
        <w:tc>
          <w:tcPr>
            <w:tcW w:w="2414" w:type="dxa"/>
            <w:gridSpan w:val="2"/>
            <w:vMerge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052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141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054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</w:tr>
      <w:tr w:rsidR="00CD24C9" w:rsidRPr="00CD24C9" w:rsidTr="007D4BBD">
        <w:trPr>
          <w:trHeight w:val="272"/>
        </w:trPr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1.215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(0.165)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1.231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(0.181)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1.268*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(0.153)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1.254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(0.169)</w:t>
            </w:r>
          </w:p>
        </w:tc>
      </w:tr>
      <w:tr w:rsidR="00CD24C9" w:rsidRPr="00CD24C9" w:rsidTr="007D4BBD">
        <w:trPr>
          <w:trHeight w:val="272"/>
        </w:trPr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GDP per capita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(0.000)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(0.000)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(0.000)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(0.000)</w:t>
            </w:r>
          </w:p>
        </w:tc>
      </w:tr>
      <w:tr w:rsidR="00CD24C9" w:rsidRPr="00CD24C9" w:rsidTr="007D4BBD">
        <w:trPr>
          <w:trHeight w:val="272"/>
        </w:trPr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Unemployment rate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1.032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(0.025)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1.027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(0.028)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1.023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(0.021)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1.022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(0.025)</w:t>
            </w:r>
          </w:p>
        </w:tc>
      </w:tr>
      <w:tr w:rsidR="00CD24C9" w:rsidRPr="00CD24C9" w:rsidTr="007D4BBD">
        <w:trPr>
          <w:trHeight w:val="222"/>
        </w:trPr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Receives any benefits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1.120**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(0.045)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rPr>
          <w:trHeight w:val="82"/>
        </w:trPr>
        <w:tc>
          <w:tcPr>
            <w:tcW w:w="2414" w:type="dxa"/>
            <w:gridSpan w:val="2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Receives pension</w:t>
            </w:r>
          </w:p>
        </w:tc>
        <w:tc>
          <w:tcPr>
            <w:tcW w:w="1052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0.932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(0.044)</w:t>
            </w:r>
          </w:p>
        </w:tc>
        <w:tc>
          <w:tcPr>
            <w:tcW w:w="1141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rPr>
          <w:trHeight w:val="192"/>
        </w:trPr>
        <w:tc>
          <w:tcPr>
            <w:tcW w:w="2414" w:type="dxa"/>
            <w:gridSpan w:val="2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Receives child benefit</w:t>
            </w:r>
          </w:p>
        </w:tc>
        <w:tc>
          <w:tcPr>
            <w:tcW w:w="1052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1.084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(0.051)</w:t>
            </w:r>
          </w:p>
        </w:tc>
        <w:tc>
          <w:tcPr>
            <w:tcW w:w="1054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rPr>
          <w:trHeight w:val="59"/>
        </w:trPr>
        <w:tc>
          <w:tcPr>
            <w:tcW w:w="2414" w:type="dxa"/>
            <w:gridSpan w:val="2"/>
          </w:tcPr>
          <w:p w:rsidR="00CD24C9" w:rsidRPr="00CD24C9" w:rsidRDefault="00CD24C9" w:rsidP="000831E0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Receives </w:t>
            </w:r>
            <w:r w:rsidR="000831E0">
              <w:rPr>
                <w:rFonts w:asciiTheme="minorHAnsi" w:hAnsiTheme="minorHAnsi"/>
                <w:color w:val="000000"/>
                <w:sz w:val="18"/>
                <w:szCs w:val="18"/>
              </w:rPr>
              <w:t>out-of-work</w:t>
            </w:r>
            <w:bookmarkStart w:id="3" w:name="_GoBack"/>
            <w:bookmarkEnd w:id="3"/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benefit</w:t>
            </w:r>
          </w:p>
        </w:tc>
        <w:tc>
          <w:tcPr>
            <w:tcW w:w="1052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1.354***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(0.057)</w:t>
            </w:r>
          </w:p>
        </w:tc>
      </w:tr>
      <w:tr w:rsidR="00CD24C9" w:rsidRPr="00CD24C9" w:rsidTr="007D4BBD">
        <w:trPr>
          <w:trHeight w:val="64"/>
        </w:trPr>
        <w:tc>
          <w:tcPr>
            <w:tcW w:w="67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Variance components (level 2)</w:t>
            </w:r>
          </w:p>
        </w:tc>
      </w:tr>
      <w:tr w:rsidR="00CD24C9" w:rsidRPr="00CD24C9" w:rsidTr="007D4BBD">
        <w:trPr>
          <w:trHeight w:val="82"/>
        </w:trPr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Intercept variance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1.922**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(0.394)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1.967**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(0.430)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1.937**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(0.407)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2.000**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(0.464)</w:t>
            </w:r>
          </w:p>
        </w:tc>
      </w:tr>
      <w:tr w:rsidR="00CD24C9" w:rsidRPr="00CD24C9" w:rsidTr="007D4BBD">
        <w:trPr>
          <w:trHeight w:val="291"/>
        </w:trPr>
        <w:tc>
          <w:tcPr>
            <w:tcW w:w="2414" w:type="dxa"/>
            <w:gridSpan w:val="2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Slope variance</w:t>
            </w:r>
          </w:p>
        </w:tc>
        <w:tc>
          <w:tcPr>
            <w:tcW w:w="1052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1.286**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(0.107)</w:t>
            </w:r>
          </w:p>
        </w:tc>
        <w:tc>
          <w:tcPr>
            <w:tcW w:w="1052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1.291**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(0.112)</w:t>
            </w:r>
          </w:p>
        </w:tc>
        <w:tc>
          <w:tcPr>
            <w:tcW w:w="1141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1.281**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(0.105)</w:t>
            </w:r>
          </w:p>
        </w:tc>
        <w:tc>
          <w:tcPr>
            <w:tcW w:w="1054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1.291**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(0.112)</w:t>
            </w:r>
          </w:p>
        </w:tc>
      </w:tr>
      <w:tr w:rsidR="00CD24C9" w:rsidRPr="00CD24C9" w:rsidTr="007D4BBD">
        <w:trPr>
          <w:trHeight w:val="75"/>
        </w:trPr>
        <w:tc>
          <w:tcPr>
            <w:tcW w:w="2414" w:type="dxa"/>
            <w:gridSpan w:val="2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Intercept–slope covariance</w:t>
            </w:r>
          </w:p>
        </w:tc>
        <w:tc>
          <w:tcPr>
            <w:tcW w:w="1052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0.877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(0.087)</w:t>
            </w:r>
          </w:p>
        </w:tc>
        <w:tc>
          <w:tcPr>
            <w:tcW w:w="1052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0.870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(0.089)</w:t>
            </w:r>
          </w:p>
        </w:tc>
        <w:tc>
          <w:tcPr>
            <w:tcW w:w="1141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0.873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(0.087)</w:t>
            </w:r>
          </w:p>
        </w:tc>
        <w:tc>
          <w:tcPr>
            <w:tcW w:w="1054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0.865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(0.091)</w:t>
            </w:r>
          </w:p>
        </w:tc>
      </w:tr>
      <w:tr w:rsidR="00CD24C9" w:rsidRPr="00CD24C9" w:rsidTr="007D4BBD">
        <w:trPr>
          <w:trHeight w:val="405"/>
        </w:trPr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Variance partition coefficient (%)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16.6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17.1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16.7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17.4</w:t>
            </w:r>
          </w:p>
        </w:tc>
      </w:tr>
      <w:tr w:rsidR="00CD24C9" w:rsidRPr="00CD24C9" w:rsidTr="007D4BBD">
        <w:trPr>
          <w:trHeight w:val="124"/>
        </w:trPr>
        <w:tc>
          <w:tcPr>
            <w:tcW w:w="67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i/>
                <w:sz w:val="18"/>
                <w:szCs w:val="18"/>
              </w:rPr>
              <w:t>Goodness of fit</w:t>
            </w:r>
          </w:p>
        </w:tc>
      </w:tr>
      <w:tr w:rsidR="00CD24C9" w:rsidRPr="00CD24C9" w:rsidTr="007D4BBD">
        <w:trPr>
          <w:trHeight w:val="240"/>
        </w:trPr>
        <w:tc>
          <w:tcPr>
            <w:tcW w:w="2414" w:type="dxa"/>
            <w:gridSpan w:val="2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DIC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33,827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33,833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33,832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33,785</w:t>
            </w:r>
          </w:p>
        </w:tc>
      </w:tr>
      <w:tr w:rsidR="00CD24C9" w:rsidRPr="00CD24C9" w:rsidTr="007D4BBD">
        <w:trPr>
          <w:trHeight w:val="74"/>
        </w:trPr>
        <w:tc>
          <w:tcPr>
            <w:tcW w:w="2414" w:type="dxa"/>
            <w:gridSpan w:val="2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</w:p>
        </w:tc>
        <w:tc>
          <w:tcPr>
            <w:tcW w:w="4299" w:type="dxa"/>
            <w:gridSpan w:val="4"/>
            <w:tcBorders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63,168</w:t>
            </w:r>
          </w:p>
        </w:tc>
      </w:tr>
    </w:tbl>
    <w:p w:rsidR="00CD24C9" w:rsidRPr="00CD24C9" w:rsidRDefault="00CD24C9" w:rsidP="00CD24C9">
      <w:pPr>
        <w:contextualSpacing/>
        <w:rPr>
          <w:rFonts w:asciiTheme="minorHAnsi" w:hAnsiTheme="minorHAnsi" w:cstheme="minorHAnsi"/>
          <w:sz w:val="18"/>
          <w:szCs w:val="18"/>
        </w:rPr>
      </w:pPr>
      <w:r w:rsidRPr="00CD24C9">
        <w:rPr>
          <w:rFonts w:asciiTheme="minorHAnsi" w:hAnsiTheme="minorHAnsi" w:cstheme="minorHAnsi"/>
          <w:sz w:val="18"/>
          <w:szCs w:val="18"/>
        </w:rPr>
        <w:t>* p&lt;.05, ** p&lt;.01, *** p&lt;.001. DIC = Deviance Information Criterion</w:t>
      </w:r>
    </w:p>
    <w:p w:rsidR="00CD24C9" w:rsidRPr="00CD24C9" w:rsidRDefault="00CD24C9" w:rsidP="00CD24C9">
      <w:pPr>
        <w:contextualSpacing/>
        <w:rPr>
          <w:rFonts w:asciiTheme="minorHAnsi" w:hAnsiTheme="minorHAnsi" w:cstheme="minorHAnsi"/>
          <w:sz w:val="18"/>
          <w:szCs w:val="18"/>
        </w:rPr>
      </w:pPr>
      <w:r w:rsidRPr="00CD24C9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† </w:t>
      </w:r>
      <w:r w:rsidRPr="00CD24C9">
        <w:rPr>
          <w:rFonts w:asciiTheme="minorHAnsi" w:hAnsiTheme="minorHAnsi" w:cstheme="minorHAnsi"/>
          <w:sz w:val="18"/>
          <w:szCs w:val="18"/>
        </w:rPr>
        <w:t>Level 1 variance is a function of the mean in logistic models so is not estimated</w:t>
      </w:r>
    </w:p>
    <w:p w:rsidR="00CD24C9" w:rsidRPr="00CD24C9" w:rsidRDefault="00CD24C9" w:rsidP="00CD24C9">
      <w:pPr>
        <w:contextualSpacing/>
        <w:rPr>
          <w:rFonts w:asciiTheme="minorHAnsi" w:hAnsiTheme="minorHAnsi" w:cstheme="minorHAnsi"/>
          <w:sz w:val="18"/>
          <w:szCs w:val="18"/>
        </w:rPr>
      </w:pPr>
      <w:r w:rsidRPr="00CD24C9">
        <w:rPr>
          <w:rFonts w:asciiTheme="minorHAnsi" w:hAnsiTheme="minorHAnsi" w:cstheme="minorHAnsi"/>
          <w:sz w:val="18"/>
          <w:szCs w:val="18"/>
        </w:rPr>
        <w:t>All models adjusted for age, age squared, sex, household composition, income, housing tenure, education, employment status, rural-urban location and disability status.</w:t>
      </w:r>
    </w:p>
    <w:p w:rsidR="00CD24C9" w:rsidRPr="00CD24C9" w:rsidRDefault="00CD24C9" w:rsidP="00CD24C9">
      <w:pPr>
        <w:contextualSpacing/>
        <w:rPr>
          <w:rFonts w:asciiTheme="minorHAnsi" w:hAnsiTheme="minorHAnsi" w:cstheme="minorHAnsi"/>
        </w:rPr>
      </w:pPr>
    </w:p>
    <w:p w:rsidR="00CD24C9" w:rsidRPr="00CD24C9" w:rsidRDefault="00CD24C9" w:rsidP="00CD24C9">
      <w:pPr>
        <w:pStyle w:val="Caption"/>
        <w:spacing w:after="0"/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</w:pPr>
      <w:bookmarkStart w:id="4" w:name="_Ref527719937"/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br w:type="page"/>
      </w:r>
    </w:p>
    <w:p w:rsidR="00CD24C9" w:rsidRPr="00CD24C9" w:rsidRDefault="00CD24C9" w:rsidP="00CD24C9">
      <w:pPr>
        <w:pStyle w:val="Caption"/>
        <w:spacing w:after="0"/>
        <w:rPr>
          <w:rFonts w:asciiTheme="minorHAnsi" w:hAnsiTheme="minorHAnsi"/>
        </w:rPr>
      </w:pPr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lastRenderedPageBreak/>
        <w:t xml:space="preserve">Table </w:t>
      </w:r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fldChar w:fldCharType="begin"/>
      </w:r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instrText xml:space="preserve"> SEQ Table \* ARABIC </w:instrText>
      </w:r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fldChar w:fldCharType="separate"/>
      </w:r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noProof/>
          <w:color w:val="000000"/>
          <w:sz w:val="22"/>
          <w:szCs w:val="22"/>
          <w:u w:color="000000"/>
        </w:rPr>
        <w:t>4</w:t>
      </w:r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fldChar w:fldCharType="end"/>
      </w:r>
      <w:bookmarkEnd w:id="4"/>
      <w:r w:rsidRPr="00CD24C9">
        <w:rPr>
          <w:rStyle w:val="None"/>
          <w:rFonts w:asciiTheme="minorHAnsi" w:eastAsia="Arial Unicode MS" w:hAnsiTheme="minorHAnsi" w:cs="Arial Unicode MS"/>
          <w:i w:val="0"/>
          <w:iCs w:val="0"/>
          <w:color w:val="000000"/>
          <w:sz w:val="22"/>
          <w:szCs w:val="22"/>
          <w:u w:color="000000"/>
        </w:rPr>
        <w:t>: Multilevel logistic regression models predicting food insecurity from the value of social benefits among recipients, adjusted for underlying economic conditions and individual economic and demographic characteristics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306"/>
        <w:gridCol w:w="1062"/>
        <w:gridCol w:w="989"/>
        <w:gridCol w:w="1060"/>
        <w:gridCol w:w="1060"/>
        <w:gridCol w:w="1060"/>
        <w:gridCol w:w="1060"/>
      </w:tblGrid>
      <w:tr w:rsidR="00CD24C9" w:rsidRPr="00CD24C9" w:rsidTr="007D4BBD">
        <w:trPr>
          <w:trHeight w:val="314"/>
        </w:trPr>
        <w:tc>
          <w:tcPr>
            <w:tcW w:w="230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Model 9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Model 10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Model 11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Model 12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Model 13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Model 14</w:t>
            </w:r>
          </w:p>
        </w:tc>
      </w:tr>
      <w:tr w:rsidR="00CD24C9" w:rsidRPr="00CD24C9" w:rsidTr="007D4BBD">
        <w:trPr>
          <w:trHeight w:val="715"/>
        </w:trPr>
        <w:tc>
          <w:tcPr>
            <w:tcW w:w="230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All recipients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All recipients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Pension recipients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Child benefit recipients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O</w:t>
            </w:r>
            <w:r w:rsidRPr="00CD24C9">
              <w:rPr>
                <w:rStyle w:val="None"/>
                <w:rFonts w:asciiTheme="minorHAnsi" w:hAnsiTheme="minorHAnsi"/>
                <w:sz w:val="18"/>
                <w:szCs w:val="18"/>
              </w:rPr>
              <w:t>ut-of-work benefit recipients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sz w:val="18"/>
                <w:szCs w:val="18"/>
              </w:rPr>
              <w:t>O</w:t>
            </w:r>
            <w:r w:rsidRPr="00CD24C9">
              <w:rPr>
                <w:rStyle w:val="None"/>
                <w:rFonts w:asciiTheme="minorHAnsi" w:hAnsiTheme="minorHAnsi"/>
                <w:sz w:val="18"/>
                <w:szCs w:val="18"/>
              </w:rPr>
              <w:t>ut-of-work benefit recipients</w:t>
            </w:r>
          </w:p>
        </w:tc>
      </w:tr>
      <w:tr w:rsidR="00CD24C9" w:rsidRPr="00CD24C9" w:rsidTr="007D4BBD">
        <w:tc>
          <w:tcPr>
            <w:tcW w:w="85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i/>
                <w:sz w:val="18"/>
                <w:szCs w:val="18"/>
              </w:rPr>
              <w:t>Regression coefficients (exponentiated coefficients, standard errors)</w:t>
            </w:r>
          </w:p>
        </w:tc>
      </w:tr>
      <w:tr w:rsidR="00CD24C9" w:rsidRPr="00CD24C9" w:rsidTr="007D4BBD">
        <w:tc>
          <w:tcPr>
            <w:tcW w:w="230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Intercept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0.023***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(0.008)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0.028***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(0.013)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0.012***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(0.007)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0.022***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(0.018)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0.076***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(0.054)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0.059***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(0.042)</w:t>
            </w:r>
          </w:p>
        </w:tc>
      </w:tr>
      <w:tr w:rsidR="00CD24C9" w:rsidRPr="00CD24C9" w:rsidTr="007D4BBD">
        <w:tc>
          <w:tcPr>
            <w:tcW w:w="230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2007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</w:tr>
      <w:tr w:rsidR="00CD24C9" w:rsidRPr="00CD24C9" w:rsidTr="007D4BBD">
        <w:tc>
          <w:tcPr>
            <w:tcW w:w="230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986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060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060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060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  <w:tc>
          <w:tcPr>
            <w:tcW w:w="1060" w:type="dxa"/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(.)</w:t>
            </w:r>
          </w:p>
        </w:tc>
      </w:tr>
      <w:tr w:rsidR="00CD24C9" w:rsidRPr="00CD24C9" w:rsidTr="007D4BBD">
        <w:tc>
          <w:tcPr>
            <w:tcW w:w="230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2011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1.220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(0.164)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1.130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(0.151)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1.228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(0.200)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1.095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(0.184)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1.305*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(0.171)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1.301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(0.179)</w:t>
            </w:r>
          </w:p>
        </w:tc>
      </w:tr>
      <w:tr w:rsidR="00CD24C9" w:rsidRPr="00CD24C9" w:rsidTr="007D4BBD"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GDP per capita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(0.000)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(0.000)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(0.000)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(0.000)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(0.000)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1.000***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(0.000)</w:t>
            </w:r>
          </w:p>
        </w:tc>
      </w:tr>
      <w:tr w:rsidR="00CD24C9" w:rsidRPr="00CD24C9" w:rsidTr="007D4BBD">
        <w:tc>
          <w:tcPr>
            <w:tcW w:w="230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Unemployment rate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1.020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(0.022)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1.033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(0.027)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1.015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(0.031)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1.020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(0.030)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1.026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(0.025)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1.025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(0.025)</w:t>
            </w:r>
          </w:p>
        </w:tc>
      </w:tr>
      <w:tr w:rsidR="00CD24C9" w:rsidRPr="00CD24C9" w:rsidTr="007D4BBD">
        <w:tc>
          <w:tcPr>
            <w:tcW w:w="230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Total spending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1.018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(0.817)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230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Disability spending</w:t>
            </w:r>
          </w:p>
        </w:tc>
        <w:tc>
          <w:tcPr>
            <w:tcW w:w="1062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0.332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(0.508)</w:t>
            </w: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1.786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(1.997)</w:t>
            </w:r>
          </w:p>
        </w:tc>
      </w:tr>
      <w:tr w:rsidR="00CD24C9" w:rsidRPr="00CD24C9" w:rsidTr="007D4BBD">
        <w:tc>
          <w:tcPr>
            <w:tcW w:w="230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Family spending</w:t>
            </w:r>
          </w:p>
        </w:tc>
        <w:tc>
          <w:tcPr>
            <w:tcW w:w="1062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261.632**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(506.430)</w:t>
            </w: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11.972*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(11.914)</w:t>
            </w: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230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Housing spending</w:t>
            </w:r>
          </w:p>
        </w:tc>
        <w:tc>
          <w:tcPr>
            <w:tcW w:w="1062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0.663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(0.578)</w:t>
            </w: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230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Old age spending</w:t>
            </w:r>
          </w:p>
        </w:tc>
        <w:tc>
          <w:tcPr>
            <w:tcW w:w="1062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0.709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(0.572)</w:t>
            </w: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0.603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(0.402)</w:t>
            </w: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230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Healthcare spending</w:t>
            </w:r>
          </w:p>
        </w:tc>
        <w:tc>
          <w:tcPr>
            <w:tcW w:w="1062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0.189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(0.220)</w:t>
            </w: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230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Social exclusion spending</w:t>
            </w:r>
          </w:p>
        </w:tc>
        <w:tc>
          <w:tcPr>
            <w:tcW w:w="1062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3.235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(2.591)</w:t>
            </w: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230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Unemployment spending</w:t>
            </w:r>
          </w:p>
        </w:tc>
        <w:tc>
          <w:tcPr>
            <w:tcW w:w="1062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CD24C9" w:rsidRPr="00CD24C9" w:rsidRDefault="00CD24C9" w:rsidP="007D4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0.556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(0.405)</w:t>
            </w: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1.162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(0.776)</w:t>
            </w:r>
          </w:p>
        </w:tc>
        <w:tc>
          <w:tcPr>
            <w:tcW w:w="1060" w:type="dxa"/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85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Variance components (level 2)</w:t>
            </w:r>
          </w:p>
        </w:tc>
      </w:tr>
      <w:tr w:rsidR="00CD24C9" w:rsidRPr="00CD24C9" w:rsidTr="007D4BBD">
        <w:tc>
          <w:tcPr>
            <w:tcW w:w="230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Intercept variance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2.048**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(0.475)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1.610**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(0.277)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1.988**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(0.500)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1.552*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(0.277)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1.814*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(0.426)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1.846*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(0.445)</w:t>
            </w:r>
          </w:p>
        </w:tc>
      </w:tr>
      <w:tr w:rsidR="00CD24C9" w:rsidRPr="00CD24C9" w:rsidTr="007D4BBD">
        <w:tc>
          <w:tcPr>
            <w:tcW w:w="230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Slope variance</w:t>
            </w:r>
          </w:p>
        </w:tc>
        <w:tc>
          <w:tcPr>
            <w:tcW w:w="1062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1.235**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(0.092)</w:t>
            </w:r>
          </w:p>
        </w:tc>
        <w:tc>
          <w:tcPr>
            <w:tcW w:w="986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1.258**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(0.110)</w:t>
            </w:r>
          </w:p>
        </w:tc>
        <w:tc>
          <w:tcPr>
            <w:tcW w:w="1060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1.282*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(0.129)</w:t>
            </w:r>
          </w:p>
        </w:tc>
        <w:tc>
          <w:tcPr>
            <w:tcW w:w="1060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1.373*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(0.176)</w:t>
            </w:r>
          </w:p>
        </w:tc>
        <w:tc>
          <w:tcPr>
            <w:tcW w:w="1060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1.177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(0.105)</w:t>
            </w:r>
          </w:p>
        </w:tc>
        <w:tc>
          <w:tcPr>
            <w:tcW w:w="1060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1.177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(0.102)</w:t>
            </w:r>
          </w:p>
        </w:tc>
      </w:tr>
      <w:tr w:rsidR="00CD24C9" w:rsidRPr="00CD24C9" w:rsidTr="007D4BBD">
        <w:tc>
          <w:tcPr>
            <w:tcW w:w="2306" w:type="dxa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Intercept–slope covariance</w:t>
            </w:r>
          </w:p>
        </w:tc>
        <w:tc>
          <w:tcPr>
            <w:tcW w:w="1062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0.904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(0.090)</w:t>
            </w:r>
          </w:p>
        </w:tc>
        <w:tc>
          <w:tcPr>
            <w:tcW w:w="986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0.851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(0.078)</w:t>
            </w:r>
          </w:p>
        </w:tc>
        <w:tc>
          <w:tcPr>
            <w:tcW w:w="1060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0.879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(0.108)</w:t>
            </w:r>
          </w:p>
        </w:tc>
        <w:tc>
          <w:tcPr>
            <w:tcW w:w="1060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0.968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(0.109)</w:t>
            </w:r>
          </w:p>
        </w:tc>
        <w:tc>
          <w:tcPr>
            <w:tcW w:w="1060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0.882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(0.103)</w:t>
            </w:r>
          </w:p>
        </w:tc>
        <w:tc>
          <w:tcPr>
            <w:tcW w:w="1060" w:type="dxa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0.877</w:t>
            </w: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(0.103)</w:t>
            </w:r>
          </w:p>
        </w:tc>
      </w:tr>
      <w:tr w:rsidR="00CD24C9" w:rsidRPr="00CD24C9" w:rsidTr="007D4BBD"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Variance partition coefficient (%)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31.0</w:t>
            </w:r>
          </w:p>
        </w:tc>
      </w:tr>
      <w:tr w:rsidR="00CD24C9" w:rsidRPr="00CD24C9" w:rsidTr="007D4BBD">
        <w:tc>
          <w:tcPr>
            <w:tcW w:w="85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24C9" w:rsidRPr="00CD24C9" w:rsidTr="007D4BBD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sz w:val="18"/>
                <w:szCs w:val="18"/>
              </w:rPr>
              <w:t>DIC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24,797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24,796.9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16,103.7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7,050.7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6,358.2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6,357.6</w:t>
            </w:r>
          </w:p>
        </w:tc>
      </w:tr>
      <w:tr w:rsidR="00CD24C9" w:rsidRPr="00CD24C9" w:rsidTr="007D4BBD"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CD24C9" w:rsidRPr="00CD24C9" w:rsidRDefault="00CD24C9" w:rsidP="007D4BBD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D24C9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42,732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42,732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26,236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14,461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8,806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D24C9" w:rsidRPr="00CD24C9" w:rsidRDefault="00CD24C9" w:rsidP="007D4BBD">
            <w:pPr>
              <w:contextualSpacing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4C9">
              <w:rPr>
                <w:rFonts w:asciiTheme="minorHAnsi" w:hAnsiTheme="minorHAnsi"/>
                <w:color w:val="000000"/>
                <w:sz w:val="18"/>
                <w:szCs w:val="18"/>
              </w:rPr>
              <w:t>8,806</w:t>
            </w:r>
          </w:p>
        </w:tc>
      </w:tr>
    </w:tbl>
    <w:p w:rsidR="00CD24C9" w:rsidRPr="00CD24C9" w:rsidRDefault="00CD24C9" w:rsidP="00CD24C9">
      <w:pPr>
        <w:contextualSpacing/>
        <w:rPr>
          <w:rFonts w:asciiTheme="minorHAnsi" w:hAnsiTheme="minorHAnsi" w:cstheme="minorHAnsi"/>
          <w:sz w:val="18"/>
          <w:szCs w:val="18"/>
        </w:rPr>
      </w:pPr>
      <w:r w:rsidRPr="00CD24C9">
        <w:rPr>
          <w:rFonts w:asciiTheme="minorHAnsi" w:hAnsiTheme="minorHAnsi" w:cstheme="minorHAnsi"/>
          <w:sz w:val="18"/>
          <w:szCs w:val="18"/>
        </w:rPr>
        <w:t>* p&lt;.05, ** p&lt;.01, *** p&lt;.001. DIC = Deviance Information Criterion</w:t>
      </w:r>
    </w:p>
    <w:p w:rsidR="00CD24C9" w:rsidRPr="00CD24C9" w:rsidRDefault="00CD24C9" w:rsidP="00CD24C9">
      <w:pPr>
        <w:contextualSpacing/>
        <w:rPr>
          <w:rFonts w:asciiTheme="minorHAnsi" w:hAnsiTheme="minorHAnsi" w:cstheme="minorHAnsi"/>
          <w:sz w:val="18"/>
          <w:szCs w:val="18"/>
        </w:rPr>
      </w:pPr>
      <w:r w:rsidRPr="00CD24C9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† </w:t>
      </w:r>
      <w:r w:rsidRPr="00CD24C9">
        <w:rPr>
          <w:rFonts w:asciiTheme="minorHAnsi" w:hAnsiTheme="minorHAnsi" w:cstheme="minorHAnsi"/>
          <w:sz w:val="18"/>
          <w:szCs w:val="18"/>
        </w:rPr>
        <w:t>Level 1 variance is a function of the mean in logistic models so is not estimated</w:t>
      </w:r>
    </w:p>
    <w:p w:rsidR="00CD24C9" w:rsidRPr="00CD24C9" w:rsidRDefault="00CD24C9" w:rsidP="00CD24C9">
      <w:pPr>
        <w:contextualSpacing/>
        <w:rPr>
          <w:rFonts w:asciiTheme="minorHAnsi" w:hAnsiTheme="minorHAnsi" w:cstheme="minorHAnsi"/>
          <w:sz w:val="18"/>
          <w:szCs w:val="18"/>
        </w:rPr>
      </w:pPr>
      <w:r w:rsidRPr="00CD24C9">
        <w:rPr>
          <w:rFonts w:asciiTheme="minorHAnsi" w:hAnsiTheme="minorHAnsi" w:cstheme="minorHAnsi"/>
          <w:sz w:val="18"/>
          <w:szCs w:val="18"/>
        </w:rPr>
        <w:t>All models adjusted for age, age squared, sex, household composition, income, housing tenure, education, employment status, rural-urban location, and disability status.</w:t>
      </w:r>
    </w:p>
    <w:p w:rsidR="00CD24C9" w:rsidRPr="00CD24C9" w:rsidRDefault="00CD24C9" w:rsidP="00CD24C9">
      <w:pPr>
        <w:rPr>
          <w:rFonts w:asciiTheme="minorHAnsi" w:hAnsiTheme="minorHAnsi"/>
        </w:rPr>
      </w:pPr>
    </w:p>
    <w:p w:rsidR="00CD24C9" w:rsidRPr="00CD24C9" w:rsidRDefault="00CD24C9" w:rsidP="00CD24C9">
      <w:pPr>
        <w:contextualSpacing/>
        <w:rPr>
          <w:rFonts w:asciiTheme="minorHAnsi" w:hAnsiTheme="minorHAnsi" w:cstheme="minorHAnsi"/>
        </w:rPr>
      </w:pPr>
    </w:p>
    <w:p w:rsidR="00CD24C9" w:rsidRPr="00CD24C9" w:rsidRDefault="00CD24C9">
      <w:pPr>
        <w:rPr>
          <w:rFonts w:asciiTheme="minorHAnsi" w:hAnsiTheme="minorHAnsi"/>
        </w:rPr>
      </w:pPr>
      <w:r w:rsidRPr="00CD24C9">
        <w:rPr>
          <w:rFonts w:asciiTheme="minorHAnsi" w:hAnsiTheme="minorHAnsi"/>
        </w:rPr>
        <w:br w:type="page"/>
      </w:r>
    </w:p>
    <w:p w:rsidR="00865B08" w:rsidRPr="00865B08" w:rsidRDefault="00865B08" w:rsidP="00865B08">
      <w:pPr>
        <w:pStyle w:val="BodyA"/>
        <w:spacing w:after="0" w:line="240" w:lineRule="auto"/>
        <w:rPr>
          <w:rStyle w:val="None"/>
          <w:b/>
          <w:iCs/>
        </w:rPr>
      </w:pPr>
      <w:r w:rsidRPr="00865B08">
        <w:rPr>
          <w:rStyle w:val="None"/>
          <w:b/>
          <w:iCs/>
        </w:rPr>
        <w:lastRenderedPageBreak/>
        <w:t>Figures</w:t>
      </w:r>
    </w:p>
    <w:p w:rsidR="00865B08" w:rsidRDefault="00865B08" w:rsidP="00865B08">
      <w:pPr>
        <w:pStyle w:val="BodyA"/>
        <w:spacing w:after="0" w:line="240" w:lineRule="auto"/>
        <w:rPr>
          <w:rStyle w:val="None"/>
          <w:i/>
          <w:iCs/>
        </w:rPr>
      </w:pPr>
    </w:p>
    <w:p w:rsidR="00865B08" w:rsidRDefault="00865B08" w:rsidP="00461258">
      <w:pPr>
        <w:pStyle w:val="BodyA"/>
        <w:spacing w:after="0" w:line="240" w:lineRule="auto"/>
        <w:rPr>
          <w:b/>
          <w:i/>
          <w:iCs/>
        </w:rPr>
      </w:pPr>
      <w:r w:rsidRPr="003B2B02">
        <w:rPr>
          <w:rStyle w:val="None"/>
          <w:i/>
          <w:iCs/>
        </w:rPr>
        <w:t>Figure 1: Prevalence of food insecurity in Europe, 2007 and 2011</w:t>
      </w:r>
      <w:r w:rsidR="00461258">
        <w:rPr>
          <w:noProof/>
          <w:lang w:val="en-GB"/>
        </w:rPr>
        <w:drawing>
          <wp:inline distT="0" distB="0" distL="0" distR="0" wp14:anchorId="6D10414C" wp14:editId="483665E6">
            <wp:extent cx="6455391" cy="2593075"/>
            <wp:effectExtent l="0" t="0" r="3175" b="171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1258" w:rsidRDefault="00461258" w:rsidP="00521137">
      <w:pPr>
        <w:pStyle w:val="Caption"/>
        <w:spacing w:after="0"/>
        <w:rPr>
          <w:b/>
          <w:i w:val="0"/>
          <w:iCs w:val="0"/>
          <w:color w:val="000000"/>
          <w:sz w:val="22"/>
          <w:szCs w:val="22"/>
          <w:u w:color="000000"/>
        </w:rPr>
      </w:pPr>
    </w:p>
    <w:p w:rsidR="00461258" w:rsidRDefault="00461258" w:rsidP="00521137">
      <w:pPr>
        <w:pStyle w:val="Caption"/>
        <w:spacing w:after="0"/>
        <w:rPr>
          <w:b/>
          <w:i w:val="0"/>
          <w:iCs w:val="0"/>
          <w:color w:val="000000"/>
          <w:sz w:val="22"/>
          <w:szCs w:val="22"/>
          <w:u w:color="000000"/>
        </w:rPr>
      </w:pPr>
    </w:p>
    <w:p w:rsidR="00461258" w:rsidRDefault="00461258" w:rsidP="00521137">
      <w:pPr>
        <w:pStyle w:val="Caption"/>
        <w:spacing w:after="0"/>
        <w:rPr>
          <w:b/>
          <w:i w:val="0"/>
          <w:iCs w:val="0"/>
          <w:color w:val="000000"/>
          <w:sz w:val="22"/>
          <w:szCs w:val="22"/>
          <w:u w:color="000000"/>
        </w:rPr>
      </w:pPr>
    </w:p>
    <w:sectPr w:rsidR="0046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15" w:rsidRDefault="00E33315" w:rsidP="00CD24C9">
      <w:r>
        <w:separator/>
      </w:r>
    </w:p>
  </w:endnote>
  <w:endnote w:type="continuationSeparator" w:id="0">
    <w:p w:rsidR="00E33315" w:rsidRDefault="00E33315" w:rsidP="00CD24C9">
      <w:r>
        <w:continuationSeparator/>
      </w:r>
    </w:p>
  </w:endnote>
  <w:endnote w:id="1">
    <w:p w:rsidR="007D4BBD" w:rsidRPr="005A59EE" w:rsidRDefault="007D4BBD" w:rsidP="00CD24C9">
      <w:pPr>
        <w:pStyle w:val="EndnoteText"/>
        <w:rPr>
          <w:sz w:val="18"/>
          <w:szCs w:val="18"/>
          <w:lang w:val="en-GB"/>
        </w:rPr>
      </w:pPr>
      <w:r w:rsidRPr="005A59EE">
        <w:rPr>
          <w:rStyle w:val="EndnoteReference"/>
          <w:sz w:val="18"/>
          <w:szCs w:val="18"/>
        </w:rPr>
        <w:endnoteRef/>
      </w:r>
      <w:r w:rsidRPr="005A59EE">
        <w:rPr>
          <w:sz w:val="18"/>
          <w:szCs w:val="18"/>
        </w:rPr>
        <w:t xml:space="preserve"> </w:t>
      </w:r>
      <w:r w:rsidRPr="005A59EE">
        <w:rPr>
          <w:sz w:val="18"/>
          <w:szCs w:val="18"/>
          <w:lang w:val="en-GB"/>
        </w:rPr>
        <w:t>Equivalent figures for 2011 are available as supplementary analyses</w:t>
      </w:r>
    </w:p>
  </w:endnote>
  <w:endnote w:id="2">
    <w:p w:rsidR="007D4BBD" w:rsidRPr="005A59EE" w:rsidRDefault="007D4BBD" w:rsidP="00CD24C9">
      <w:pPr>
        <w:pStyle w:val="EndnoteText"/>
        <w:rPr>
          <w:sz w:val="18"/>
          <w:szCs w:val="18"/>
        </w:rPr>
      </w:pPr>
      <w:r w:rsidRPr="005A59EE">
        <w:rPr>
          <w:rStyle w:val="EndnoteReference"/>
          <w:sz w:val="18"/>
          <w:szCs w:val="18"/>
        </w:rPr>
        <w:endnoteRef/>
      </w:r>
      <w:r w:rsidRPr="005A59EE">
        <w:rPr>
          <w:sz w:val="18"/>
          <w:szCs w:val="18"/>
        </w:rPr>
        <w:t xml:space="preserve"> ‘Other’ family types includes households containing multigenerational families, adult siblings, or unrelated adults living together.</w:t>
      </w:r>
    </w:p>
  </w:endnote>
  <w:endnote w:id="3">
    <w:p w:rsidR="007D4BBD" w:rsidRPr="005A59EE" w:rsidRDefault="007D4BBD" w:rsidP="00CD24C9">
      <w:pPr>
        <w:pStyle w:val="EndnoteText"/>
        <w:rPr>
          <w:sz w:val="18"/>
          <w:szCs w:val="18"/>
        </w:rPr>
      </w:pPr>
      <w:r w:rsidRPr="005A59EE">
        <w:rPr>
          <w:rStyle w:val="EndnoteReference"/>
          <w:sz w:val="18"/>
          <w:szCs w:val="18"/>
        </w:rPr>
        <w:endnoteRef/>
      </w:r>
      <w:r w:rsidRPr="005A59EE">
        <w:rPr>
          <w:sz w:val="18"/>
          <w:szCs w:val="18"/>
        </w:rPr>
        <w:t xml:space="preserve"> Education is captured using the Harmonised International Standard Classification of Education categories.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15" w:rsidRDefault="00E33315" w:rsidP="00CD24C9">
      <w:r>
        <w:separator/>
      </w:r>
    </w:p>
  </w:footnote>
  <w:footnote w:type="continuationSeparator" w:id="0">
    <w:p w:rsidR="00E33315" w:rsidRDefault="00E33315" w:rsidP="00CD2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C9"/>
    <w:rsid w:val="000831E0"/>
    <w:rsid w:val="001771B8"/>
    <w:rsid w:val="00461258"/>
    <w:rsid w:val="00521137"/>
    <w:rsid w:val="005C5899"/>
    <w:rsid w:val="00724D47"/>
    <w:rsid w:val="007D4BBD"/>
    <w:rsid w:val="00865B08"/>
    <w:rsid w:val="008D7ECA"/>
    <w:rsid w:val="008F7464"/>
    <w:rsid w:val="00B06D13"/>
    <w:rsid w:val="00CD24C9"/>
    <w:rsid w:val="00E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2E6D"/>
  <w15:chartTrackingRefBased/>
  <w15:docId w15:val="{BA34DB01-8197-45CC-8908-A5281F6C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24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D24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">
    <w:name w:val="Body A"/>
    <w:rsid w:val="00CD24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paragraph" w:styleId="EndnoteText">
    <w:name w:val="endnote text"/>
    <w:link w:val="EndnoteTextChar"/>
    <w:uiPriority w:val="99"/>
    <w:rsid w:val="00CD24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D24C9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styleId="Caption">
    <w:name w:val="caption"/>
    <w:next w:val="BodyA"/>
    <w:qFormat/>
    <w:rsid w:val="00CD24C9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i/>
      <w:iCs/>
      <w:color w:val="44546A"/>
      <w:sz w:val="18"/>
      <w:szCs w:val="18"/>
      <w:u w:color="44546A"/>
      <w:bdr w:val="nil"/>
      <w:lang w:val="en-US" w:eastAsia="en-GB"/>
    </w:rPr>
  </w:style>
  <w:style w:type="character" w:customStyle="1" w:styleId="None">
    <w:name w:val="None"/>
    <w:rsid w:val="00CD24C9"/>
  </w:style>
  <w:style w:type="character" w:styleId="EndnoteReference">
    <w:name w:val="endnote reference"/>
    <w:basedOn w:val="DefaultParagraphFont"/>
    <w:uiPriority w:val="99"/>
    <w:unhideWhenUsed/>
    <w:rsid w:val="00CD24C9"/>
    <w:rPr>
      <w:vertAlign w:val="superscript"/>
    </w:rPr>
  </w:style>
  <w:style w:type="table" w:styleId="TableGrid">
    <w:name w:val="Table Grid"/>
    <w:basedOn w:val="TableNormal"/>
    <w:uiPriority w:val="39"/>
    <w:rsid w:val="00CD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uff-frankel\research\Garratt\Foodbanks%20comparative%20work\Data%20and%20analysis\Comparative%20food%20insecurity%20graphs%20and%20results_MLMv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1'!$B$1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'Fig 1'!$A$2:$A$29</c:f>
              <c:strCache>
                <c:ptCount val="28"/>
                <c:pt idx="0">
                  <c:v>Luxembourg</c:v>
                </c:pt>
                <c:pt idx="1">
                  <c:v>Netherlands</c:v>
                </c:pt>
                <c:pt idx="2">
                  <c:v>Denmark</c:v>
                </c:pt>
                <c:pt idx="3">
                  <c:v>Sweden</c:v>
                </c:pt>
                <c:pt idx="4">
                  <c:v>Finland</c:v>
                </c:pt>
                <c:pt idx="5">
                  <c:v>Ireland</c:v>
                </c:pt>
                <c:pt idx="6">
                  <c:v>Italy</c:v>
                </c:pt>
                <c:pt idx="7">
                  <c:v>Spain</c:v>
                </c:pt>
                <c:pt idx="8">
                  <c:v>France</c:v>
                </c:pt>
                <c:pt idx="9">
                  <c:v>Portugal</c:v>
                </c:pt>
                <c:pt idx="10">
                  <c:v>UK</c:v>
                </c:pt>
                <c:pt idx="11">
                  <c:v>Belgium</c:v>
                </c:pt>
                <c:pt idx="12">
                  <c:v>Germany</c:v>
                </c:pt>
                <c:pt idx="13">
                  <c:v>Austria</c:v>
                </c:pt>
                <c:pt idx="14">
                  <c:v>Malta</c:v>
                </c:pt>
                <c:pt idx="15">
                  <c:v>Cyprus</c:v>
                </c:pt>
                <c:pt idx="16">
                  <c:v>Slovenia</c:v>
                </c:pt>
                <c:pt idx="17">
                  <c:v>Estonia</c:v>
                </c:pt>
                <c:pt idx="18">
                  <c:v>Total</c:v>
                </c:pt>
                <c:pt idx="19">
                  <c:v>Greece</c:v>
                </c:pt>
                <c:pt idx="20">
                  <c:v>Poland</c:v>
                </c:pt>
                <c:pt idx="21">
                  <c:v>Czech Republic</c:v>
                </c:pt>
                <c:pt idx="22">
                  <c:v>Lithuania</c:v>
                </c:pt>
                <c:pt idx="23">
                  <c:v>Latvia</c:v>
                </c:pt>
                <c:pt idx="24">
                  <c:v>Romania</c:v>
                </c:pt>
                <c:pt idx="25">
                  <c:v>Slovakia</c:v>
                </c:pt>
                <c:pt idx="26">
                  <c:v>Hungary</c:v>
                </c:pt>
                <c:pt idx="27">
                  <c:v>Bulgaria</c:v>
                </c:pt>
              </c:strCache>
            </c:strRef>
          </c:cat>
          <c:val>
            <c:numRef>
              <c:f>'Fig 1'!$B$2:$B$29</c:f>
              <c:numCache>
                <c:formatCode>General</c:formatCode>
                <c:ptCount val="28"/>
                <c:pt idx="0">
                  <c:v>0.84899999999999998</c:v>
                </c:pt>
                <c:pt idx="1">
                  <c:v>0.998</c:v>
                </c:pt>
                <c:pt idx="2">
                  <c:v>1.006</c:v>
                </c:pt>
                <c:pt idx="3">
                  <c:v>1.1930000000000001</c:v>
                </c:pt>
                <c:pt idx="4">
                  <c:v>1.264</c:v>
                </c:pt>
                <c:pt idx="5">
                  <c:v>1.9490000000000001</c:v>
                </c:pt>
                <c:pt idx="6">
                  <c:v>2.8050000000000002</c:v>
                </c:pt>
                <c:pt idx="7">
                  <c:v>2.851</c:v>
                </c:pt>
                <c:pt idx="8">
                  <c:v>3.0870000000000002</c:v>
                </c:pt>
                <c:pt idx="9">
                  <c:v>3.3</c:v>
                </c:pt>
                <c:pt idx="10">
                  <c:v>3.5640000000000001</c:v>
                </c:pt>
                <c:pt idx="11">
                  <c:v>4.008</c:v>
                </c:pt>
                <c:pt idx="12">
                  <c:v>4.6040000000000001</c:v>
                </c:pt>
                <c:pt idx="13">
                  <c:v>4.9320000000000004</c:v>
                </c:pt>
                <c:pt idx="14">
                  <c:v>5.3639999999999999</c:v>
                </c:pt>
                <c:pt idx="15">
                  <c:v>6.1989999999999998</c:v>
                </c:pt>
                <c:pt idx="16">
                  <c:v>6.3710000000000004</c:v>
                </c:pt>
                <c:pt idx="17">
                  <c:v>9.3239999999999998</c:v>
                </c:pt>
                <c:pt idx="18">
                  <c:v>9.375</c:v>
                </c:pt>
                <c:pt idx="19">
                  <c:v>13.545</c:v>
                </c:pt>
                <c:pt idx="20">
                  <c:v>14.6</c:v>
                </c:pt>
                <c:pt idx="21">
                  <c:v>15.279</c:v>
                </c:pt>
                <c:pt idx="22">
                  <c:v>18.091999999999999</c:v>
                </c:pt>
                <c:pt idx="23">
                  <c:v>20.622</c:v>
                </c:pt>
                <c:pt idx="24">
                  <c:v>21.536999999999999</c:v>
                </c:pt>
                <c:pt idx="25">
                  <c:v>22.904</c:v>
                </c:pt>
                <c:pt idx="26">
                  <c:v>32.021000000000001</c:v>
                </c:pt>
                <c:pt idx="27">
                  <c:v>41.125999999999998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39-41D9-96AE-7441F1DDF88E}"/>
            </c:ext>
          </c:extLst>
        </c:ser>
        <c:ser>
          <c:idx val="1"/>
          <c:order val="1"/>
          <c:tx>
            <c:strRef>
              <c:f>'Fig 1'!$E$1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'Fig 1'!$A$2:$A$29</c:f>
              <c:strCache>
                <c:ptCount val="28"/>
                <c:pt idx="0">
                  <c:v>Luxembourg</c:v>
                </c:pt>
                <c:pt idx="1">
                  <c:v>Netherlands</c:v>
                </c:pt>
                <c:pt idx="2">
                  <c:v>Denmark</c:v>
                </c:pt>
                <c:pt idx="3">
                  <c:v>Sweden</c:v>
                </c:pt>
                <c:pt idx="4">
                  <c:v>Finland</c:v>
                </c:pt>
                <c:pt idx="5">
                  <c:v>Ireland</c:v>
                </c:pt>
                <c:pt idx="6">
                  <c:v>Italy</c:v>
                </c:pt>
                <c:pt idx="7">
                  <c:v>Spain</c:v>
                </c:pt>
                <c:pt idx="8">
                  <c:v>France</c:v>
                </c:pt>
                <c:pt idx="9">
                  <c:v>Portugal</c:v>
                </c:pt>
                <c:pt idx="10">
                  <c:v>UK</c:v>
                </c:pt>
                <c:pt idx="11">
                  <c:v>Belgium</c:v>
                </c:pt>
                <c:pt idx="12">
                  <c:v>Germany</c:v>
                </c:pt>
                <c:pt idx="13">
                  <c:v>Austria</c:v>
                </c:pt>
                <c:pt idx="14">
                  <c:v>Malta</c:v>
                </c:pt>
                <c:pt idx="15">
                  <c:v>Cyprus</c:v>
                </c:pt>
                <c:pt idx="16">
                  <c:v>Slovenia</c:v>
                </c:pt>
                <c:pt idx="17">
                  <c:v>Estonia</c:v>
                </c:pt>
                <c:pt idx="18">
                  <c:v>Total</c:v>
                </c:pt>
                <c:pt idx="19">
                  <c:v>Greece</c:v>
                </c:pt>
                <c:pt idx="20">
                  <c:v>Poland</c:v>
                </c:pt>
                <c:pt idx="21">
                  <c:v>Czech Republic</c:v>
                </c:pt>
                <c:pt idx="22">
                  <c:v>Lithuania</c:v>
                </c:pt>
                <c:pt idx="23">
                  <c:v>Latvia</c:v>
                </c:pt>
                <c:pt idx="24">
                  <c:v>Romania</c:v>
                </c:pt>
                <c:pt idx="25">
                  <c:v>Slovakia</c:v>
                </c:pt>
                <c:pt idx="26">
                  <c:v>Hungary</c:v>
                </c:pt>
                <c:pt idx="27">
                  <c:v>Bulgaria</c:v>
                </c:pt>
              </c:strCache>
            </c:strRef>
          </c:cat>
          <c:val>
            <c:numRef>
              <c:f>'Fig 1'!$E$2:$E$29</c:f>
              <c:numCache>
                <c:formatCode>General</c:formatCode>
                <c:ptCount val="28"/>
                <c:pt idx="0">
                  <c:v>1.478</c:v>
                </c:pt>
                <c:pt idx="1">
                  <c:v>1.948</c:v>
                </c:pt>
                <c:pt idx="2">
                  <c:v>1.5369999999999999</c:v>
                </c:pt>
                <c:pt idx="3">
                  <c:v>2.06</c:v>
                </c:pt>
                <c:pt idx="4">
                  <c:v>3.8839999999999999</c:v>
                </c:pt>
                <c:pt idx="5">
                  <c:v>3.524</c:v>
                </c:pt>
                <c:pt idx="6">
                  <c:v>2.8889999999999998</c:v>
                </c:pt>
                <c:pt idx="7">
                  <c:v>6.4939999999999998</c:v>
                </c:pt>
                <c:pt idx="8">
                  <c:v>7.1289999999999996</c:v>
                </c:pt>
                <c:pt idx="9">
                  <c:v>10.366</c:v>
                </c:pt>
                <c:pt idx="10">
                  <c:v>8.7620000000000005</c:v>
                </c:pt>
                <c:pt idx="11">
                  <c:v>3.8069999999999999</c:v>
                </c:pt>
                <c:pt idx="12">
                  <c:v>5.7480000000000002</c:v>
                </c:pt>
                <c:pt idx="13">
                  <c:v>4.1040000000000001</c:v>
                </c:pt>
                <c:pt idx="14">
                  <c:v>8.7059999999999995</c:v>
                </c:pt>
                <c:pt idx="15">
                  <c:v>23.876999999999999</c:v>
                </c:pt>
                <c:pt idx="16">
                  <c:v>10.118</c:v>
                </c:pt>
                <c:pt idx="17">
                  <c:v>27.785</c:v>
                </c:pt>
                <c:pt idx="18">
                  <c:v>12.22</c:v>
                </c:pt>
                <c:pt idx="19">
                  <c:v>21.199000000000002</c:v>
                </c:pt>
                <c:pt idx="20">
                  <c:v>20.385999999999999</c:v>
                </c:pt>
                <c:pt idx="21">
                  <c:v>16.742000000000001</c:v>
                </c:pt>
                <c:pt idx="22">
                  <c:v>19.053000000000001</c:v>
                </c:pt>
                <c:pt idx="23">
                  <c:v>23.265999999999998</c:v>
                </c:pt>
                <c:pt idx="24">
                  <c:v>18.544</c:v>
                </c:pt>
                <c:pt idx="25">
                  <c:v>25.923999999999999</c:v>
                </c:pt>
                <c:pt idx="26">
                  <c:v>41.204999999999998</c:v>
                </c:pt>
                <c:pt idx="27">
                  <c:v>35.957000000000001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39-41D9-96AE-7441F1DDF8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508168"/>
        <c:axId val="189479368"/>
      </c:barChart>
      <c:catAx>
        <c:axId val="18850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479368"/>
        <c:crosses val="autoZero"/>
        <c:auto val="1"/>
        <c:lblAlgn val="ctr"/>
        <c:lblOffset val="100"/>
        <c:noMultiLvlLbl val="0"/>
      </c:catAx>
      <c:valAx>
        <c:axId val="18947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Proportion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50816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College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Garratt</dc:creator>
  <cp:keywords/>
  <dc:description/>
  <cp:lastModifiedBy>Elisabeth Garratt</cp:lastModifiedBy>
  <cp:revision>8</cp:revision>
  <dcterms:created xsi:type="dcterms:W3CDTF">2018-10-23T13:44:00Z</dcterms:created>
  <dcterms:modified xsi:type="dcterms:W3CDTF">2019-05-29T12:44:00Z</dcterms:modified>
</cp:coreProperties>
</file>