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3D" w:rsidRPr="00306031" w:rsidRDefault="007F003D" w:rsidP="0008251C">
      <w:pPr>
        <w:spacing w:line="480" w:lineRule="auto"/>
        <w:contextualSpacing/>
        <w:jc w:val="center"/>
        <w:rPr>
          <w:rFonts w:asciiTheme="majorBidi" w:eastAsia="PMingLiU" w:hAnsiTheme="majorBidi" w:cstheme="majorBidi"/>
          <w:b/>
          <w:bCs/>
          <w:sz w:val="24"/>
          <w:szCs w:val="24"/>
          <w:lang w:eastAsia="zh-TW"/>
        </w:rPr>
      </w:pPr>
      <w:r w:rsidRPr="00306031">
        <w:rPr>
          <w:rFonts w:asciiTheme="majorBidi" w:eastAsia="PMingLiU" w:hAnsiTheme="majorBidi" w:cstheme="majorBidi"/>
          <w:b/>
          <w:bCs/>
          <w:sz w:val="24"/>
          <w:szCs w:val="24"/>
          <w:lang w:eastAsia="zh-TW"/>
        </w:rPr>
        <w:t>Online supplementary material:</w:t>
      </w:r>
      <w:r w:rsidR="009B32DC" w:rsidRPr="00306031">
        <w:rPr>
          <w:rFonts w:asciiTheme="majorBidi" w:eastAsia="PMingLiU" w:hAnsiTheme="majorBidi" w:cstheme="majorBidi"/>
          <w:b/>
          <w:bCs/>
          <w:sz w:val="24"/>
          <w:szCs w:val="24"/>
          <w:lang w:eastAsia="zh-TW"/>
        </w:rPr>
        <w:t xml:space="preserve"> </w:t>
      </w:r>
    </w:p>
    <w:p w:rsidR="00130EA9" w:rsidRDefault="00130EA9" w:rsidP="0008251C">
      <w:pPr>
        <w:spacing w:line="480" w:lineRule="auto"/>
        <w:contextualSpacing/>
        <w:jc w:val="center"/>
        <w:rPr>
          <w:rFonts w:asciiTheme="majorBidi" w:eastAsia="PMingLiU" w:hAnsiTheme="majorBidi" w:cstheme="majorBidi"/>
          <w:b/>
          <w:bCs/>
          <w:sz w:val="24"/>
          <w:szCs w:val="24"/>
          <w:lang w:eastAsia="zh-TW"/>
        </w:rPr>
      </w:pPr>
      <w:r w:rsidRPr="00306031">
        <w:rPr>
          <w:rFonts w:asciiTheme="majorBidi" w:eastAsia="PMingLiU" w:hAnsiTheme="majorBidi" w:cstheme="majorBidi"/>
          <w:b/>
          <w:bCs/>
          <w:sz w:val="24"/>
          <w:szCs w:val="24"/>
          <w:lang w:eastAsia="zh-TW"/>
        </w:rPr>
        <w:t xml:space="preserve">Constructing </w:t>
      </w:r>
      <w:r w:rsidR="00CF3325" w:rsidRPr="00306031">
        <w:rPr>
          <w:rFonts w:asciiTheme="majorBidi" w:eastAsia="PMingLiU" w:hAnsiTheme="majorBidi" w:cstheme="majorBidi"/>
          <w:b/>
          <w:bCs/>
          <w:sz w:val="24"/>
          <w:szCs w:val="24"/>
          <w:lang w:eastAsia="zh-TW"/>
        </w:rPr>
        <w:t xml:space="preserve">a longitudinal dataset on charitable </w:t>
      </w:r>
      <w:r w:rsidR="00306031" w:rsidRPr="00306031">
        <w:rPr>
          <w:rFonts w:asciiTheme="majorBidi" w:eastAsia="PMingLiU" w:hAnsiTheme="majorBidi" w:cstheme="majorBidi"/>
          <w:b/>
          <w:bCs/>
          <w:sz w:val="24"/>
          <w:szCs w:val="24"/>
          <w:lang w:eastAsia="zh-TW"/>
        </w:rPr>
        <w:t>organisations</w:t>
      </w:r>
      <w:r w:rsidR="00AF5146" w:rsidRPr="00306031">
        <w:rPr>
          <w:rFonts w:asciiTheme="majorBidi" w:eastAsia="PMingLiU" w:hAnsiTheme="majorBidi" w:cstheme="majorBidi"/>
          <w:b/>
          <w:bCs/>
          <w:sz w:val="24"/>
          <w:szCs w:val="24"/>
          <w:lang w:eastAsia="zh-TW"/>
        </w:rPr>
        <w:t xml:space="preserve"> in England and Wales</w:t>
      </w:r>
    </w:p>
    <w:p w:rsidR="00546DEE" w:rsidRPr="00306031" w:rsidRDefault="00546DEE" w:rsidP="0008251C">
      <w:pPr>
        <w:spacing w:line="480" w:lineRule="auto"/>
        <w:contextualSpacing/>
        <w:jc w:val="center"/>
        <w:rPr>
          <w:rFonts w:asciiTheme="majorBidi" w:eastAsia="PMingLiU" w:hAnsiTheme="majorBidi" w:cstheme="majorBidi"/>
          <w:b/>
          <w:bCs/>
          <w:sz w:val="24"/>
          <w:szCs w:val="24"/>
          <w:lang w:eastAsia="zh-TW"/>
        </w:rPr>
      </w:pPr>
      <w:r>
        <w:rPr>
          <w:rFonts w:asciiTheme="majorBidi" w:eastAsia="PMingLiU" w:hAnsiTheme="majorBidi" w:cstheme="majorBidi" w:hint="eastAsia"/>
          <w:b/>
          <w:bCs/>
          <w:sz w:val="24"/>
          <w:szCs w:val="24"/>
          <w:lang w:eastAsia="zh-TW"/>
        </w:rPr>
        <w:t>__________________________________________________________________________</w:t>
      </w:r>
    </w:p>
    <w:p w:rsidR="004467C1" w:rsidRPr="00306031" w:rsidRDefault="004467C1" w:rsidP="0008251C">
      <w:pPr>
        <w:spacing w:line="480" w:lineRule="auto"/>
        <w:contextualSpacing/>
        <w:jc w:val="center"/>
        <w:rPr>
          <w:rFonts w:asciiTheme="majorBidi" w:eastAsia="PMingLiU" w:hAnsiTheme="majorBidi" w:cstheme="majorBidi"/>
          <w:b/>
          <w:bCs/>
          <w:sz w:val="24"/>
          <w:szCs w:val="24"/>
          <w:lang w:eastAsia="zh-TW"/>
        </w:rPr>
      </w:pPr>
    </w:p>
    <w:p w:rsidR="00AF5146" w:rsidRPr="00306031" w:rsidRDefault="007F003D" w:rsidP="0008251C">
      <w:pPr>
        <w:spacing w:line="480" w:lineRule="auto"/>
        <w:contextualSpacing/>
        <w:jc w:val="both"/>
        <w:rPr>
          <w:rFonts w:asciiTheme="majorBidi" w:eastAsia="PMingLiU" w:hAnsiTheme="majorBidi" w:cstheme="majorBidi"/>
          <w:sz w:val="24"/>
          <w:szCs w:val="24"/>
          <w:lang w:eastAsia="zh-TW"/>
        </w:rPr>
      </w:pPr>
      <w:r w:rsidRPr="00306031">
        <w:rPr>
          <w:rFonts w:asciiTheme="majorBidi" w:eastAsia="PMingLiU" w:hAnsiTheme="majorBidi" w:cstheme="majorBidi"/>
          <w:sz w:val="24"/>
          <w:szCs w:val="24"/>
          <w:lang w:eastAsia="zh-TW"/>
        </w:rPr>
        <w:t xml:space="preserve">This </w:t>
      </w:r>
      <w:r w:rsidR="004467C1" w:rsidRPr="00306031">
        <w:rPr>
          <w:rFonts w:asciiTheme="majorBidi" w:eastAsia="PMingLiU" w:hAnsiTheme="majorBidi" w:cstheme="majorBidi"/>
          <w:sz w:val="24"/>
          <w:szCs w:val="24"/>
          <w:lang w:eastAsia="zh-TW"/>
        </w:rPr>
        <w:t>supplementary file provides details about the</w:t>
      </w:r>
      <w:r w:rsidR="00130EA9" w:rsidRPr="00306031">
        <w:rPr>
          <w:rFonts w:asciiTheme="majorBidi" w:eastAsia="PMingLiU" w:hAnsiTheme="majorBidi" w:cstheme="majorBidi"/>
          <w:sz w:val="24"/>
          <w:szCs w:val="24"/>
          <w:lang w:eastAsia="zh-TW"/>
        </w:rPr>
        <w:t xml:space="preserve"> longitudinal dataset</w:t>
      </w:r>
      <w:r w:rsidR="004467C1" w:rsidRPr="00306031">
        <w:rPr>
          <w:rFonts w:asciiTheme="majorBidi" w:eastAsia="PMingLiU" w:hAnsiTheme="majorBidi" w:cstheme="majorBidi"/>
          <w:sz w:val="24"/>
          <w:szCs w:val="24"/>
          <w:lang w:eastAsia="zh-TW"/>
        </w:rPr>
        <w:t xml:space="preserve"> </w:t>
      </w:r>
      <w:r w:rsidRPr="00306031">
        <w:rPr>
          <w:rFonts w:asciiTheme="majorBidi" w:eastAsia="PMingLiU" w:hAnsiTheme="majorBidi" w:cstheme="majorBidi"/>
          <w:sz w:val="24"/>
          <w:szCs w:val="24"/>
          <w:lang w:eastAsia="zh-TW"/>
        </w:rPr>
        <w:t>which</w:t>
      </w:r>
      <w:r w:rsidR="00CF3325" w:rsidRPr="00306031">
        <w:rPr>
          <w:rFonts w:asciiTheme="majorBidi" w:eastAsia="PMingLiU" w:hAnsiTheme="majorBidi" w:cstheme="majorBidi"/>
          <w:sz w:val="24"/>
          <w:szCs w:val="24"/>
          <w:lang w:eastAsia="zh-TW"/>
        </w:rPr>
        <w:t xml:space="preserve"> was constructed to form</w:t>
      </w:r>
      <w:r w:rsidRPr="00306031">
        <w:rPr>
          <w:rFonts w:asciiTheme="majorBidi" w:eastAsia="PMingLiU" w:hAnsiTheme="majorBidi" w:cstheme="majorBidi"/>
          <w:sz w:val="24"/>
          <w:szCs w:val="24"/>
          <w:lang w:eastAsia="zh-TW"/>
        </w:rPr>
        <w:t xml:space="preserve"> the basis for </w:t>
      </w:r>
      <w:r w:rsidR="00A17C9D">
        <w:rPr>
          <w:rFonts w:asciiTheme="majorBidi" w:eastAsia="PMingLiU" w:hAnsiTheme="majorBidi" w:cstheme="majorBidi"/>
          <w:sz w:val="24"/>
          <w:szCs w:val="24"/>
          <w:lang w:eastAsia="zh-TW"/>
        </w:rPr>
        <w:t xml:space="preserve">the </w:t>
      </w:r>
      <w:r w:rsidRPr="00306031">
        <w:rPr>
          <w:rFonts w:asciiTheme="majorBidi" w:eastAsia="PMingLiU" w:hAnsiTheme="majorBidi" w:cstheme="majorBidi"/>
          <w:sz w:val="24"/>
          <w:szCs w:val="24"/>
          <w:lang w:eastAsia="zh-TW"/>
        </w:rPr>
        <w:t>analysis in the paper ‘</w:t>
      </w:r>
      <w:r w:rsidR="00130EA9" w:rsidRPr="00306031">
        <w:rPr>
          <w:rFonts w:asciiTheme="majorBidi" w:eastAsia="PMingLiU" w:hAnsiTheme="majorBidi" w:cstheme="majorBidi"/>
          <w:sz w:val="24"/>
          <w:szCs w:val="24"/>
          <w:lang w:eastAsia="zh-TW"/>
        </w:rPr>
        <w:t>Charitable organisations, the Great Recession and the age of austerity: longitudinal evidence for England and Wales’</w:t>
      </w:r>
      <w:r w:rsidRPr="00306031">
        <w:rPr>
          <w:rFonts w:asciiTheme="majorBidi" w:eastAsia="PMingLiU" w:hAnsiTheme="majorBidi" w:cstheme="majorBidi"/>
          <w:sz w:val="24"/>
          <w:szCs w:val="24"/>
          <w:lang w:eastAsia="zh-TW"/>
        </w:rPr>
        <w:t>.</w:t>
      </w:r>
      <w:r w:rsidR="006A1F04" w:rsidRPr="00306031">
        <w:rPr>
          <w:rFonts w:asciiTheme="majorBidi" w:eastAsia="PMingLiU" w:hAnsiTheme="majorBidi" w:cstheme="majorBidi"/>
          <w:sz w:val="24"/>
          <w:szCs w:val="24"/>
          <w:lang w:eastAsia="zh-TW"/>
        </w:rPr>
        <w:t xml:space="preserve"> </w:t>
      </w:r>
      <w:r w:rsidR="00AF5146" w:rsidRPr="00306031">
        <w:rPr>
          <w:rFonts w:asciiTheme="majorBidi" w:eastAsia="PMingLiU" w:hAnsiTheme="majorBidi" w:cstheme="majorBidi"/>
          <w:sz w:val="24"/>
          <w:szCs w:val="24"/>
          <w:lang w:eastAsia="zh-TW"/>
        </w:rPr>
        <w:t>This file contains information on:</w:t>
      </w:r>
    </w:p>
    <w:p w:rsidR="00AF5146" w:rsidRPr="00306031" w:rsidRDefault="00AF5146" w:rsidP="0008251C">
      <w:pPr>
        <w:spacing w:line="480" w:lineRule="auto"/>
        <w:contextualSpacing/>
        <w:jc w:val="both"/>
        <w:rPr>
          <w:rFonts w:asciiTheme="majorBidi" w:eastAsia="PMingLiU" w:hAnsiTheme="majorBidi" w:cstheme="majorBidi"/>
          <w:sz w:val="24"/>
          <w:szCs w:val="24"/>
          <w:lang w:eastAsia="zh-TW"/>
        </w:rPr>
      </w:pPr>
    </w:p>
    <w:p w:rsidR="00AF5146" w:rsidRPr="00306031" w:rsidRDefault="004467C1" w:rsidP="0008251C">
      <w:pPr>
        <w:spacing w:line="480" w:lineRule="auto"/>
        <w:contextualSpacing/>
        <w:jc w:val="both"/>
        <w:rPr>
          <w:rFonts w:asciiTheme="majorBidi" w:eastAsia="PMingLiU" w:hAnsiTheme="majorBidi" w:cstheme="majorBidi"/>
          <w:sz w:val="24"/>
          <w:szCs w:val="24"/>
          <w:lang w:eastAsia="zh-TW"/>
        </w:rPr>
      </w:pPr>
      <w:r w:rsidRPr="00306031">
        <w:rPr>
          <w:rFonts w:asciiTheme="majorBidi" w:eastAsia="PMingLiU" w:hAnsiTheme="majorBidi" w:cstheme="majorBidi"/>
          <w:sz w:val="24"/>
          <w:szCs w:val="24"/>
          <w:lang w:eastAsia="zh-TW"/>
        </w:rPr>
        <w:t xml:space="preserve">1) </w:t>
      </w:r>
      <w:r w:rsidR="00AF5146" w:rsidRPr="00306031">
        <w:rPr>
          <w:rFonts w:asciiTheme="majorBidi" w:eastAsia="PMingLiU" w:hAnsiTheme="majorBidi" w:cstheme="majorBidi"/>
          <w:color w:val="000000"/>
          <w:sz w:val="24"/>
          <w:szCs w:val="24"/>
          <w:lang w:eastAsia="zh-TW"/>
        </w:rPr>
        <w:t>Which organisations are included</w:t>
      </w:r>
      <w:r w:rsidR="00A17C9D">
        <w:rPr>
          <w:rFonts w:asciiTheme="majorBidi" w:eastAsia="PMingLiU" w:hAnsiTheme="majorBidi" w:cstheme="majorBidi"/>
          <w:color w:val="000000"/>
          <w:sz w:val="24"/>
          <w:szCs w:val="24"/>
          <w:lang w:eastAsia="zh-TW"/>
        </w:rPr>
        <w:t xml:space="preserve"> in the analysis</w:t>
      </w:r>
      <w:r w:rsidR="00AF5146" w:rsidRPr="00306031">
        <w:rPr>
          <w:rFonts w:asciiTheme="majorBidi" w:eastAsia="PMingLiU" w:hAnsiTheme="majorBidi" w:cstheme="majorBidi"/>
          <w:color w:val="000000"/>
          <w:sz w:val="24"/>
          <w:szCs w:val="24"/>
          <w:lang w:eastAsia="zh-TW"/>
        </w:rPr>
        <w:t>?</w:t>
      </w:r>
    </w:p>
    <w:p w:rsidR="00AF5146" w:rsidRPr="00306031" w:rsidRDefault="00AF5146" w:rsidP="0008251C">
      <w:pPr>
        <w:spacing w:line="480" w:lineRule="auto"/>
        <w:contextualSpacing/>
        <w:jc w:val="both"/>
        <w:rPr>
          <w:rFonts w:asciiTheme="majorBidi" w:eastAsia="PMingLiU" w:hAnsiTheme="majorBidi" w:cstheme="majorBidi"/>
          <w:sz w:val="24"/>
          <w:szCs w:val="24"/>
          <w:lang w:eastAsia="zh-TW"/>
        </w:rPr>
      </w:pPr>
    </w:p>
    <w:p w:rsidR="00AF5146" w:rsidRDefault="004467C1" w:rsidP="0008251C">
      <w:pPr>
        <w:spacing w:line="480" w:lineRule="auto"/>
        <w:contextualSpacing/>
        <w:jc w:val="both"/>
        <w:rPr>
          <w:rFonts w:asciiTheme="majorBidi" w:eastAsia="PMingLiU" w:hAnsiTheme="majorBidi" w:cstheme="majorBidi"/>
          <w:color w:val="000000"/>
          <w:sz w:val="24"/>
          <w:szCs w:val="24"/>
          <w:lang w:eastAsia="zh-TW"/>
        </w:rPr>
      </w:pPr>
      <w:r w:rsidRPr="00306031">
        <w:rPr>
          <w:rFonts w:asciiTheme="majorBidi" w:eastAsia="PMingLiU" w:hAnsiTheme="majorBidi" w:cstheme="majorBidi"/>
          <w:sz w:val="24"/>
          <w:szCs w:val="24"/>
          <w:lang w:eastAsia="zh-TW"/>
        </w:rPr>
        <w:t xml:space="preserve">2) </w:t>
      </w:r>
      <w:r w:rsidR="00AF5146" w:rsidRPr="00306031">
        <w:rPr>
          <w:rFonts w:asciiTheme="majorBidi" w:eastAsia="PMingLiU" w:hAnsiTheme="majorBidi" w:cstheme="majorBidi"/>
          <w:color w:val="000000"/>
          <w:sz w:val="24"/>
          <w:szCs w:val="24"/>
          <w:lang w:eastAsia="zh-TW"/>
        </w:rPr>
        <w:t>How was the longitudinal dataset constructed?</w:t>
      </w:r>
    </w:p>
    <w:p w:rsidR="000D4F76" w:rsidRDefault="000D4F76" w:rsidP="0008251C">
      <w:pPr>
        <w:spacing w:line="480" w:lineRule="auto"/>
        <w:ind w:firstLine="720"/>
        <w:contextualSpacing/>
        <w:jc w:val="both"/>
        <w:rPr>
          <w:rFonts w:asciiTheme="majorBidi" w:eastAsia="PMingLiU" w:hAnsiTheme="majorBidi" w:cstheme="majorBidi"/>
          <w:color w:val="000000"/>
          <w:sz w:val="24"/>
          <w:szCs w:val="24"/>
          <w:lang w:eastAsia="zh-TW"/>
        </w:rPr>
      </w:pPr>
    </w:p>
    <w:p w:rsidR="000D4F76" w:rsidRPr="00306031" w:rsidRDefault="000D4F76" w:rsidP="005B3533">
      <w:pPr>
        <w:spacing w:line="480" w:lineRule="auto"/>
        <w:contextualSpacing/>
        <w:jc w:val="both"/>
        <w:rPr>
          <w:rFonts w:asciiTheme="majorBidi" w:eastAsia="PMingLiU" w:hAnsiTheme="majorBidi" w:cstheme="majorBidi"/>
          <w:color w:val="000000"/>
          <w:sz w:val="24"/>
          <w:szCs w:val="24"/>
          <w:lang w:eastAsia="zh-TW"/>
        </w:rPr>
      </w:pPr>
      <w:r>
        <w:rPr>
          <w:rFonts w:asciiTheme="majorBidi" w:eastAsia="PMingLiU" w:hAnsiTheme="majorBidi" w:cstheme="majorBidi"/>
          <w:color w:val="000000"/>
          <w:sz w:val="24"/>
          <w:szCs w:val="24"/>
          <w:lang w:eastAsia="zh-TW"/>
        </w:rPr>
        <w:t xml:space="preserve">3) How </w:t>
      </w:r>
      <w:r w:rsidR="005B3533">
        <w:rPr>
          <w:rFonts w:asciiTheme="majorBidi" w:eastAsia="PMingLiU" w:hAnsiTheme="majorBidi" w:cstheme="majorBidi" w:hint="eastAsia"/>
          <w:color w:val="000000"/>
          <w:sz w:val="24"/>
          <w:szCs w:val="24"/>
          <w:lang w:eastAsia="zh-TW"/>
        </w:rPr>
        <w:t>i</w:t>
      </w:r>
      <w:r>
        <w:rPr>
          <w:rFonts w:asciiTheme="majorBidi" w:eastAsia="PMingLiU" w:hAnsiTheme="majorBidi" w:cstheme="majorBidi"/>
          <w:color w:val="000000"/>
          <w:sz w:val="24"/>
          <w:szCs w:val="24"/>
          <w:lang w:eastAsia="zh-TW"/>
        </w:rPr>
        <w:t>s the cumulative growth index calculated?</w:t>
      </w:r>
      <w:r w:rsidR="00EA3BBC">
        <w:rPr>
          <w:rFonts w:asciiTheme="majorBidi" w:eastAsia="PMingLiU" w:hAnsiTheme="majorBidi" w:cstheme="majorBidi"/>
          <w:color w:val="000000"/>
          <w:sz w:val="24"/>
          <w:szCs w:val="24"/>
          <w:lang w:eastAsia="zh-TW"/>
        </w:rPr>
        <w:t xml:space="preserve">  Elaboration and worked example.</w:t>
      </w:r>
    </w:p>
    <w:p w:rsidR="00AF5146" w:rsidRPr="00306031" w:rsidRDefault="00AF5146" w:rsidP="0008251C">
      <w:pPr>
        <w:spacing w:line="480" w:lineRule="auto"/>
        <w:contextualSpacing/>
        <w:jc w:val="both"/>
        <w:rPr>
          <w:rFonts w:asciiTheme="majorBidi" w:eastAsia="PMingLiU" w:hAnsiTheme="majorBidi" w:cstheme="majorBidi"/>
          <w:color w:val="000000"/>
          <w:sz w:val="24"/>
          <w:szCs w:val="24"/>
          <w:lang w:eastAsia="zh-TW"/>
        </w:rPr>
      </w:pPr>
    </w:p>
    <w:p w:rsidR="007F003D" w:rsidRPr="00306031" w:rsidRDefault="00EA3BBC" w:rsidP="00011B07">
      <w:p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color w:val="000000"/>
          <w:sz w:val="24"/>
          <w:szCs w:val="24"/>
          <w:lang w:eastAsia="zh-TW"/>
        </w:rPr>
        <w:t>4</w:t>
      </w:r>
      <w:r w:rsidR="00AF5146" w:rsidRPr="00306031">
        <w:rPr>
          <w:rFonts w:asciiTheme="majorBidi" w:eastAsia="PMingLiU" w:hAnsiTheme="majorBidi" w:cstheme="majorBidi"/>
          <w:sz w:val="24"/>
          <w:szCs w:val="24"/>
          <w:lang w:eastAsia="zh-TW"/>
        </w:rPr>
        <w:t xml:space="preserve">) </w:t>
      </w:r>
      <w:r w:rsidR="00011B07" w:rsidRPr="00011B07">
        <w:rPr>
          <w:rFonts w:asciiTheme="majorBidi" w:eastAsia="PMingLiU" w:hAnsiTheme="majorBidi" w:cstheme="majorBidi"/>
          <w:sz w:val="24"/>
          <w:szCs w:val="24"/>
          <w:lang w:eastAsia="zh-TW"/>
        </w:rPr>
        <w:t>What is the basis and means of classifying charities according to charitable field?</w:t>
      </w:r>
      <w:r w:rsidR="004467C1" w:rsidRPr="00306031">
        <w:rPr>
          <w:rFonts w:asciiTheme="majorBidi" w:eastAsia="PMingLiU" w:hAnsiTheme="majorBidi" w:cstheme="majorBidi"/>
          <w:sz w:val="24"/>
          <w:szCs w:val="24"/>
          <w:lang w:eastAsia="zh-TW"/>
        </w:rPr>
        <w:t xml:space="preserve"> </w:t>
      </w:r>
    </w:p>
    <w:p w:rsidR="000220A6" w:rsidRPr="00306031" w:rsidRDefault="000220A6" w:rsidP="0008251C">
      <w:pPr>
        <w:spacing w:line="480" w:lineRule="auto"/>
        <w:contextualSpacing/>
        <w:jc w:val="both"/>
        <w:rPr>
          <w:rFonts w:asciiTheme="majorBidi" w:eastAsia="PMingLiU" w:hAnsiTheme="majorBidi" w:cstheme="majorBidi"/>
          <w:sz w:val="24"/>
          <w:szCs w:val="24"/>
          <w:lang w:eastAsia="zh-TW"/>
        </w:rPr>
      </w:pPr>
    </w:p>
    <w:p w:rsidR="002762F9" w:rsidRPr="00306031" w:rsidRDefault="002762F9" w:rsidP="0008251C">
      <w:pPr>
        <w:spacing w:line="480" w:lineRule="auto"/>
        <w:ind w:left="360"/>
        <w:contextualSpacing/>
        <w:jc w:val="both"/>
        <w:rPr>
          <w:rFonts w:asciiTheme="majorBidi" w:eastAsia="PMingLiU" w:hAnsiTheme="majorBidi" w:cstheme="majorBidi"/>
          <w:i/>
          <w:iCs/>
          <w:color w:val="000000"/>
          <w:sz w:val="24"/>
          <w:szCs w:val="24"/>
          <w:lang w:eastAsia="zh-TW"/>
        </w:rPr>
      </w:pPr>
      <w:r w:rsidRPr="00306031">
        <w:rPr>
          <w:rFonts w:asciiTheme="majorBidi" w:eastAsia="PMingLiU" w:hAnsiTheme="majorBidi" w:cstheme="majorBidi"/>
          <w:i/>
          <w:iCs/>
          <w:color w:val="000000"/>
          <w:sz w:val="24"/>
          <w:szCs w:val="24"/>
          <w:lang w:eastAsia="zh-TW"/>
        </w:rPr>
        <w:br w:type="page"/>
      </w:r>
    </w:p>
    <w:p w:rsidR="006B7036" w:rsidRPr="00306031" w:rsidRDefault="009503C9" w:rsidP="0008251C">
      <w:pPr>
        <w:spacing w:line="480" w:lineRule="auto"/>
        <w:contextualSpacing/>
        <w:jc w:val="center"/>
        <w:rPr>
          <w:rFonts w:asciiTheme="majorBidi" w:eastAsia="PMingLiU" w:hAnsiTheme="majorBidi" w:cstheme="majorBidi"/>
          <w:b/>
          <w:bCs/>
          <w:color w:val="000000"/>
          <w:sz w:val="24"/>
          <w:szCs w:val="24"/>
          <w:lang w:eastAsia="zh-TW"/>
        </w:rPr>
      </w:pPr>
      <w:r>
        <w:rPr>
          <w:rFonts w:asciiTheme="majorBidi" w:eastAsia="PMingLiU" w:hAnsiTheme="majorBidi" w:cstheme="majorBidi"/>
          <w:b/>
          <w:bCs/>
          <w:color w:val="000000"/>
          <w:sz w:val="24"/>
          <w:szCs w:val="24"/>
          <w:lang w:eastAsia="zh-TW"/>
        </w:rPr>
        <w:lastRenderedPageBreak/>
        <w:t>1</w:t>
      </w:r>
      <w:r>
        <w:rPr>
          <w:rFonts w:asciiTheme="majorBidi" w:eastAsia="PMingLiU" w:hAnsiTheme="majorBidi" w:cstheme="majorBidi" w:hint="eastAsia"/>
          <w:b/>
          <w:bCs/>
          <w:color w:val="000000"/>
          <w:sz w:val="24"/>
          <w:szCs w:val="24"/>
          <w:lang w:eastAsia="zh-TW"/>
        </w:rPr>
        <w:t>.</w:t>
      </w:r>
      <w:r w:rsidR="002762F9" w:rsidRPr="00306031">
        <w:rPr>
          <w:rFonts w:asciiTheme="majorBidi" w:eastAsia="PMingLiU" w:hAnsiTheme="majorBidi" w:cstheme="majorBidi"/>
          <w:b/>
          <w:bCs/>
          <w:color w:val="000000"/>
          <w:sz w:val="24"/>
          <w:szCs w:val="24"/>
          <w:lang w:eastAsia="zh-TW"/>
        </w:rPr>
        <w:t xml:space="preserve">  </w:t>
      </w:r>
      <w:r w:rsidR="006B7036" w:rsidRPr="00306031">
        <w:rPr>
          <w:rFonts w:asciiTheme="majorBidi" w:eastAsia="PMingLiU" w:hAnsiTheme="majorBidi" w:cstheme="majorBidi"/>
          <w:b/>
          <w:bCs/>
          <w:color w:val="000000"/>
          <w:sz w:val="24"/>
          <w:szCs w:val="24"/>
          <w:lang w:eastAsia="zh-TW"/>
        </w:rPr>
        <w:t>Which organisations are included</w:t>
      </w:r>
      <w:r w:rsidR="00A17C9D">
        <w:rPr>
          <w:rFonts w:asciiTheme="majorBidi" w:eastAsia="PMingLiU" w:hAnsiTheme="majorBidi" w:cstheme="majorBidi"/>
          <w:b/>
          <w:bCs/>
          <w:color w:val="000000"/>
          <w:sz w:val="24"/>
          <w:szCs w:val="24"/>
          <w:lang w:eastAsia="zh-TW"/>
        </w:rPr>
        <w:t xml:space="preserve"> in the analysis</w:t>
      </w:r>
      <w:r w:rsidR="006B7036" w:rsidRPr="00306031">
        <w:rPr>
          <w:rFonts w:asciiTheme="majorBidi" w:eastAsia="PMingLiU" w:hAnsiTheme="majorBidi" w:cstheme="majorBidi"/>
          <w:b/>
          <w:bCs/>
          <w:color w:val="000000"/>
          <w:sz w:val="24"/>
          <w:szCs w:val="24"/>
          <w:lang w:eastAsia="zh-TW"/>
        </w:rPr>
        <w:t>?</w:t>
      </w:r>
    </w:p>
    <w:p w:rsidR="00546DEE" w:rsidRDefault="00546DEE" w:rsidP="0008251C">
      <w:pPr>
        <w:spacing w:line="480" w:lineRule="auto"/>
        <w:contextualSpacing/>
        <w:jc w:val="both"/>
        <w:rPr>
          <w:rFonts w:asciiTheme="majorBidi" w:eastAsia="PMingLiU" w:hAnsiTheme="majorBidi" w:cstheme="majorBidi"/>
          <w:color w:val="000000"/>
          <w:sz w:val="24"/>
          <w:szCs w:val="24"/>
          <w:lang w:eastAsia="zh-TW"/>
        </w:rPr>
      </w:pPr>
    </w:p>
    <w:p w:rsidR="00681CA3" w:rsidRPr="00306031" w:rsidRDefault="00CD7B26" w:rsidP="0008251C">
      <w:pPr>
        <w:spacing w:line="480" w:lineRule="auto"/>
        <w:contextualSpacing/>
        <w:jc w:val="both"/>
        <w:rPr>
          <w:rFonts w:asciiTheme="majorBidi" w:eastAsia="PMingLiU" w:hAnsiTheme="majorBidi" w:cstheme="majorBidi"/>
          <w:color w:val="000000"/>
          <w:sz w:val="24"/>
          <w:szCs w:val="24"/>
          <w:lang w:eastAsia="zh-TW"/>
        </w:rPr>
      </w:pPr>
      <w:r w:rsidRPr="00306031">
        <w:rPr>
          <w:rFonts w:asciiTheme="majorBidi" w:eastAsia="PMingLiU" w:hAnsiTheme="majorBidi" w:cstheme="majorBidi"/>
          <w:color w:val="000000"/>
          <w:sz w:val="24"/>
          <w:szCs w:val="24"/>
          <w:lang w:eastAsia="zh-TW"/>
        </w:rPr>
        <w:t xml:space="preserve">We start with information provided in a series of files provided by the </w:t>
      </w:r>
      <w:r w:rsidR="00130EA9" w:rsidRPr="00306031">
        <w:rPr>
          <w:rFonts w:asciiTheme="majorBidi" w:eastAsia="PMingLiU" w:hAnsiTheme="majorBidi" w:cstheme="majorBidi"/>
          <w:color w:val="000000"/>
          <w:sz w:val="24"/>
          <w:szCs w:val="24"/>
          <w:lang w:eastAsia="zh-TW"/>
        </w:rPr>
        <w:t>Charity Commission</w:t>
      </w:r>
      <w:r w:rsidRPr="00306031">
        <w:rPr>
          <w:rFonts w:asciiTheme="majorBidi" w:eastAsia="PMingLiU" w:hAnsiTheme="majorBidi" w:cstheme="majorBidi"/>
          <w:color w:val="000000"/>
          <w:sz w:val="24"/>
          <w:szCs w:val="24"/>
          <w:lang w:eastAsia="zh-TW"/>
        </w:rPr>
        <w:t xml:space="preserve"> of England and Wales (CC), based on their</w:t>
      </w:r>
      <w:r w:rsidR="00130EA9" w:rsidRPr="00306031">
        <w:rPr>
          <w:rFonts w:asciiTheme="majorBidi" w:eastAsia="PMingLiU" w:hAnsiTheme="majorBidi" w:cstheme="majorBidi"/>
          <w:color w:val="000000"/>
          <w:sz w:val="24"/>
          <w:szCs w:val="24"/>
          <w:lang w:eastAsia="zh-TW"/>
        </w:rPr>
        <w:t xml:space="preserve"> Register</w:t>
      </w:r>
      <w:r w:rsidRPr="00306031">
        <w:rPr>
          <w:rFonts w:asciiTheme="majorBidi" w:eastAsia="PMingLiU" w:hAnsiTheme="majorBidi" w:cstheme="majorBidi"/>
          <w:color w:val="000000"/>
          <w:sz w:val="24"/>
          <w:szCs w:val="24"/>
          <w:lang w:eastAsia="zh-TW"/>
        </w:rPr>
        <w:t xml:space="preserve"> of Charities</w:t>
      </w:r>
      <w:r w:rsidR="00130EA9" w:rsidRPr="00306031">
        <w:rPr>
          <w:rFonts w:asciiTheme="majorBidi" w:eastAsia="PMingLiU" w:hAnsiTheme="majorBidi" w:cstheme="majorBidi"/>
          <w:color w:val="000000"/>
          <w:sz w:val="24"/>
          <w:szCs w:val="24"/>
          <w:lang w:eastAsia="zh-TW"/>
        </w:rPr>
        <w:t xml:space="preserve">.  </w:t>
      </w:r>
      <w:r w:rsidR="00324A9B" w:rsidRPr="00306031">
        <w:rPr>
          <w:rFonts w:asciiTheme="majorBidi" w:eastAsia="PMingLiU" w:hAnsiTheme="majorBidi" w:cstheme="majorBidi"/>
          <w:color w:val="000000"/>
          <w:sz w:val="24"/>
          <w:szCs w:val="24"/>
          <w:lang w:eastAsia="zh-TW"/>
        </w:rPr>
        <w:t xml:space="preserve">Note that </w:t>
      </w:r>
      <w:r w:rsidR="00681CA3" w:rsidRPr="00306031">
        <w:rPr>
          <w:rFonts w:asciiTheme="majorBidi" w:eastAsia="PMingLiU" w:hAnsiTheme="majorBidi" w:cstheme="majorBidi"/>
          <w:color w:val="000000"/>
          <w:sz w:val="24"/>
          <w:szCs w:val="24"/>
          <w:lang w:eastAsia="zh-TW"/>
        </w:rPr>
        <w:t>the Charity Commission Register</w:t>
      </w:r>
      <w:r w:rsidR="00130EA9" w:rsidRPr="00306031">
        <w:rPr>
          <w:rFonts w:asciiTheme="majorBidi" w:eastAsia="PMingLiU" w:hAnsiTheme="majorBidi" w:cstheme="majorBidi"/>
          <w:color w:val="000000"/>
          <w:sz w:val="24"/>
          <w:szCs w:val="24"/>
          <w:lang w:eastAsia="zh-TW"/>
        </w:rPr>
        <w:t xml:space="preserve"> </w:t>
      </w:r>
      <w:r w:rsidR="00681CA3" w:rsidRPr="00306031">
        <w:rPr>
          <w:rFonts w:asciiTheme="majorBidi" w:eastAsia="PMingLiU" w:hAnsiTheme="majorBidi" w:cstheme="majorBidi"/>
          <w:color w:val="000000"/>
          <w:sz w:val="24"/>
          <w:szCs w:val="24"/>
          <w:lang w:eastAsia="zh-TW"/>
        </w:rPr>
        <w:t>does not encompass:</w:t>
      </w:r>
    </w:p>
    <w:p w:rsidR="00681CA3" w:rsidRPr="00306031" w:rsidRDefault="00681CA3" w:rsidP="0008251C">
      <w:pPr>
        <w:pStyle w:val="ListParagraph"/>
        <w:numPr>
          <w:ilvl w:val="0"/>
          <w:numId w:val="4"/>
        </w:numPr>
        <w:spacing w:line="480" w:lineRule="auto"/>
        <w:jc w:val="both"/>
        <w:rPr>
          <w:rFonts w:asciiTheme="majorBidi" w:eastAsia="PMingLiU" w:hAnsiTheme="majorBidi" w:cstheme="majorBidi"/>
          <w:color w:val="000000"/>
          <w:sz w:val="24"/>
          <w:szCs w:val="24"/>
          <w:lang w:eastAsia="zh-TW"/>
        </w:rPr>
      </w:pPr>
      <w:r w:rsidRPr="00306031">
        <w:rPr>
          <w:rFonts w:asciiTheme="majorBidi" w:hAnsiTheme="majorBidi" w:cstheme="majorBidi"/>
          <w:color w:val="000000"/>
          <w:sz w:val="24"/>
          <w:szCs w:val="24"/>
        </w:rPr>
        <w:t>Charities that are `exempted' from the CC's</w:t>
      </w:r>
      <w:r w:rsidRPr="00306031">
        <w:rPr>
          <w:rFonts w:asciiTheme="majorBidi" w:eastAsia="PMingLiU" w:hAnsiTheme="majorBidi" w:cstheme="majorBidi"/>
          <w:color w:val="000000"/>
          <w:sz w:val="24"/>
          <w:szCs w:val="24"/>
          <w:lang w:eastAsia="zh-TW"/>
        </w:rPr>
        <w:t xml:space="preserve"> </w:t>
      </w:r>
      <w:r w:rsidRPr="00306031">
        <w:rPr>
          <w:rFonts w:asciiTheme="majorBidi" w:hAnsiTheme="majorBidi" w:cstheme="majorBidi"/>
          <w:color w:val="000000"/>
          <w:sz w:val="24"/>
          <w:szCs w:val="24"/>
        </w:rPr>
        <w:t>jurisdiction, including further and higher education institutions; and c</w:t>
      </w:r>
      <w:r w:rsidRPr="00306031">
        <w:rPr>
          <w:rFonts w:asciiTheme="majorBidi" w:eastAsia="PMingLiU" w:hAnsiTheme="majorBidi" w:cstheme="majorBidi"/>
          <w:color w:val="000000"/>
          <w:sz w:val="24"/>
          <w:szCs w:val="24"/>
          <w:lang w:eastAsia="zh-TW"/>
        </w:rPr>
        <w:t>harities that</w:t>
      </w:r>
      <w:r w:rsidRPr="00306031">
        <w:rPr>
          <w:rFonts w:asciiTheme="majorBidi" w:hAnsiTheme="majorBidi" w:cstheme="majorBidi"/>
          <w:color w:val="000000"/>
          <w:sz w:val="24"/>
          <w:szCs w:val="24"/>
        </w:rPr>
        <w:t xml:space="preserve"> fa</w:t>
      </w:r>
      <w:r w:rsidR="004467C1" w:rsidRPr="00306031">
        <w:rPr>
          <w:rFonts w:asciiTheme="majorBidi" w:hAnsiTheme="majorBidi" w:cstheme="majorBidi"/>
          <w:color w:val="000000"/>
          <w:sz w:val="24"/>
          <w:szCs w:val="24"/>
        </w:rPr>
        <w:t>ll within the CC's jurisdiction but</w:t>
      </w:r>
      <w:r w:rsidRPr="00306031">
        <w:rPr>
          <w:rFonts w:asciiTheme="majorBidi" w:eastAsia="PMingLiU" w:hAnsiTheme="majorBidi" w:cstheme="majorBidi"/>
          <w:color w:val="000000"/>
          <w:sz w:val="24"/>
          <w:szCs w:val="24"/>
          <w:lang w:eastAsia="zh-TW"/>
        </w:rPr>
        <w:t xml:space="preserve"> </w:t>
      </w:r>
      <w:r w:rsidRPr="00306031">
        <w:rPr>
          <w:rFonts w:asciiTheme="majorBidi" w:hAnsiTheme="majorBidi" w:cstheme="majorBidi"/>
          <w:color w:val="000000"/>
          <w:sz w:val="24"/>
          <w:szCs w:val="24"/>
        </w:rPr>
        <w:t>are `excepted' from registration</w:t>
      </w:r>
      <w:r w:rsidRPr="00306031">
        <w:rPr>
          <w:rFonts w:asciiTheme="majorBidi" w:eastAsia="PMingLiU" w:hAnsiTheme="majorBidi" w:cstheme="majorBidi"/>
          <w:color w:val="000000"/>
          <w:sz w:val="24"/>
          <w:szCs w:val="24"/>
          <w:lang w:eastAsia="zh-TW"/>
        </w:rPr>
        <w:t>, including places of worship.</w:t>
      </w:r>
    </w:p>
    <w:p w:rsidR="004467C1" w:rsidRPr="00306031" w:rsidRDefault="004467C1" w:rsidP="0008251C">
      <w:pPr>
        <w:pStyle w:val="ListParagraph"/>
        <w:numPr>
          <w:ilvl w:val="0"/>
          <w:numId w:val="4"/>
        </w:numPr>
        <w:spacing w:line="480" w:lineRule="auto"/>
        <w:jc w:val="both"/>
        <w:rPr>
          <w:rFonts w:asciiTheme="majorBidi" w:eastAsia="PMingLiU" w:hAnsiTheme="majorBidi" w:cstheme="majorBidi"/>
          <w:color w:val="000000"/>
          <w:sz w:val="24"/>
          <w:szCs w:val="24"/>
          <w:lang w:eastAsia="zh-TW"/>
        </w:rPr>
      </w:pPr>
      <w:r w:rsidRPr="00306031">
        <w:rPr>
          <w:rFonts w:asciiTheme="majorBidi" w:hAnsiTheme="majorBidi" w:cstheme="majorBidi"/>
          <w:sz w:val="24"/>
          <w:szCs w:val="24"/>
        </w:rPr>
        <w:t>Charities registered in Scotland or Northern Ireland, and not with the Charity Commission in England and Wales.</w:t>
      </w:r>
    </w:p>
    <w:p w:rsidR="00324A9B" w:rsidRPr="00306031" w:rsidRDefault="00681CA3" w:rsidP="0008251C">
      <w:pPr>
        <w:pStyle w:val="ListParagraph"/>
        <w:numPr>
          <w:ilvl w:val="0"/>
          <w:numId w:val="4"/>
        </w:numPr>
        <w:spacing w:line="480" w:lineRule="auto"/>
        <w:jc w:val="both"/>
        <w:rPr>
          <w:rFonts w:asciiTheme="majorBidi" w:eastAsia="PMingLiU" w:hAnsiTheme="majorBidi" w:cstheme="majorBidi"/>
          <w:color w:val="000000"/>
          <w:sz w:val="24"/>
          <w:szCs w:val="24"/>
          <w:lang w:eastAsia="zh-TW"/>
        </w:rPr>
      </w:pPr>
      <w:r w:rsidRPr="00306031">
        <w:rPr>
          <w:rFonts w:asciiTheme="majorBidi" w:hAnsiTheme="majorBidi" w:cstheme="majorBidi"/>
          <w:color w:val="000000"/>
          <w:sz w:val="24"/>
          <w:szCs w:val="24"/>
        </w:rPr>
        <w:t>Financial information on subsidiary, group or constituent charities,</w:t>
      </w:r>
      <w:r w:rsidRPr="00306031">
        <w:rPr>
          <w:rFonts w:asciiTheme="majorBidi" w:eastAsia="PMingLiU" w:hAnsiTheme="majorBidi" w:cstheme="majorBidi"/>
          <w:color w:val="000000"/>
          <w:sz w:val="24"/>
          <w:szCs w:val="24"/>
          <w:lang w:eastAsia="zh-TW"/>
        </w:rPr>
        <w:t xml:space="preserve"> which </w:t>
      </w:r>
      <w:r w:rsidRPr="00306031">
        <w:rPr>
          <w:rFonts w:asciiTheme="majorBidi" w:hAnsiTheme="majorBidi" w:cstheme="majorBidi"/>
          <w:color w:val="000000"/>
          <w:sz w:val="24"/>
          <w:szCs w:val="24"/>
        </w:rPr>
        <w:t>are each linked to a ‘main’ charity for administrative purposes but do not report</w:t>
      </w:r>
      <w:r w:rsidRPr="00306031">
        <w:rPr>
          <w:rFonts w:asciiTheme="majorBidi" w:eastAsia="PMingLiU" w:hAnsiTheme="majorBidi" w:cstheme="majorBidi"/>
          <w:color w:val="000000"/>
          <w:sz w:val="24"/>
          <w:szCs w:val="24"/>
          <w:lang w:eastAsia="zh-TW"/>
        </w:rPr>
        <w:t xml:space="preserve"> fi</w:t>
      </w:r>
      <w:r w:rsidRPr="00306031">
        <w:rPr>
          <w:rFonts w:asciiTheme="majorBidi" w:hAnsiTheme="majorBidi" w:cstheme="majorBidi"/>
          <w:color w:val="000000"/>
          <w:sz w:val="24"/>
          <w:szCs w:val="24"/>
        </w:rPr>
        <w:t xml:space="preserve">nancial results in their own right. </w:t>
      </w:r>
    </w:p>
    <w:p w:rsidR="00C101C6" w:rsidRPr="00AD3E9E" w:rsidRDefault="00681CA3" w:rsidP="00301BDC">
      <w:pPr>
        <w:pStyle w:val="ListParagraph"/>
        <w:numPr>
          <w:ilvl w:val="0"/>
          <w:numId w:val="4"/>
        </w:numPr>
        <w:spacing w:line="480" w:lineRule="auto"/>
        <w:jc w:val="both"/>
        <w:rPr>
          <w:rFonts w:asciiTheme="majorBidi" w:eastAsia="PMingLiU" w:hAnsiTheme="majorBidi" w:cstheme="majorBidi"/>
          <w:i/>
          <w:iCs/>
          <w:color w:val="000000"/>
          <w:sz w:val="24"/>
          <w:szCs w:val="24"/>
          <w:lang w:eastAsia="zh-TW"/>
        </w:rPr>
      </w:pPr>
      <w:r w:rsidRPr="00AD3E9E">
        <w:rPr>
          <w:rFonts w:asciiTheme="majorBidi" w:hAnsiTheme="majorBidi" w:cstheme="majorBidi"/>
          <w:color w:val="000000"/>
          <w:sz w:val="24"/>
          <w:szCs w:val="24"/>
        </w:rPr>
        <w:t>N</w:t>
      </w:r>
      <w:r w:rsidR="000220A6" w:rsidRPr="00AD3E9E">
        <w:rPr>
          <w:rFonts w:asciiTheme="majorBidi" w:hAnsiTheme="majorBidi" w:cstheme="majorBidi"/>
          <w:color w:val="000000"/>
          <w:sz w:val="24"/>
          <w:szCs w:val="24"/>
        </w:rPr>
        <w:t xml:space="preserve">on-charitable </w:t>
      </w:r>
      <w:r w:rsidR="00A0155B" w:rsidRPr="00AD3E9E">
        <w:rPr>
          <w:rFonts w:asciiTheme="majorBidi" w:eastAsia="PMingLiU" w:hAnsiTheme="majorBidi" w:cstheme="majorBidi" w:hint="eastAsia"/>
          <w:color w:val="000000"/>
          <w:sz w:val="24"/>
          <w:szCs w:val="24"/>
          <w:lang w:eastAsia="zh-TW"/>
        </w:rPr>
        <w:t xml:space="preserve">third sector / </w:t>
      </w:r>
      <w:r w:rsidR="000220A6" w:rsidRPr="00AD3E9E">
        <w:rPr>
          <w:rFonts w:asciiTheme="majorBidi" w:hAnsiTheme="majorBidi" w:cstheme="majorBidi"/>
          <w:color w:val="000000"/>
          <w:sz w:val="24"/>
          <w:szCs w:val="24"/>
        </w:rPr>
        <w:t>civil</w:t>
      </w:r>
      <w:r w:rsidR="006A1F04" w:rsidRPr="00AD3E9E">
        <w:rPr>
          <w:rFonts w:asciiTheme="majorBidi" w:eastAsia="PMingLiU" w:hAnsiTheme="majorBidi" w:cstheme="majorBidi"/>
          <w:color w:val="000000"/>
          <w:sz w:val="24"/>
          <w:szCs w:val="24"/>
          <w:lang w:eastAsia="zh-TW"/>
        </w:rPr>
        <w:t xml:space="preserve"> </w:t>
      </w:r>
      <w:r w:rsidR="000220A6" w:rsidRPr="00AD3E9E">
        <w:rPr>
          <w:rFonts w:asciiTheme="majorBidi" w:hAnsiTheme="majorBidi" w:cstheme="majorBidi"/>
          <w:color w:val="000000"/>
          <w:sz w:val="24"/>
          <w:szCs w:val="24"/>
        </w:rPr>
        <w:t>society organisations</w:t>
      </w:r>
      <w:r w:rsidRPr="00AD3E9E">
        <w:rPr>
          <w:rFonts w:asciiTheme="majorBidi" w:hAnsiTheme="majorBidi" w:cstheme="majorBidi"/>
          <w:color w:val="000000"/>
          <w:sz w:val="24"/>
          <w:szCs w:val="24"/>
        </w:rPr>
        <w:t xml:space="preserve">.  </w:t>
      </w:r>
      <w:r w:rsidR="00AD3E9E" w:rsidRPr="00AD3E9E">
        <w:rPr>
          <w:rFonts w:asciiTheme="majorBidi" w:hAnsiTheme="majorBidi" w:cstheme="majorBidi"/>
          <w:color w:val="000000"/>
          <w:sz w:val="24"/>
          <w:szCs w:val="24"/>
        </w:rPr>
        <w:t>T</w:t>
      </w:r>
      <w:r w:rsidR="0066793C" w:rsidRPr="00AD3E9E">
        <w:rPr>
          <w:rFonts w:asciiTheme="majorBidi" w:eastAsia="PMingLiU" w:hAnsiTheme="majorBidi" w:cstheme="majorBidi"/>
          <w:color w:val="000000"/>
          <w:sz w:val="24"/>
          <w:szCs w:val="24"/>
          <w:lang w:eastAsia="zh-TW"/>
        </w:rPr>
        <w:t xml:space="preserve">he National Council of Voluntary </w:t>
      </w:r>
      <w:r w:rsidR="001F3C1A" w:rsidRPr="00AD3E9E">
        <w:rPr>
          <w:rFonts w:asciiTheme="majorBidi" w:eastAsia="PMingLiU" w:hAnsiTheme="majorBidi" w:cstheme="majorBidi"/>
          <w:color w:val="000000"/>
          <w:sz w:val="24"/>
          <w:szCs w:val="24"/>
          <w:lang w:eastAsia="zh-TW"/>
        </w:rPr>
        <w:t>Organisation</w:t>
      </w:r>
      <w:r w:rsidR="0066793C" w:rsidRPr="00AD3E9E">
        <w:rPr>
          <w:rFonts w:asciiTheme="majorBidi" w:eastAsia="PMingLiU" w:hAnsiTheme="majorBidi" w:cstheme="majorBidi"/>
          <w:color w:val="000000"/>
          <w:sz w:val="24"/>
          <w:szCs w:val="24"/>
          <w:lang w:eastAsia="zh-TW"/>
        </w:rPr>
        <w:t xml:space="preserve">s (NCVO) uses charitable status as a basis for identifying ‘voluntary </w:t>
      </w:r>
      <w:r w:rsidR="001F3C1A" w:rsidRPr="00AD3E9E">
        <w:rPr>
          <w:rFonts w:asciiTheme="majorBidi" w:eastAsia="PMingLiU" w:hAnsiTheme="majorBidi" w:cstheme="majorBidi"/>
          <w:color w:val="000000"/>
          <w:sz w:val="24"/>
          <w:szCs w:val="24"/>
          <w:lang w:eastAsia="zh-TW"/>
        </w:rPr>
        <w:t>organisation</w:t>
      </w:r>
      <w:r w:rsidR="0066793C" w:rsidRPr="00AD3E9E">
        <w:rPr>
          <w:rFonts w:asciiTheme="majorBidi" w:eastAsia="PMingLiU" w:hAnsiTheme="majorBidi" w:cstheme="majorBidi"/>
          <w:color w:val="000000"/>
          <w:sz w:val="24"/>
          <w:szCs w:val="24"/>
          <w:lang w:eastAsia="zh-TW"/>
        </w:rPr>
        <w:t xml:space="preserve">s’ in England and Wales </w:t>
      </w:r>
      <w:r w:rsidR="001F3C1A" w:rsidRPr="00AD3E9E">
        <w:rPr>
          <w:rFonts w:asciiTheme="majorBidi" w:eastAsia="PMingLiU" w:hAnsiTheme="majorBidi" w:cstheme="majorBidi"/>
          <w:color w:val="000000"/>
          <w:sz w:val="24"/>
          <w:szCs w:val="24"/>
          <w:lang w:eastAsia="zh-TW"/>
        </w:rPr>
        <w:t>and</w:t>
      </w:r>
      <w:r w:rsidR="001F3C1A" w:rsidRPr="00AD3E9E">
        <w:rPr>
          <w:rFonts w:asciiTheme="majorBidi" w:eastAsia="PMingLiU" w:hAnsiTheme="majorBidi" w:cstheme="majorBidi"/>
          <w:sz w:val="24"/>
          <w:szCs w:val="24"/>
          <w:lang w:eastAsia="zh-TW"/>
        </w:rPr>
        <w:t xml:space="preserve"> includes</w:t>
      </w:r>
      <w:r w:rsidR="0066793C" w:rsidRPr="00AD3E9E">
        <w:rPr>
          <w:rFonts w:asciiTheme="majorBidi" w:eastAsia="PMingLiU" w:hAnsiTheme="majorBidi" w:cstheme="majorBidi"/>
          <w:sz w:val="24"/>
          <w:szCs w:val="24"/>
          <w:lang w:eastAsia="zh-TW"/>
        </w:rPr>
        <w:t xml:space="preserve"> noncharitable </w:t>
      </w:r>
      <w:r w:rsidR="001F3C1A" w:rsidRPr="00AD3E9E">
        <w:rPr>
          <w:rFonts w:asciiTheme="majorBidi" w:eastAsia="PMingLiU" w:hAnsiTheme="majorBidi" w:cstheme="majorBidi"/>
          <w:sz w:val="24"/>
          <w:szCs w:val="24"/>
          <w:lang w:eastAsia="zh-TW"/>
        </w:rPr>
        <w:t>organisation</w:t>
      </w:r>
      <w:r w:rsidR="0066793C" w:rsidRPr="00AD3E9E">
        <w:rPr>
          <w:rFonts w:asciiTheme="majorBidi" w:eastAsia="PMingLiU" w:hAnsiTheme="majorBidi" w:cstheme="majorBidi"/>
          <w:sz w:val="24"/>
          <w:szCs w:val="24"/>
          <w:lang w:eastAsia="zh-TW"/>
        </w:rPr>
        <w:t>s - like mutuals, coope</w:t>
      </w:r>
      <w:r w:rsidR="001F3C1A" w:rsidRPr="00AD3E9E">
        <w:rPr>
          <w:rFonts w:asciiTheme="majorBidi" w:eastAsia="PMingLiU" w:hAnsiTheme="majorBidi" w:cstheme="majorBidi"/>
          <w:sz w:val="24"/>
          <w:szCs w:val="24"/>
          <w:lang w:eastAsia="zh-TW"/>
        </w:rPr>
        <w:t xml:space="preserve">ratives and </w:t>
      </w:r>
      <w:r w:rsidR="00A0155B" w:rsidRPr="00AD3E9E">
        <w:rPr>
          <w:rFonts w:asciiTheme="majorBidi" w:eastAsia="PMingLiU" w:hAnsiTheme="majorBidi" w:cstheme="majorBidi" w:hint="eastAsia"/>
          <w:sz w:val="24"/>
          <w:szCs w:val="24"/>
          <w:lang w:eastAsia="zh-TW"/>
        </w:rPr>
        <w:t xml:space="preserve">noncharitable </w:t>
      </w:r>
      <w:r w:rsidR="001F3C1A" w:rsidRPr="00AD3E9E">
        <w:rPr>
          <w:rFonts w:asciiTheme="majorBidi" w:eastAsia="PMingLiU" w:hAnsiTheme="majorBidi" w:cstheme="majorBidi"/>
          <w:sz w:val="24"/>
          <w:szCs w:val="24"/>
          <w:lang w:eastAsia="zh-TW"/>
        </w:rPr>
        <w:t xml:space="preserve">social enterprises - </w:t>
      </w:r>
      <w:r w:rsidR="0066793C" w:rsidRPr="00AD3E9E">
        <w:rPr>
          <w:rFonts w:asciiTheme="majorBidi" w:eastAsia="PMingLiU" w:hAnsiTheme="majorBidi" w:cstheme="majorBidi"/>
          <w:sz w:val="24"/>
          <w:szCs w:val="24"/>
          <w:lang w:eastAsia="zh-TW"/>
        </w:rPr>
        <w:t xml:space="preserve">under the wider concept of ‘civil society </w:t>
      </w:r>
      <w:r w:rsidR="001F3C1A" w:rsidRPr="00AD3E9E">
        <w:rPr>
          <w:rFonts w:asciiTheme="majorBidi" w:eastAsia="PMingLiU" w:hAnsiTheme="majorBidi" w:cstheme="majorBidi"/>
          <w:sz w:val="24"/>
          <w:szCs w:val="24"/>
          <w:lang w:eastAsia="zh-TW"/>
        </w:rPr>
        <w:t>organisation</w:t>
      </w:r>
      <w:r w:rsidR="0066793C" w:rsidRPr="00AD3E9E">
        <w:rPr>
          <w:rFonts w:asciiTheme="majorBidi" w:eastAsia="PMingLiU" w:hAnsiTheme="majorBidi" w:cstheme="majorBidi"/>
          <w:sz w:val="24"/>
          <w:szCs w:val="24"/>
          <w:lang w:eastAsia="zh-TW"/>
        </w:rPr>
        <w:t>s’</w:t>
      </w:r>
      <w:r w:rsidR="001F3C1A" w:rsidRPr="00AD3E9E">
        <w:rPr>
          <w:rFonts w:asciiTheme="majorBidi" w:eastAsia="PMingLiU" w:hAnsiTheme="majorBidi" w:cstheme="majorBidi"/>
          <w:sz w:val="24"/>
          <w:szCs w:val="24"/>
          <w:lang w:eastAsia="zh-TW"/>
        </w:rPr>
        <w:t xml:space="preserve"> </w:t>
      </w:r>
      <w:r w:rsidR="001F3C1A" w:rsidRPr="00AD3E9E">
        <w:rPr>
          <w:rFonts w:asciiTheme="majorBidi" w:eastAsia="PMingLiU" w:hAnsiTheme="majorBidi" w:cstheme="majorBidi"/>
          <w:color w:val="000000"/>
          <w:sz w:val="24"/>
          <w:szCs w:val="24"/>
          <w:lang w:eastAsia="zh-TW"/>
        </w:rPr>
        <w:t xml:space="preserve">(Kane </w:t>
      </w:r>
      <w:r w:rsidR="001F3C1A" w:rsidRPr="00AD3E9E">
        <w:rPr>
          <w:rFonts w:asciiTheme="majorBidi" w:eastAsia="PMingLiU" w:hAnsiTheme="majorBidi" w:cstheme="majorBidi"/>
          <w:i/>
          <w:iCs/>
          <w:color w:val="000000"/>
          <w:sz w:val="24"/>
          <w:szCs w:val="24"/>
          <w:lang w:eastAsia="zh-TW"/>
        </w:rPr>
        <w:t>et al.,</w:t>
      </w:r>
      <w:r w:rsidR="001F3C1A" w:rsidRPr="00AD3E9E">
        <w:rPr>
          <w:rFonts w:asciiTheme="majorBidi" w:eastAsia="PMingLiU" w:hAnsiTheme="majorBidi" w:cstheme="majorBidi"/>
          <w:color w:val="000000"/>
          <w:sz w:val="24"/>
          <w:szCs w:val="24"/>
          <w:lang w:eastAsia="zh-TW"/>
        </w:rPr>
        <w:t xml:space="preserve"> 2014)</w:t>
      </w:r>
      <w:r w:rsidR="0066793C" w:rsidRPr="00AD3E9E">
        <w:rPr>
          <w:rFonts w:asciiTheme="majorBidi" w:eastAsia="PMingLiU" w:hAnsiTheme="majorBidi" w:cstheme="majorBidi"/>
          <w:sz w:val="24"/>
          <w:szCs w:val="24"/>
          <w:lang w:eastAsia="zh-TW"/>
        </w:rPr>
        <w:t>.</w:t>
      </w:r>
      <w:r w:rsidR="00A52F0D" w:rsidRPr="00AD3E9E">
        <w:rPr>
          <w:rFonts w:asciiTheme="majorBidi" w:eastAsia="PMingLiU" w:hAnsiTheme="majorBidi" w:cstheme="majorBidi" w:hint="eastAsia"/>
          <w:sz w:val="24"/>
          <w:szCs w:val="24"/>
          <w:lang w:eastAsia="zh-TW"/>
        </w:rPr>
        <w:t xml:space="preserve">  </w:t>
      </w:r>
      <w:r w:rsidR="00AD3E9E" w:rsidRPr="00AD3E9E">
        <w:rPr>
          <w:rFonts w:asciiTheme="majorBidi" w:eastAsia="PMingLiU" w:hAnsiTheme="majorBidi" w:cstheme="majorBidi"/>
          <w:sz w:val="24"/>
          <w:szCs w:val="24"/>
          <w:lang w:eastAsia="zh-TW"/>
        </w:rPr>
        <w:t>Note that C</w:t>
      </w:r>
      <w:r w:rsidR="00AD3E9E" w:rsidRPr="00AD3E9E">
        <w:rPr>
          <w:rFonts w:asciiTheme="majorBidi" w:eastAsia="PMingLiU" w:hAnsiTheme="majorBidi" w:cstheme="majorBidi" w:hint="eastAsia"/>
          <w:sz w:val="24"/>
          <w:szCs w:val="24"/>
          <w:lang w:eastAsia="zh-TW"/>
        </w:rPr>
        <w:t>ommunity Interest Companies (CICs)</w:t>
      </w:r>
      <w:r w:rsidR="00AD3E9E" w:rsidRPr="00AD3E9E">
        <w:rPr>
          <w:rFonts w:asciiTheme="majorBidi" w:eastAsia="PMingLiU" w:hAnsiTheme="majorBidi" w:cstheme="majorBidi"/>
          <w:sz w:val="24"/>
          <w:szCs w:val="24"/>
          <w:lang w:eastAsia="zh-TW"/>
        </w:rPr>
        <w:t xml:space="preserve">, </w:t>
      </w:r>
      <w:r w:rsidR="00AD3E9E" w:rsidRPr="00AD3E9E">
        <w:rPr>
          <w:rFonts w:asciiTheme="majorBidi" w:eastAsia="PMingLiU" w:hAnsiTheme="majorBidi" w:cstheme="majorBidi" w:hint="eastAsia"/>
          <w:sz w:val="24"/>
          <w:szCs w:val="24"/>
          <w:lang w:eastAsia="zh-TW"/>
        </w:rPr>
        <w:t>a legal form available for n</w:t>
      </w:r>
      <w:r w:rsidR="00AD3E9E" w:rsidRPr="00AD3E9E">
        <w:rPr>
          <w:rFonts w:asciiTheme="majorBidi" w:eastAsia="PMingLiU" w:hAnsiTheme="majorBidi" w:cstheme="majorBidi" w:hint="eastAsia"/>
          <w:sz w:val="24"/>
          <w:szCs w:val="24"/>
          <w:lang w:eastAsia="zh-TW"/>
        </w:rPr>
        <w:t>oncharitable social enterprises</w:t>
      </w:r>
      <w:r w:rsidR="00AD3E9E" w:rsidRPr="00AD3E9E">
        <w:rPr>
          <w:rFonts w:asciiTheme="majorBidi" w:eastAsia="PMingLiU" w:hAnsiTheme="majorBidi" w:cstheme="majorBidi"/>
          <w:sz w:val="24"/>
          <w:szCs w:val="24"/>
          <w:lang w:eastAsia="zh-TW"/>
        </w:rPr>
        <w:t>,</w:t>
      </w:r>
      <w:r w:rsidR="00AD3E9E" w:rsidRPr="00AD3E9E">
        <w:rPr>
          <w:rFonts w:asciiTheme="majorBidi" w:eastAsia="PMingLiU" w:hAnsiTheme="majorBidi" w:cstheme="majorBidi" w:hint="eastAsia"/>
          <w:sz w:val="24"/>
          <w:szCs w:val="24"/>
          <w:lang w:eastAsia="zh-TW"/>
        </w:rPr>
        <w:t xml:space="preserve"> have grown steadily in number since their introduction in 2005</w:t>
      </w:r>
      <w:r w:rsidR="00AD3E9E" w:rsidRPr="00AD3E9E">
        <w:rPr>
          <w:rFonts w:asciiTheme="majorBidi" w:eastAsia="PMingLiU" w:hAnsiTheme="majorBidi" w:cstheme="majorBidi"/>
          <w:sz w:val="24"/>
          <w:szCs w:val="24"/>
          <w:lang w:eastAsia="zh-TW"/>
        </w:rPr>
        <w:t xml:space="preserve">.  </w:t>
      </w:r>
      <w:r w:rsidR="00AD3E9E" w:rsidRPr="00AD3E9E">
        <w:rPr>
          <w:rFonts w:asciiTheme="majorBidi" w:eastAsia="PMingLiU" w:hAnsiTheme="majorBidi" w:cstheme="majorBidi"/>
          <w:sz w:val="24"/>
          <w:szCs w:val="24"/>
          <w:lang w:eastAsia="zh-TW"/>
        </w:rPr>
        <w:t xml:space="preserve">However, </w:t>
      </w:r>
      <w:r w:rsidR="00AD3E9E" w:rsidRPr="00AD3E9E">
        <w:rPr>
          <w:rFonts w:asciiTheme="majorBidi" w:eastAsia="PMingLiU" w:hAnsiTheme="majorBidi" w:cstheme="majorBidi" w:hint="eastAsia"/>
          <w:sz w:val="24"/>
          <w:szCs w:val="24"/>
          <w:lang w:eastAsia="zh-TW"/>
        </w:rPr>
        <w:t xml:space="preserve">given preexisting legal forms for social enterprises the growth of CICs does not equate to a proportionate growth of noncharitable social enterprise activity (see also Teasdale </w:t>
      </w:r>
      <w:r w:rsidR="00AD3E9E" w:rsidRPr="00AD3E9E">
        <w:rPr>
          <w:rFonts w:asciiTheme="majorBidi" w:eastAsia="PMingLiU" w:hAnsiTheme="majorBidi" w:cstheme="majorBidi" w:hint="eastAsia"/>
          <w:i/>
          <w:iCs/>
          <w:sz w:val="24"/>
          <w:szCs w:val="24"/>
          <w:lang w:eastAsia="zh-TW"/>
        </w:rPr>
        <w:t>et al</w:t>
      </w:r>
      <w:r w:rsidR="00AD3E9E" w:rsidRPr="00AD3E9E">
        <w:rPr>
          <w:rFonts w:asciiTheme="majorBidi" w:eastAsia="PMingLiU" w:hAnsiTheme="majorBidi" w:cstheme="majorBidi" w:hint="eastAsia"/>
          <w:sz w:val="24"/>
          <w:szCs w:val="24"/>
          <w:lang w:eastAsia="zh-TW"/>
        </w:rPr>
        <w:t>., 2013)</w:t>
      </w:r>
      <w:r w:rsidR="00AD3E9E" w:rsidRPr="00AD3E9E">
        <w:rPr>
          <w:rFonts w:asciiTheme="majorBidi" w:eastAsia="PMingLiU" w:hAnsiTheme="majorBidi" w:cstheme="majorBidi"/>
          <w:sz w:val="24"/>
          <w:szCs w:val="24"/>
          <w:lang w:eastAsia="zh-TW"/>
        </w:rPr>
        <w:t xml:space="preserve"> and</w:t>
      </w:r>
      <w:r w:rsidR="00AD3E9E" w:rsidRPr="00AD3E9E">
        <w:rPr>
          <w:rFonts w:asciiTheme="majorBidi" w:eastAsia="PMingLiU" w:hAnsiTheme="majorBidi" w:cstheme="majorBidi" w:hint="eastAsia"/>
          <w:sz w:val="24"/>
          <w:szCs w:val="24"/>
          <w:lang w:eastAsia="zh-TW"/>
        </w:rPr>
        <w:t xml:space="preserve"> the population of CICs remains very small in comparison to the number of charities</w:t>
      </w:r>
      <w:r w:rsidR="00AD3E9E" w:rsidRPr="00AD3E9E">
        <w:rPr>
          <w:rFonts w:asciiTheme="majorBidi" w:eastAsia="PMingLiU" w:hAnsiTheme="majorBidi" w:cstheme="majorBidi"/>
          <w:sz w:val="24"/>
          <w:szCs w:val="24"/>
          <w:lang w:eastAsia="zh-TW"/>
        </w:rPr>
        <w:t xml:space="preserve">.  </w:t>
      </w:r>
      <w:r w:rsidR="00AD3E9E" w:rsidRPr="00AD3E9E">
        <w:rPr>
          <w:rFonts w:asciiTheme="majorBidi" w:eastAsia="PMingLiU" w:hAnsiTheme="majorBidi" w:cstheme="majorBidi"/>
          <w:sz w:val="24"/>
          <w:szCs w:val="24"/>
          <w:lang w:eastAsia="zh-TW"/>
        </w:rPr>
        <w:t>Indeed</w:t>
      </w:r>
      <w:r w:rsidR="00AD3E9E" w:rsidRPr="00AD3E9E">
        <w:rPr>
          <w:rFonts w:asciiTheme="majorBidi" w:eastAsia="PMingLiU" w:hAnsiTheme="majorBidi" w:cstheme="majorBidi"/>
          <w:sz w:val="24"/>
          <w:szCs w:val="24"/>
          <w:lang w:eastAsia="zh-TW"/>
        </w:rPr>
        <w:t xml:space="preserve"> the</w:t>
      </w:r>
      <w:r w:rsidR="00AD3E9E" w:rsidRPr="00AD3E9E">
        <w:rPr>
          <w:rFonts w:asciiTheme="majorBidi" w:eastAsia="PMingLiU" w:hAnsiTheme="majorBidi" w:cstheme="majorBidi" w:hint="eastAsia"/>
          <w:sz w:val="24"/>
          <w:szCs w:val="24"/>
          <w:lang w:eastAsia="zh-TW"/>
        </w:rPr>
        <w:t xml:space="preserve"> trends</w:t>
      </w:r>
      <w:r w:rsidR="00AD3E9E" w:rsidRPr="00AD3E9E">
        <w:rPr>
          <w:rFonts w:asciiTheme="majorBidi" w:eastAsia="PMingLiU" w:hAnsiTheme="majorBidi" w:cstheme="majorBidi"/>
          <w:sz w:val="24"/>
          <w:szCs w:val="24"/>
          <w:lang w:eastAsia="zh-TW"/>
        </w:rPr>
        <w:t xml:space="preserve"> that we observe</w:t>
      </w:r>
      <w:r w:rsidR="00AD3E9E" w:rsidRPr="00AD3E9E">
        <w:rPr>
          <w:rFonts w:asciiTheme="majorBidi" w:eastAsia="PMingLiU" w:hAnsiTheme="majorBidi" w:cstheme="majorBidi" w:hint="eastAsia"/>
          <w:sz w:val="24"/>
          <w:szCs w:val="24"/>
          <w:lang w:eastAsia="zh-TW"/>
        </w:rPr>
        <w:t xml:space="preserve"> for charities </w:t>
      </w:r>
      <w:r w:rsidR="00AD3E9E" w:rsidRPr="00AD3E9E">
        <w:rPr>
          <w:rFonts w:asciiTheme="majorBidi" w:eastAsia="PMingLiU" w:hAnsiTheme="majorBidi" w:cstheme="majorBidi"/>
          <w:sz w:val="24"/>
          <w:szCs w:val="24"/>
          <w:lang w:eastAsia="zh-TW"/>
        </w:rPr>
        <w:t xml:space="preserve">in this paper </w:t>
      </w:r>
      <w:r w:rsidR="00AD3E9E" w:rsidRPr="00AD3E9E">
        <w:rPr>
          <w:rFonts w:asciiTheme="majorBidi" w:eastAsia="PMingLiU" w:hAnsiTheme="majorBidi" w:cstheme="majorBidi" w:hint="eastAsia"/>
          <w:sz w:val="24"/>
          <w:szCs w:val="24"/>
          <w:lang w:eastAsia="zh-TW"/>
        </w:rPr>
        <w:t xml:space="preserve">do not simply reflect </w:t>
      </w:r>
      <w:r w:rsidR="00AD3E9E" w:rsidRPr="00AD3E9E">
        <w:rPr>
          <w:rFonts w:asciiTheme="majorBidi" w:eastAsia="PMingLiU" w:hAnsiTheme="majorBidi" w:cstheme="majorBidi"/>
          <w:sz w:val="24"/>
          <w:szCs w:val="24"/>
          <w:lang w:eastAsia="zh-TW"/>
        </w:rPr>
        <w:t>‘</w:t>
      </w:r>
      <w:r w:rsidR="00AD3E9E" w:rsidRPr="00AD3E9E">
        <w:rPr>
          <w:rFonts w:asciiTheme="majorBidi" w:eastAsia="PMingLiU" w:hAnsiTheme="majorBidi" w:cstheme="majorBidi" w:hint="eastAsia"/>
          <w:sz w:val="24"/>
          <w:szCs w:val="24"/>
          <w:lang w:eastAsia="zh-TW"/>
        </w:rPr>
        <w:t>compositional</w:t>
      </w:r>
      <w:r w:rsidR="00AD3E9E" w:rsidRPr="00AD3E9E">
        <w:rPr>
          <w:rFonts w:asciiTheme="majorBidi" w:eastAsia="PMingLiU" w:hAnsiTheme="majorBidi" w:cstheme="majorBidi"/>
          <w:sz w:val="24"/>
          <w:szCs w:val="24"/>
          <w:lang w:eastAsia="zh-TW"/>
        </w:rPr>
        <w:t>’</w:t>
      </w:r>
      <w:r w:rsidR="00AD3E9E" w:rsidRPr="00AD3E9E">
        <w:rPr>
          <w:rFonts w:asciiTheme="majorBidi" w:eastAsia="PMingLiU" w:hAnsiTheme="majorBidi" w:cstheme="majorBidi" w:hint="eastAsia"/>
          <w:sz w:val="24"/>
          <w:szCs w:val="24"/>
          <w:lang w:eastAsia="zh-TW"/>
        </w:rPr>
        <w:t xml:space="preserve"> changes - associated with formerly </w:t>
      </w:r>
      <w:r w:rsidR="00AD3E9E" w:rsidRPr="00AD3E9E">
        <w:rPr>
          <w:rFonts w:asciiTheme="majorBidi" w:eastAsia="PMingLiU" w:hAnsiTheme="majorBidi" w:cstheme="majorBidi" w:hint="eastAsia"/>
          <w:sz w:val="24"/>
          <w:szCs w:val="24"/>
          <w:lang w:eastAsia="zh-TW"/>
        </w:rPr>
        <w:lastRenderedPageBreak/>
        <w:t>charitable activity now being undertaken under new legal forms of third sector organisation</w:t>
      </w:r>
      <w:r w:rsidR="00301BDC">
        <w:rPr>
          <w:rFonts w:asciiTheme="majorBidi" w:eastAsia="PMingLiU" w:hAnsiTheme="majorBidi" w:cstheme="majorBidi"/>
          <w:sz w:val="24"/>
          <w:szCs w:val="24"/>
          <w:lang w:eastAsia="zh-TW"/>
        </w:rPr>
        <w:t xml:space="preserve">. </w:t>
      </w:r>
      <w:r w:rsidR="000F454E">
        <w:rPr>
          <w:rFonts w:asciiTheme="majorBidi" w:eastAsia="PMingLiU" w:hAnsiTheme="majorBidi" w:cstheme="majorBidi"/>
          <w:sz w:val="24"/>
          <w:szCs w:val="24"/>
          <w:lang w:eastAsia="zh-TW"/>
        </w:rPr>
        <w:t xml:space="preserve"> </w:t>
      </w:r>
      <w:r w:rsidR="00301BDC">
        <w:rPr>
          <w:rFonts w:asciiTheme="majorBidi" w:eastAsia="PMingLiU" w:hAnsiTheme="majorBidi" w:cstheme="majorBidi"/>
          <w:sz w:val="24"/>
          <w:szCs w:val="24"/>
          <w:lang w:eastAsia="zh-TW"/>
        </w:rPr>
        <w:t>Instead</w:t>
      </w:r>
      <w:r w:rsidR="00AD3E9E" w:rsidRPr="00AD3E9E">
        <w:rPr>
          <w:rFonts w:asciiTheme="majorBidi" w:eastAsia="PMingLiU" w:hAnsiTheme="majorBidi" w:cstheme="majorBidi"/>
          <w:sz w:val="24"/>
          <w:szCs w:val="24"/>
          <w:lang w:eastAsia="zh-TW"/>
        </w:rPr>
        <w:t xml:space="preserve"> </w:t>
      </w:r>
      <w:r w:rsidR="00AD3E9E" w:rsidRPr="00AD3E9E">
        <w:rPr>
          <w:rFonts w:asciiTheme="majorBidi" w:eastAsia="PMingLiU" w:hAnsiTheme="majorBidi" w:cstheme="majorBidi" w:hint="eastAsia"/>
          <w:sz w:val="24"/>
          <w:szCs w:val="24"/>
          <w:lang w:eastAsia="zh-TW"/>
        </w:rPr>
        <w:t xml:space="preserve">the distinctive </w:t>
      </w:r>
      <w:r w:rsidR="00AD3E9E" w:rsidRPr="00AD3E9E">
        <w:rPr>
          <w:rFonts w:asciiTheme="majorBidi" w:eastAsia="PMingLiU" w:hAnsiTheme="majorBidi" w:cstheme="majorBidi"/>
          <w:sz w:val="24"/>
          <w:szCs w:val="24"/>
          <w:lang w:eastAsia="zh-TW"/>
        </w:rPr>
        <w:t>declines</w:t>
      </w:r>
      <w:r w:rsidR="00AD3E9E" w:rsidRPr="00AD3E9E">
        <w:rPr>
          <w:rFonts w:asciiTheme="majorBidi" w:eastAsia="PMingLiU" w:hAnsiTheme="majorBidi" w:cstheme="majorBidi" w:hint="eastAsia"/>
          <w:sz w:val="24"/>
          <w:szCs w:val="24"/>
          <w:lang w:eastAsia="zh-TW"/>
        </w:rPr>
        <w:t xml:space="preserve"> in charities</w:t>
      </w:r>
      <w:r w:rsidR="00AD3E9E" w:rsidRPr="00AD3E9E">
        <w:rPr>
          <w:rFonts w:asciiTheme="majorBidi" w:eastAsia="PMingLiU" w:hAnsiTheme="majorBidi" w:cstheme="majorBidi"/>
          <w:sz w:val="24"/>
          <w:szCs w:val="24"/>
          <w:lang w:eastAsia="zh-TW"/>
        </w:rPr>
        <w:t>’</w:t>
      </w:r>
      <w:r w:rsidR="00AD3E9E" w:rsidRPr="00AD3E9E">
        <w:rPr>
          <w:rFonts w:asciiTheme="majorBidi" w:eastAsia="PMingLiU" w:hAnsiTheme="majorBidi" w:cstheme="majorBidi" w:hint="eastAsia"/>
          <w:sz w:val="24"/>
          <w:szCs w:val="24"/>
          <w:lang w:eastAsia="zh-TW"/>
        </w:rPr>
        <w:t xml:space="preserve"> income</w:t>
      </w:r>
      <w:r w:rsidR="00301BDC">
        <w:rPr>
          <w:rFonts w:asciiTheme="majorBidi" w:eastAsia="PMingLiU" w:hAnsiTheme="majorBidi" w:cstheme="majorBidi"/>
          <w:sz w:val="24"/>
          <w:szCs w:val="24"/>
          <w:lang w:eastAsia="zh-TW"/>
        </w:rPr>
        <w:t>, which are</w:t>
      </w:r>
      <w:r w:rsidR="00AD3E9E" w:rsidRPr="00AD3E9E">
        <w:rPr>
          <w:rFonts w:asciiTheme="majorBidi" w:eastAsia="PMingLiU" w:hAnsiTheme="majorBidi" w:cstheme="majorBidi" w:hint="eastAsia"/>
          <w:sz w:val="24"/>
          <w:szCs w:val="24"/>
          <w:lang w:eastAsia="zh-TW"/>
        </w:rPr>
        <w:t xml:space="preserve"> evident in particular years</w:t>
      </w:r>
      <w:r w:rsidR="00301BDC">
        <w:rPr>
          <w:rFonts w:asciiTheme="majorBidi" w:eastAsia="PMingLiU" w:hAnsiTheme="majorBidi" w:cstheme="majorBidi"/>
          <w:sz w:val="24"/>
          <w:szCs w:val="24"/>
          <w:lang w:eastAsia="zh-TW"/>
        </w:rPr>
        <w:t>,</w:t>
      </w:r>
      <w:r w:rsidR="00AD3E9E" w:rsidRPr="00AD3E9E">
        <w:rPr>
          <w:rFonts w:asciiTheme="majorBidi" w:eastAsia="PMingLiU" w:hAnsiTheme="majorBidi" w:cstheme="majorBidi" w:hint="eastAsia"/>
          <w:sz w:val="24"/>
          <w:szCs w:val="24"/>
          <w:lang w:eastAsia="zh-TW"/>
        </w:rPr>
        <w:t xml:space="preserve"> are consistent with the importance of recession and austerity rather than</w:t>
      </w:r>
      <w:r w:rsidR="00AD3E9E" w:rsidRPr="00AD3E9E">
        <w:rPr>
          <w:rFonts w:asciiTheme="majorBidi" w:eastAsia="PMingLiU" w:hAnsiTheme="majorBidi" w:cstheme="majorBidi"/>
          <w:sz w:val="24"/>
          <w:szCs w:val="24"/>
          <w:lang w:eastAsia="zh-TW"/>
        </w:rPr>
        <w:t xml:space="preserve"> simply</w:t>
      </w:r>
      <w:r w:rsidR="00AD3E9E" w:rsidRPr="00AD3E9E">
        <w:rPr>
          <w:rFonts w:asciiTheme="majorBidi" w:eastAsia="PMingLiU" w:hAnsiTheme="majorBidi" w:cstheme="majorBidi" w:hint="eastAsia"/>
          <w:sz w:val="24"/>
          <w:szCs w:val="24"/>
          <w:lang w:eastAsia="zh-TW"/>
        </w:rPr>
        <w:t xml:space="preserve"> </w:t>
      </w:r>
      <w:r w:rsidR="00AD3E9E" w:rsidRPr="00AD3E9E">
        <w:rPr>
          <w:rFonts w:asciiTheme="majorBidi" w:eastAsia="PMingLiU" w:hAnsiTheme="majorBidi" w:cstheme="majorBidi"/>
          <w:sz w:val="24"/>
          <w:szCs w:val="24"/>
          <w:lang w:eastAsia="zh-TW"/>
        </w:rPr>
        <w:t>‘</w:t>
      </w:r>
      <w:r w:rsidR="00AD3E9E" w:rsidRPr="00AD3E9E">
        <w:rPr>
          <w:rFonts w:asciiTheme="majorBidi" w:eastAsia="PMingLiU" w:hAnsiTheme="majorBidi" w:cstheme="majorBidi" w:hint="eastAsia"/>
          <w:sz w:val="24"/>
          <w:szCs w:val="24"/>
          <w:lang w:eastAsia="zh-TW"/>
        </w:rPr>
        <w:t>compositional</w:t>
      </w:r>
      <w:r w:rsidR="00AD3E9E" w:rsidRPr="00AD3E9E">
        <w:rPr>
          <w:rFonts w:asciiTheme="majorBidi" w:eastAsia="PMingLiU" w:hAnsiTheme="majorBidi" w:cstheme="majorBidi"/>
          <w:sz w:val="24"/>
          <w:szCs w:val="24"/>
          <w:lang w:eastAsia="zh-TW"/>
        </w:rPr>
        <w:t>’</w:t>
      </w:r>
      <w:r w:rsidR="00AD3E9E" w:rsidRPr="00AD3E9E">
        <w:rPr>
          <w:rFonts w:asciiTheme="majorBidi" w:eastAsia="PMingLiU" w:hAnsiTheme="majorBidi" w:cstheme="majorBidi" w:hint="eastAsia"/>
          <w:sz w:val="24"/>
          <w:szCs w:val="24"/>
          <w:lang w:eastAsia="zh-TW"/>
        </w:rPr>
        <w:t xml:space="preserve"> changes</w:t>
      </w:r>
      <w:r w:rsidR="00AD3E9E" w:rsidRPr="00AD3E9E">
        <w:rPr>
          <w:rFonts w:asciiTheme="majorBidi" w:eastAsia="PMingLiU" w:hAnsiTheme="majorBidi" w:cstheme="majorBidi"/>
          <w:sz w:val="24"/>
          <w:szCs w:val="24"/>
          <w:lang w:eastAsia="zh-TW"/>
        </w:rPr>
        <w:t>.  Nevertheless</w:t>
      </w:r>
      <w:r w:rsidR="00301BDC">
        <w:rPr>
          <w:rFonts w:asciiTheme="majorBidi" w:eastAsia="PMingLiU" w:hAnsiTheme="majorBidi" w:cstheme="majorBidi"/>
          <w:sz w:val="24"/>
          <w:szCs w:val="24"/>
          <w:lang w:eastAsia="zh-TW"/>
        </w:rPr>
        <w:t>,</w:t>
      </w:r>
      <w:r w:rsidR="00AD3E9E" w:rsidRPr="00AD3E9E">
        <w:rPr>
          <w:rFonts w:asciiTheme="majorBidi" w:eastAsia="PMingLiU" w:hAnsiTheme="majorBidi" w:cstheme="majorBidi"/>
          <w:sz w:val="24"/>
          <w:szCs w:val="24"/>
          <w:lang w:eastAsia="zh-TW"/>
        </w:rPr>
        <w:t xml:space="preserve"> </w:t>
      </w:r>
      <w:r w:rsidR="00AD3E9E">
        <w:rPr>
          <w:rFonts w:asciiTheme="majorBidi" w:eastAsia="PMingLiU" w:hAnsiTheme="majorBidi" w:cstheme="majorBidi"/>
          <w:sz w:val="24"/>
          <w:szCs w:val="24"/>
          <w:lang w:eastAsia="zh-TW"/>
        </w:rPr>
        <w:t xml:space="preserve">we emphasise that </w:t>
      </w:r>
      <w:r w:rsidR="00C101C6" w:rsidRPr="00AD3E9E">
        <w:rPr>
          <w:rFonts w:asciiTheme="majorBidi" w:eastAsia="PMingLiU" w:hAnsiTheme="majorBidi" w:cstheme="majorBidi" w:hint="eastAsia"/>
          <w:sz w:val="24"/>
          <w:szCs w:val="24"/>
          <w:lang w:eastAsia="zh-TW"/>
        </w:rPr>
        <w:t xml:space="preserve">the trends in the paper relate specifically to charities rather than to the wider third sector.  </w:t>
      </w:r>
    </w:p>
    <w:p w:rsidR="002762F9" w:rsidRPr="00963AB2" w:rsidRDefault="002762F9" w:rsidP="00011B07">
      <w:pPr>
        <w:pStyle w:val="ListParagraph"/>
        <w:numPr>
          <w:ilvl w:val="0"/>
          <w:numId w:val="4"/>
        </w:numPr>
        <w:spacing w:line="480" w:lineRule="auto"/>
        <w:jc w:val="both"/>
        <w:rPr>
          <w:rFonts w:asciiTheme="majorBidi" w:eastAsia="PMingLiU" w:hAnsiTheme="majorBidi" w:cstheme="majorBidi"/>
          <w:i/>
          <w:iCs/>
          <w:color w:val="000000"/>
          <w:sz w:val="24"/>
          <w:szCs w:val="24"/>
          <w:lang w:eastAsia="zh-TW"/>
        </w:rPr>
      </w:pPr>
      <w:r w:rsidRPr="00963AB2">
        <w:rPr>
          <w:rFonts w:asciiTheme="majorBidi" w:eastAsia="PMingLiU" w:hAnsiTheme="majorBidi" w:cstheme="majorBidi"/>
          <w:i/>
          <w:iCs/>
          <w:color w:val="000000"/>
          <w:sz w:val="24"/>
          <w:szCs w:val="24"/>
          <w:lang w:eastAsia="zh-TW"/>
        </w:rPr>
        <w:br w:type="page"/>
      </w:r>
    </w:p>
    <w:p w:rsidR="00681CA3" w:rsidRDefault="009503C9" w:rsidP="007504BF">
      <w:pPr>
        <w:spacing w:line="480" w:lineRule="auto"/>
        <w:contextualSpacing/>
        <w:jc w:val="center"/>
        <w:rPr>
          <w:rFonts w:asciiTheme="majorBidi" w:eastAsia="PMingLiU" w:hAnsiTheme="majorBidi" w:cstheme="majorBidi"/>
          <w:b/>
          <w:bCs/>
          <w:color w:val="000000"/>
          <w:sz w:val="24"/>
          <w:szCs w:val="24"/>
          <w:lang w:eastAsia="zh-TW"/>
        </w:rPr>
      </w:pPr>
      <w:r>
        <w:rPr>
          <w:rFonts w:asciiTheme="majorBidi" w:eastAsia="PMingLiU" w:hAnsiTheme="majorBidi" w:cstheme="majorBidi"/>
          <w:b/>
          <w:bCs/>
          <w:color w:val="000000"/>
          <w:sz w:val="24"/>
          <w:szCs w:val="24"/>
          <w:lang w:eastAsia="zh-TW"/>
        </w:rPr>
        <w:lastRenderedPageBreak/>
        <w:t>2</w:t>
      </w:r>
      <w:r>
        <w:rPr>
          <w:rFonts w:asciiTheme="majorBidi" w:eastAsia="PMingLiU" w:hAnsiTheme="majorBidi" w:cstheme="majorBidi" w:hint="eastAsia"/>
          <w:b/>
          <w:bCs/>
          <w:color w:val="000000"/>
          <w:sz w:val="24"/>
          <w:szCs w:val="24"/>
          <w:lang w:eastAsia="zh-TW"/>
        </w:rPr>
        <w:t>.</w:t>
      </w:r>
      <w:r w:rsidR="00324A9B" w:rsidRPr="00306031">
        <w:rPr>
          <w:rFonts w:asciiTheme="majorBidi" w:eastAsia="PMingLiU" w:hAnsiTheme="majorBidi" w:cstheme="majorBidi"/>
          <w:b/>
          <w:bCs/>
          <w:color w:val="000000"/>
          <w:sz w:val="24"/>
          <w:szCs w:val="24"/>
          <w:lang w:eastAsia="zh-TW"/>
        </w:rPr>
        <w:t xml:space="preserve"> </w:t>
      </w:r>
      <w:r w:rsidR="00681CA3" w:rsidRPr="00306031">
        <w:rPr>
          <w:rFonts w:asciiTheme="majorBidi" w:eastAsia="PMingLiU" w:hAnsiTheme="majorBidi" w:cstheme="majorBidi"/>
          <w:b/>
          <w:bCs/>
          <w:color w:val="000000"/>
          <w:sz w:val="24"/>
          <w:szCs w:val="24"/>
          <w:lang w:eastAsia="zh-TW"/>
        </w:rPr>
        <w:t>How was the longitudinal dataset constructed?</w:t>
      </w:r>
    </w:p>
    <w:p w:rsidR="007504BF" w:rsidRDefault="007504BF" w:rsidP="007504BF">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lang w:eastAsia="zh-TW"/>
        </w:rPr>
      </w:pPr>
    </w:p>
    <w:p w:rsidR="0008251C" w:rsidRDefault="0008251C" w:rsidP="007504BF">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lang w:eastAsia="zh-TW"/>
        </w:rPr>
      </w:pPr>
      <w:r>
        <w:rPr>
          <w:rFonts w:asciiTheme="majorBidi" w:eastAsia="PMingLiU" w:hAnsiTheme="majorBidi" w:cstheme="majorBidi" w:hint="eastAsia"/>
          <w:lang w:eastAsia="zh-TW"/>
        </w:rPr>
        <w:t>I</w:t>
      </w:r>
      <w:r w:rsidRPr="009503C9">
        <w:rPr>
          <w:rFonts w:asciiTheme="majorBidi" w:eastAsia="PMingLiU" w:hAnsiTheme="majorBidi" w:cstheme="majorBidi"/>
          <w:lang w:eastAsia="zh-TW"/>
        </w:rPr>
        <w:t xml:space="preserve">n order to make an assessment of the importance of recession and austerity for voluntary organisations, organisations’ recent income should be placed within the context of their longer-term income trends.  This temporal perspective is fundamental given the difficulty of the alternative approach of trying to assess the importance of recession and austerity through estimating a counterfactual to compare to observed data (Jenkins </w:t>
      </w:r>
      <w:r w:rsidRPr="00011B07">
        <w:rPr>
          <w:rFonts w:asciiTheme="majorBidi" w:eastAsia="PMingLiU" w:hAnsiTheme="majorBidi" w:cstheme="majorBidi"/>
          <w:i/>
          <w:iCs/>
          <w:lang w:eastAsia="zh-TW"/>
        </w:rPr>
        <w:t>et al.</w:t>
      </w:r>
      <w:r w:rsidRPr="009503C9">
        <w:rPr>
          <w:rFonts w:asciiTheme="majorBidi" w:eastAsia="PMingLiU" w:hAnsiTheme="majorBidi" w:cstheme="majorBidi"/>
          <w:lang w:eastAsia="zh-TW"/>
        </w:rPr>
        <w:t xml:space="preserve">, 2012).  </w:t>
      </w:r>
      <w:r>
        <w:rPr>
          <w:rFonts w:asciiTheme="majorBidi" w:eastAsia="PMingLiU" w:hAnsiTheme="majorBidi" w:cstheme="majorBidi" w:hint="eastAsia"/>
          <w:lang w:eastAsia="zh-TW"/>
        </w:rPr>
        <w:t>However, l</w:t>
      </w:r>
      <w:r w:rsidR="00502EEB" w:rsidRPr="00073BBA">
        <w:rPr>
          <w:rFonts w:asciiTheme="majorBidi" w:eastAsia="PMingLiU" w:hAnsiTheme="majorBidi" w:cstheme="majorBidi"/>
          <w:lang w:eastAsia="zh-TW"/>
        </w:rPr>
        <w:t xml:space="preserve">ongitudinal data on voluntary organisations has not been previously available: as the UK Statistics Authority (2012:6) explain, the machinery of official data collection is instead orientated towards the state, the market and individuals, such that there has been a notable ‘shortage of regular and timely published statistics about the voluntary sector’.  </w:t>
      </w:r>
    </w:p>
    <w:p w:rsidR="0008251C" w:rsidRDefault="0008251C" w:rsidP="007504BF">
      <w:pPr>
        <w:pStyle w:val="EndnoteText"/>
        <w:spacing w:line="480" w:lineRule="auto"/>
        <w:contextualSpacing/>
        <w:jc w:val="both"/>
        <w:rPr>
          <w:rFonts w:asciiTheme="majorBidi" w:eastAsia="PMingLiU" w:hAnsiTheme="majorBidi" w:cstheme="majorBidi"/>
          <w:sz w:val="24"/>
          <w:szCs w:val="24"/>
          <w:lang w:eastAsia="zh-TW"/>
        </w:rPr>
      </w:pPr>
    </w:p>
    <w:p w:rsidR="00FC0AE7" w:rsidRPr="0008251C" w:rsidRDefault="00502EEB" w:rsidP="0008251C">
      <w:pPr>
        <w:pStyle w:val="EndnoteText"/>
        <w:spacing w:line="480" w:lineRule="auto"/>
        <w:contextualSpacing/>
        <w:jc w:val="both"/>
        <w:rPr>
          <w:rFonts w:asciiTheme="majorBidi" w:eastAsia="PMingLiU" w:hAnsiTheme="majorBidi" w:cstheme="majorBidi"/>
          <w:sz w:val="24"/>
          <w:szCs w:val="24"/>
          <w:lang w:eastAsia="zh-TW"/>
        </w:rPr>
      </w:pPr>
      <w:r w:rsidRPr="00073BBA">
        <w:rPr>
          <w:rFonts w:asciiTheme="majorBidi" w:eastAsia="PMingLiU" w:hAnsiTheme="majorBidi" w:cstheme="majorBidi"/>
          <w:sz w:val="24"/>
          <w:szCs w:val="24"/>
          <w:lang w:eastAsia="zh-TW"/>
        </w:rPr>
        <w:t xml:space="preserve">Therefore, to provide the basis for this paper’s empirical analysis, we first constructed the </w:t>
      </w:r>
      <w:r>
        <w:rPr>
          <w:rFonts w:asciiTheme="majorBidi" w:eastAsia="PMingLiU" w:hAnsiTheme="majorBidi" w:cstheme="majorBidi" w:hint="eastAsia"/>
          <w:sz w:val="24"/>
          <w:szCs w:val="24"/>
          <w:lang w:eastAsia="zh-TW"/>
        </w:rPr>
        <w:t xml:space="preserve">longitudinal </w:t>
      </w:r>
      <w:r w:rsidRPr="00073BBA">
        <w:rPr>
          <w:rFonts w:asciiTheme="majorBidi" w:eastAsia="PMingLiU" w:hAnsiTheme="majorBidi" w:cstheme="majorBidi"/>
          <w:sz w:val="24"/>
          <w:szCs w:val="24"/>
          <w:lang w:eastAsia="zh-TW"/>
        </w:rPr>
        <w:t xml:space="preserve">dataset by linking together a series of historical files that were provided by the Charity Commission - based on financial data originally provided by charities, as part of the regulatory process, in their annual returns over the period.  </w:t>
      </w:r>
      <w:r w:rsidR="0008251C">
        <w:rPr>
          <w:rFonts w:asciiTheme="majorBidi" w:eastAsia="PMingLiU" w:hAnsiTheme="majorBidi" w:cstheme="majorBidi" w:hint="eastAsia"/>
          <w:sz w:val="24"/>
          <w:szCs w:val="24"/>
          <w:lang w:eastAsia="zh-TW"/>
        </w:rPr>
        <w:t>We linked these files in two stages.</w:t>
      </w:r>
    </w:p>
    <w:p w:rsidR="00FC0AE7" w:rsidRPr="00306031" w:rsidRDefault="00FC0AE7" w:rsidP="0008251C">
      <w:pPr>
        <w:pStyle w:val="EndnoteText"/>
        <w:spacing w:line="480" w:lineRule="auto"/>
        <w:contextualSpacing/>
        <w:jc w:val="both"/>
        <w:rPr>
          <w:rFonts w:asciiTheme="majorBidi" w:hAnsiTheme="majorBidi" w:cstheme="majorBidi"/>
          <w:sz w:val="24"/>
          <w:szCs w:val="24"/>
        </w:rPr>
      </w:pPr>
    </w:p>
    <w:p w:rsidR="00324A9B" w:rsidRPr="00306031" w:rsidRDefault="00FC0AE7" w:rsidP="0008251C">
      <w:pPr>
        <w:pStyle w:val="EndnoteText"/>
        <w:numPr>
          <w:ilvl w:val="0"/>
          <w:numId w:val="5"/>
        </w:numPr>
        <w:spacing w:line="480" w:lineRule="auto"/>
        <w:contextualSpacing/>
        <w:jc w:val="both"/>
        <w:rPr>
          <w:rFonts w:asciiTheme="majorBidi" w:hAnsiTheme="majorBidi" w:cstheme="majorBidi"/>
          <w:sz w:val="24"/>
          <w:szCs w:val="24"/>
        </w:rPr>
      </w:pPr>
      <w:r w:rsidRPr="00306031">
        <w:rPr>
          <w:rFonts w:asciiTheme="majorBidi" w:eastAsia="PMingLiU" w:hAnsiTheme="majorBidi" w:cstheme="majorBidi"/>
          <w:sz w:val="24"/>
          <w:szCs w:val="24"/>
          <w:lang w:eastAsia="zh-TW"/>
        </w:rPr>
        <w:t>E</w:t>
      </w:r>
      <w:r w:rsidRPr="00306031">
        <w:rPr>
          <w:rFonts w:asciiTheme="majorBidi" w:hAnsiTheme="majorBidi" w:cstheme="majorBidi"/>
          <w:sz w:val="24"/>
          <w:szCs w:val="24"/>
        </w:rPr>
        <w:t>ach charity</w:t>
      </w:r>
      <w:r w:rsidRPr="00306031">
        <w:rPr>
          <w:rFonts w:asciiTheme="majorBidi" w:eastAsia="PMingLiU" w:hAnsiTheme="majorBidi" w:cstheme="majorBidi"/>
          <w:sz w:val="24"/>
          <w:szCs w:val="24"/>
          <w:lang w:eastAsia="zh-TW"/>
        </w:rPr>
        <w:t xml:space="preserve"> </w:t>
      </w:r>
      <w:r w:rsidRPr="00306031">
        <w:rPr>
          <w:rFonts w:asciiTheme="majorBidi" w:hAnsiTheme="majorBidi" w:cstheme="majorBidi"/>
          <w:sz w:val="24"/>
          <w:szCs w:val="24"/>
        </w:rPr>
        <w:t xml:space="preserve">has a unique </w:t>
      </w:r>
      <w:r w:rsidRPr="00306031">
        <w:rPr>
          <w:rFonts w:asciiTheme="majorBidi" w:eastAsia="PMingLiU" w:hAnsiTheme="majorBidi" w:cstheme="majorBidi"/>
          <w:sz w:val="24"/>
          <w:szCs w:val="24"/>
          <w:lang w:eastAsia="zh-TW"/>
        </w:rPr>
        <w:t>charity</w:t>
      </w:r>
      <w:r w:rsidR="00324A9B" w:rsidRPr="00306031">
        <w:rPr>
          <w:rFonts w:asciiTheme="majorBidi" w:eastAsia="PMingLiU" w:hAnsiTheme="majorBidi" w:cstheme="majorBidi"/>
          <w:sz w:val="24"/>
          <w:szCs w:val="24"/>
          <w:lang w:eastAsia="zh-TW"/>
        </w:rPr>
        <w:t xml:space="preserve"> registration</w:t>
      </w:r>
      <w:r w:rsidRPr="00306031">
        <w:rPr>
          <w:rFonts w:asciiTheme="majorBidi" w:eastAsia="PMingLiU" w:hAnsiTheme="majorBidi" w:cstheme="majorBidi"/>
          <w:sz w:val="24"/>
          <w:szCs w:val="24"/>
          <w:lang w:eastAsia="zh-TW"/>
        </w:rPr>
        <w:t xml:space="preserve"> number.</w:t>
      </w:r>
      <w:r w:rsidR="00324A9B" w:rsidRPr="00306031">
        <w:rPr>
          <w:rFonts w:asciiTheme="majorBidi" w:eastAsia="PMingLiU" w:hAnsiTheme="majorBidi" w:cstheme="majorBidi"/>
          <w:sz w:val="24"/>
          <w:szCs w:val="24"/>
          <w:lang w:eastAsia="zh-TW"/>
        </w:rPr>
        <w:t xml:space="preserve">  Therefore, the different files were merged together using the charity registration number as a key.</w:t>
      </w:r>
    </w:p>
    <w:p w:rsidR="00681CA3" w:rsidRPr="00306031" w:rsidRDefault="00681CA3" w:rsidP="0008251C">
      <w:pPr>
        <w:pStyle w:val="EndnoteText"/>
        <w:numPr>
          <w:ilvl w:val="0"/>
          <w:numId w:val="5"/>
        </w:numPr>
        <w:spacing w:line="480" w:lineRule="auto"/>
        <w:contextualSpacing/>
        <w:jc w:val="both"/>
        <w:rPr>
          <w:rFonts w:asciiTheme="majorBidi" w:hAnsiTheme="majorBidi" w:cstheme="majorBidi"/>
          <w:sz w:val="24"/>
          <w:szCs w:val="24"/>
        </w:rPr>
      </w:pPr>
      <w:r w:rsidRPr="00306031">
        <w:rPr>
          <w:rFonts w:asciiTheme="majorBidi" w:eastAsia="PMingLiU" w:hAnsiTheme="majorBidi" w:cstheme="majorBidi"/>
          <w:sz w:val="24"/>
          <w:szCs w:val="24"/>
          <w:lang w:eastAsia="zh-TW"/>
        </w:rPr>
        <w:t>However,</w:t>
      </w:r>
      <w:r w:rsidRPr="00306031">
        <w:rPr>
          <w:rFonts w:asciiTheme="majorBidi" w:hAnsiTheme="majorBidi" w:cstheme="majorBidi"/>
          <w:sz w:val="24"/>
          <w:szCs w:val="24"/>
        </w:rPr>
        <w:t xml:space="preserve"> if an </w:t>
      </w:r>
      <w:r w:rsidR="001F3C1A" w:rsidRPr="00306031">
        <w:rPr>
          <w:rFonts w:asciiTheme="majorBidi" w:hAnsiTheme="majorBidi" w:cstheme="majorBidi"/>
          <w:sz w:val="24"/>
          <w:szCs w:val="24"/>
        </w:rPr>
        <w:t>organisation</w:t>
      </w:r>
      <w:r w:rsidRPr="00306031">
        <w:rPr>
          <w:rFonts w:asciiTheme="majorBidi" w:hAnsiTheme="majorBidi" w:cstheme="majorBidi"/>
          <w:sz w:val="24"/>
          <w:szCs w:val="24"/>
        </w:rPr>
        <w:t xml:space="preserve"> changes legal form</w:t>
      </w:r>
      <w:r w:rsidRPr="00306031">
        <w:rPr>
          <w:rFonts w:asciiTheme="majorBidi" w:eastAsia="PMingLiU" w:hAnsiTheme="majorBidi" w:cstheme="majorBidi"/>
          <w:sz w:val="24"/>
          <w:szCs w:val="24"/>
          <w:lang w:eastAsia="zh-TW"/>
        </w:rPr>
        <w:t>,</w:t>
      </w:r>
      <w:r w:rsidRPr="00306031">
        <w:rPr>
          <w:rFonts w:asciiTheme="majorBidi" w:hAnsiTheme="majorBidi" w:cstheme="majorBidi"/>
          <w:sz w:val="24"/>
          <w:szCs w:val="24"/>
        </w:rPr>
        <w:t xml:space="preserve"> from </w:t>
      </w:r>
      <w:r w:rsidRPr="00306031">
        <w:rPr>
          <w:rFonts w:asciiTheme="majorBidi" w:eastAsia="PMingLiU" w:hAnsiTheme="majorBidi" w:cstheme="majorBidi"/>
          <w:sz w:val="24"/>
          <w:szCs w:val="24"/>
          <w:lang w:eastAsia="zh-TW"/>
        </w:rPr>
        <w:t>unincorporated (either</w:t>
      </w:r>
      <w:r w:rsidRPr="00306031">
        <w:rPr>
          <w:rFonts w:asciiTheme="majorBidi" w:hAnsiTheme="majorBidi" w:cstheme="majorBidi"/>
          <w:sz w:val="24"/>
          <w:szCs w:val="24"/>
        </w:rPr>
        <w:t xml:space="preserve"> charitable trust or unincorporated association</w:t>
      </w:r>
      <w:r w:rsidRPr="00306031">
        <w:rPr>
          <w:rFonts w:asciiTheme="majorBidi" w:eastAsia="PMingLiU" w:hAnsiTheme="majorBidi" w:cstheme="majorBidi"/>
          <w:sz w:val="24"/>
          <w:szCs w:val="24"/>
          <w:lang w:eastAsia="zh-TW"/>
        </w:rPr>
        <w:t>) to incorporated (</w:t>
      </w:r>
      <w:r w:rsidRPr="00306031">
        <w:rPr>
          <w:rFonts w:asciiTheme="majorBidi" w:hAnsiTheme="majorBidi" w:cstheme="majorBidi"/>
          <w:sz w:val="24"/>
          <w:szCs w:val="24"/>
        </w:rPr>
        <w:t>charitable company limited by guarantee</w:t>
      </w:r>
      <w:r w:rsidRPr="00306031">
        <w:rPr>
          <w:rFonts w:asciiTheme="majorBidi" w:eastAsia="PMingLiU" w:hAnsiTheme="majorBidi" w:cstheme="majorBidi"/>
          <w:sz w:val="24"/>
          <w:szCs w:val="24"/>
          <w:lang w:eastAsia="zh-TW"/>
        </w:rPr>
        <w:t>),</w:t>
      </w:r>
      <w:r w:rsidRPr="00306031">
        <w:rPr>
          <w:rFonts w:asciiTheme="majorBidi" w:hAnsiTheme="majorBidi" w:cstheme="majorBidi"/>
          <w:sz w:val="24"/>
          <w:szCs w:val="24"/>
        </w:rPr>
        <w:t xml:space="preserve"> it drops</w:t>
      </w:r>
      <w:r w:rsidRPr="00306031">
        <w:rPr>
          <w:rFonts w:asciiTheme="majorBidi" w:eastAsia="PMingLiU" w:hAnsiTheme="majorBidi" w:cstheme="majorBidi"/>
          <w:sz w:val="24"/>
          <w:szCs w:val="24"/>
          <w:lang w:eastAsia="zh-TW"/>
        </w:rPr>
        <w:t xml:space="preserve"> off </w:t>
      </w:r>
      <w:r w:rsidRPr="00306031">
        <w:rPr>
          <w:rFonts w:asciiTheme="majorBidi" w:hAnsiTheme="majorBidi" w:cstheme="majorBidi"/>
          <w:sz w:val="24"/>
          <w:szCs w:val="24"/>
        </w:rPr>
        <w:t xml:space="preserve">the register and re-emerges with a new </w:t>
      </w:r>
      <w:r w:rsidR="00306031" w:rsidRPr="00306031">
        <w:rPr>
          <w:rFonts w:asciiTheme="majorBidi" w:hAnsiTheme="majorBidi" w:cstheme="majorBidi"/>
          <w:sz w:val="24"/>
          <w:szCs w:val="24"/>
        </w:rPr>
        <w:t>charity registration</w:t>
      </w:r>
      <w:r w:rsidR="004467C1" w:rsidRPr="00306031">
        <w:rPr>
          <w:rFonts w:asciiTheme="majorBidi" w:hAnsiTheme="majorBidi" w:cstheme="majorBidi"/>
          <w:sz w:val="24"/>
          <w:szCs w:val="24"/>
        </w:rPr>
        <w:t xml:space="preserve"> </w:t>
      </w:r>
      <w:r w:rsidRPr="00306031">
        <w:rPr>
          <w:rFonts w:asciiTheme="majorBidi" w:hAnsiTheme="majorBidi" w:cstheme="majorBidi"/>
          <w:sz w:val="24"/>
          <w:szCs w:val="24"/>
        </w:rPr>
        <w:t xml:space="preserve">number. </w:t>
      </w:r>
      <w:r w:rsidR="004467C1" w:rsidRPr="00306031">
        <w:rPr>
          <w:rFonts w:asciiTheme="majorBidi" w:eastAsia="PMingLiU" w:hAnsiTheme="majorBidi" w:cstheme="majorBidi"/>
          <w:sz w:val="24"/>
          <w:szCs w:val="24"/>
          <w:lang w:eastAsia="zh-TW"/>
        </w:rPr>
        <w:t>Therefore, t</w:t>
      </w:r>
      <w:r w:rsidR="00FC0AE7" w:rsidRPr="00306031">
        <w:rPr>
          <w:rFonts w:asciiTheme="majorBidi" w:eastAsia="PMingLiU" w:hAnsiTheme="majorBidi" w:cstheme="majorBidi"/>
          <w:sz w:val="24"/>
          <w:szCs w:val="24"/>
          <w:lang w:eastAsia="zh-TW"/>
        </w:rPr>
        <w:t>o follow charities over time across the analysis period, it was important to link</w:t>
      </w:r>
      <w:r w:rsidRPr="00306031">
        <w:rPr>
          <w:rFonts w:asciiTheme="majorBidi" w:eastAsia="PMingLiU" w:hAnsiTheme="majorBidi" w:cstheme="majorBidi"/>
          <w:sz w:val="24"/>
          <w:szCs w:val="24"/>
          <w:lang w:eastAsia="zh-TW"/>
        </w:rPr>
        <w:t xml:space="preserve"> together these</w:t>
      </w:r>
      <w:r w:rsidR="00840C15" w:rsidRPr="00306031">
        <w:rPr>
          <w:rFonts w:asciiTheme="majorBidi" w:eastAsia="PMingLiU" w:hAnsiTheme="majorBidi" w:cstheme="majorBidi"/>
          <w:sz w:val="24"/>
          <w:szCs w:val="24"/>
          <w:lang w:eastAsia="zh-TW"/>
        </w:rPr>
        <w:t xml:space="preserve"> separate</w:t>
      </w:r>
      <w:r w:rsidRPr="00306031">
        <w:rPr>
          <w:rFonts w:asciiTheme="majorBidi" w:eastAsia="PMingLiU" w:hAnsiTheme="majorBidi" w:cstheme="majorBidi"/>
          <w:sz w:val="24"/>
          <w:szCs w:val="24"/>
          <w:lang w:eastAsia="zh-TW"/>
        </w:rPr>
        <w:t xml:space="preserve"> records. We are confident that the linking method </w:t>
      </w:r>
      <w:r w:rsidR="004467C1" w:rsidRPr="00306031">
        <w:rPr>
          <w:rFonts w:asciiTheme="majorBidi" w:eastAsia="PMingLiU" w:hAnsiTheme="majorBidi" w:cstheme="majorBidi"/>
          <w:sz w:val="24"/>
          <w:szCs w:val="24"/>
          <w:lang w:eastAsia="zh-TW"/>
        </w:rPr>
        <w:t xml:space="preserve">that </w:t>
      </w:r>
      <w:r w:rsidRPr="00306031">
        <w:rPr>
          <w:rFonts w:asciiTheme="majorBidi" w:eastAsia="PMingLiU" w:hAnsiTheme="majorBidi" w:cstheme="majorBidi"/>
          <w:sz w:val="24"/>
          <w:szCs w:val="24"/>
          <w:lang w:eastAsia="zh-TW"/>
        </w:rPr>
        <w:t xml:space="preserve">we used is both comprehensive and reliable. It is </w:t>
      </w:r>
      <w:r w:rsidRPr="00306031">
        <w:rPr>
          <w:rFonts w:asciiTheme="majorBidi" w:eastAsia="PMingLiU" w:hAnsiTheme="majorBidi" w:cstheme="majorBidi"/>
          <w:sz w:val="24"/>
          <w:szCs w:val="24"/>
          <w:lang w:eastAsia="zh-TW"/>
        </w:rPr>
        <w:lastRenderedPageBreak/>
        <w:t xml:space="preserve">comprehensive because the Charity Commission maintains a specific file in order to keep a record of all of the current names, working names, and former names of an </w:t>
      </w:r>
      <w:r w:rsidR="001F3C1A" w:rsidRPr="00306031">
        <w:rPr>
          <w:rFonts w:asciiTheme="majorBidi" w:eastAsia="PMingLiU" w:hAnsiTheme="majorBidi" w:cstheme="majorBidi"/>
          <w:sz w:val="24"/>
          <w:szCs w:val="24"/>
          <w:lang w:eastAsia="zh-TW"/>
        </w:rPr>
        <w:t>organisation</w:t>
      </w:r>
      <w:r w:rsidRPr="00306031">
        <w:rPr>
          <w:rFonts w:asciiTheme="majorBidi" w:eastAsia="PMingLiU" w:hAnsiTheme="majorBidi" w:cstheme="majorBidi"/>
          <w:sz w:val="24"/>
          <w:szCs w:val="24"/>
          <w:lang w:eastAsia="zh-TW"/>
        </w:rPr>
        <w:t xml:space="preserve">. We were able to use this file to link unincorporated and incorporated records for the same </w:t>
      </w:r>
      <w:r w:rsidR="001F3C1A" w:rsidRPr="00306031">
        <w:rPr>
          <w:rFonts w:asciiTheme="majorBidi" w:eastAsia="PMingLiU" w:hAnsiTheme="majorBidi" w:cstheme="majorBidi"/>
          <w:sz w:val="24"/>
          <w:szCs w:val="24"/>
          <w:lang w:eastAsia="zh-TW"/>
        </w:rPr>
        <w:t>organisation</w:t>
      </w:r>
      <w:r w:rsidRPr="00306031">
        <w:rPr>
          <w:rFonts w:asciiTheme="majorBidi" w:eastAsia="PMingLiU" w:hAnsiTheme="majorBidi" w:cstheme="majorBidi"/>
          <w:sz w:val="24"/>
          <w:szCs w:val="24"/>
          <w:lang w:eastAsia="zh-TW"/>
        </w:rPr>
        <w:t xml:space="preserve"> by </w:t>
      </w:r>
      <w:r w:rsidRPr="00306031">
        <w:rPr>
          <w:rFonts w:asciiTheme="majorBidi" w:hAnsiTheme="majorBidi" w:cstheme="majorBidi"/>
          <w:sz w:val="24"/>
          <w:szCs w:val="24"/>
        </w:rPr>
        <w:t>match</w:t>
      </w:r>
      <w:r w:rsidRPr="00306031">
        <w:rPr>
          <w:rFonts w:asciiTheme="majorBidi" w:eastAsia="PMingLiU" w:hAnsiTheme="majorBidi" w:cstheme="majorBidi"/>
          <w:sz w:val="24"/>
          <w:szCs w:val="24"/>
          <w:lang w:eastAsia="zh-TW"/>
        </w:rPr>
        <w:t>ing</w:t>
      </w:r>
      <w:r w:rsidRPr="00306031">
        <w:rPr>
          <w:rFonts w:asciiTheme="majorBidi" w:hAnsiTheme="majorBidi" w:cstheme="majorBidi"/>
          <w:sz w:val="24"/>
          <w:szCs w:val="24"/>
        </w:rPr>
        <w:t xml:space="preserve"> the current, working </w:t>
      </w:r>
      <w:r w:rsidRPr="00306031">
        <w:rPr>
          <w:rFonts w:asciiTheme="majorBidi" w:eastAsia="PMingLiU" w:hAnsiTheme="majorBidi" w:cstheme="majorBidi"/>
          <w:sz w:val="24"/>
          <w:szCs w:val="24"/>
          <w:lang w:eastAsia="zh-TW"/>
        </w:rPr>
        <w:t xml:space="preserve">and former </w:t>
      </w:r>
      <w:r w:rsidRPr="00306031">
        <w:rPr>
          <w:rFonts w:asciiTheme="majorBidi" w:hAnsiTheme="majorBidi" w:cstheme="majorBidi"/>
          <w:sz w:val="24"/>
          <w:szCs w:val="24"/>
        </w:rPr>
        <w:t>names of</w:t>
      </w:r>
      <w:r w:rsidRPr="00306031">
        <w:rPr>
          <w:rFonts w:asciiTheme="majorBidi" w:eastAsia="PMingLiU" w:hAnsiTheme="majorBidi" w:cstheme="majorBidi"/>
          <w:sz w:val="24"/>
          <w:szCs w:val="24"/>
          <w:lang w:eastAsia="zh-TW"/>
        </w:rPr>
        <w:t xml:space="preserve"> </w:t>
      </w:r>
      <w:r w:rsidRPr="00306031">
        <w:rPr>
          <w:rFonts w:asciiTheme="majorBidi" w:hAnsiTheme="majorBidi" w:cstheme="majorBidi"/>
          <w:sz w:val="24"/>
          <w:szCs w:val="24"/>
        </w:rPr>
        <w:t xml:space="preserve">an </w:t>
      </w:r>
      <w:r w:rsidR="001F3C1A" w:rsidRPr="00306031">
        <w:rPr>
          <w:rFonts w:asciiTheme="majorBidi" w:hAnsiTheme="majorBidi" w:cstheme="majorBidi"/>
          <w:sz w:val="24"/>
          <w:szCs w:val="24"/>
        </w:rPr>
        <w:t>organisation</w:t>
      </w:r>
      <w:r w:rsidRPr="00306031">
        <w:rPr>
          <w:rFonts w:asciiTheme="majorBidi" w:eastAsia="PMingLiU" w:hAnsiTheme="majorBidi" w:cstheme="majorBidi"/>
          <w:sz w:val="24"/>
          <w:szCs w:val="24"/>
          <w:lang w:eastAsia="zh-TW"/>
        </w:rPr>
        <w:t xml:space="preserve"> record</w:t>
      </w:r>
      <w:r w:rsidRPr="00306031">
        <w:rPr>
          <w:rFonts w:asciiTheme="majorBidi" w:hAnsiTheme="majorBidi" w:cstheme="majorBidi"/>
          <w:sz w:val="24"/>
          <w:szCs w:val="24"/>
        </w:rPr>
        <w:t xml:space="preserve"> to the current, </w:t>
      </w:r>
      <w:r w:rsidRPr="00306031">
        <w:rPr>
          <w:rFonts w:asciiTheme="majorBidi" w:eastAsia="PMingLiU" w:hAnsiTheme="majorBidi" w:cstheme="majorBidi"/>
          <w:sz w:val="24"/>
          <w:szCs w:val="24"/>
          <w:lang w:eastAsia="zh-TW"/>
        </w:rPr>
        <w:t>working</w:t>
      </w:r>
      <w:r w:rsidRPr="00306031">
        <w:rPr>
          <w:rFonts w:asciiTheme="majorBidi" w:hAnsiTheme="majorBidi" w:cstheme="majorBidi"/>
          <w:sz w:val="24"/>
          <w:szCs w:val="24"/>
        </w:rPr>
        <w:t xml:space="preserve"> </w:t>
      </w:r>
      <w:r w:rsidRPr="00306031">
        <w:rPr>
          <w:rFonts w:asciiTheme="majorBidi" w:eastAsia="PMingLiU" w:hAnsiTheme="majorBidi" w:cstheme="majorBidi"/>
          <w:sz w:val="24"/>
          <w:szCs w:val="24"/>
          <w:lang w:eastAsia="zh-TW"/>
        </w:rPr>
        <w:t>and former</w:t>
      </w:r>
      <w:r w:rsidRPr="00306031">
        <w:rPr>
          <w:rFonts w:asciiTheme="majorBidi" w:hAnsiTheme="majorBidi" w:cstheme="majorBidi"/>
          <w:sz w:val="24"/>
          <w:szCs w:val="24"/>
        </w:rPr>
        <w:t xml:space="preserve"> names of any other </w:t>
      </w:r>
      <w:r w:rsidR="001F3C1A" w:rsidRPr="00306031">
        <w:rPr>
          <w:rFonts w:asciiTheme="majorBidi" w:hAnsiTheme="majorBidi" w:cstheme="majorBidi"/>
          <w:sz w:val="24"/>
          <w:szCs w:val="24"/>
        </w:rPr>
        <w:t>organisation</w:t>
      </w:r>
      <w:r w:rsidRPr="00306031">
        <w:rPr>
          <w:rFonts w:asciiTheme="majorBidi" w:eastAsia="PMingLiU" w:hAnsiTheme="majorBidi" w:cstheme="majorBidi"/>
          <w:sz w:val="24"/>
          <w:szCs w:val="24"/>
          <w:lang w:eastAsia="zh-TW"/>
        </w:rPr>
        <w:t xml:space="preserve"> record</w:t>
      </w:r>
      <w:r w:rsidRPr="00306031">
        <w:rPr>
          <w:rFonts w:asciiTheme="majorBidi" w:hAnsiTheme="majorBidi" w:cstheme="majorBidi"/>
          <w:sz w:val="24"/>
          <w:szCs w:val="24"/>
        </w:rPr>
        <w:t>.</w:t>
      </w:r>
      <w:r w:rsidRPr="00306031">
        <w:rPr>
          <w:rFonts w:asciiTheme="majorBidi" w:eastAsia="PMingLiU" w:hAnsiTheme="majorBidi" w:cstheme="majorBidi"/>
          <w:sz w:val="24"/>
          <w:szCs w:val="24"/>
          <w:lang w:eastAsia="zh-TW"/>
        </w:rPr>
        <w:t xml:space="preserve"> It is reliable because two records were only linked not only where names were matched – but also where the </w:t>
      </w:r>
      <w:r w:rsidRPr="00306031">
        <w:rPr>
          <w:rFonts w:asciiTheme="majorBidi" w:hAnsiTheme="majorBidi" w:cstheme="majorBidi"/>
          <w:sz w:val="24"/>
          <w:szCs w:val="24"/>
        </w:rPr>
        <w:t>match</w:t>
      </w:r>
      <w:r w:rsidRPr="00306031">
        <w:rPr>
          <w:rFonts w:asciiTheme="majorBidi" w:eastAsia="PMingLiU" w:hAnsiTheme="majorBidi" w:cstheme="majorBidi"/>
          <w:sz w:val="24"/>
          <w:szCs w:val="24"/>
          <w:lang w:eastAsia="zh-TW"/>
        </w:rPr>
        <w:t xml:space="preserve"> specifically</w:t>
      </w:r>
      <w:r w:rsidRPr="00306031">
        <w:rPr>
          <w:rFonts w:asciiTheme="majorBidi" w:hAnsiTheme="majorBidi" w:cstheme="majorBidi"/>
          <w:sz w:val="24"/>
          <w:szCs w:val="24"/>
        </w:rPr>
        <w:t xml:space="preserve"> involved only two charities,</w:t>
      </w:r>
      <w:r w:rsidRPr="00306031">
        <w:rPr>
          <w:rFonts w:asciiTheme="majorBidi" w:eastAsia="PMingLiU" w:hAnsiTheme="majorBidi" w:cstheme="majorBidi"/>
          <w:sz w:val="24"/>
          <w:szCs w:val="24"/>
          <w:lang w:eastAsia="zh-TW"/>
        </w:rPr>
        <w:t xml:space="preserve"> with one</w:t>
      </w:r>
      <w:r w:rsidRPr="00306031">
        <w:rPr>
          <w:rFonts w:asciiTheme="majorBidi" w:hAnsiTheme="majorBidi" w:cstheme="majorBidi"/>
          <w:sz w:val="24"/>
          <w:szCs w:val="24"/>
        </w:rPr>
        <w:t xml:space="preserve"> an unincorporated charity</w:t>
      </w:r>
      <w:r w:rsidRPr="00306031">
        <w:rPr>
          <w:rFonts w:asciiTheme="majorBidi" w:eastAsia="PMingLiU" w:hAnsiTheme="majorBidi" w:cstheme="majorBidi"/>
          <w:sz w:val="24"/>
          <w:szCs w:val="24"/>
          <w:lang w:eastAsia="zh-TW"/>
        </w:rPr>
        <w:t xml:space="preserve"> </w:t>
      </w:r>
      <w:r w:rsidRPr="00306031">
        <w:rPr>
          <w:rFonts w:asciiTheme="majorBidi" w:hAnsiTheme="majorBidi" w:cstheme="majorBidi"/>
          <w:sz w:val="24"/>
          <w:szCs w:val="24"/>
        </w:rPr>
        <w:t xml:space="preserve">and the other a charitable company, and </w:t>
      </w:r>
      <w:r w:rsidRPr="00306031">
        <w:rPr>
          <w:rFonts w:asciiTheme="majorBidi" w:eastAsia="PMingLiU" w:hAnsiTheme="majorBidi" w:cstheme="majorBidi"/>
          <w:sz w:val="24"/>
          <w:szCs w:val="24"/>
          <w:lang w:eastAsia="zh-TW"/>
        </w:rPr>
        <w:t xml:space="preserve">where </w:t>
      </w:r>
      <w:r w:rsidRPr="00306031">
        <w:rPr>
          <w:rFonts w:asciiTheme="majorBidi" w:hAnsiTheme="majorBidi" w:cstheme="majorBidi"/>
          <w:sz w:val="24"/>
          <w:szCs w:val="24"/>
        </w:rPr>
        <w:t>they were both</w:t>
      </w:r>
      <w:r w:rsidRPr="00306031">
        <w:rPr>
          <w:rFonts w:asciiTheme="majorBidi" w:eastAsia="PMingLiU" w:hAnsiTheme="majorBidi" w:cstheme="majorBidi"/>
          <w:sz w:val="24"/>
          <w:szCs w:val="24"/>
          <w:lang w:eastAsia="zh-TW"/>
        </w:rPr>
        <w:t xml:space="preserve"> located</w:t>
      </w:r>
      <w:r w:rsidRPr="00306031">
        <w:rPr>
          <w:rFonts w:asciiTheme="majorBidi" w:hAnsiTheme="majorBidi" w:cstheme="majorBidi"/>
          <w:sz w:val="24"/>
          <w:szCs w:val="24"/>
        </w:rPr>
        <w:t xml:space="preserve"> in the same local</w:t>
      </w:r>
      <w:r w:rsidRPr="00306031">
        <w:rPr>
          <w:rFonts w:asciiTheme="majorBidi" w:eastAsia="PMingLiU" w:hAnsiTheme="majorBidi" w:cstheme="majorBidi"/>
          <w:sz w:val="24"/>
          <w:szCs w:val="24"/>
          <w:lang w:eastAsia="zh-TW"/>
        </w:rPr>
        <w:t xml:space="preserve"> </w:t>
      </w:r>
      <w:r w:rsidRPr="00306031">
        <w:rPr>
          <w:rFonts w:asciiTheme="majorBidi" w:hAnsiTheme="majorBidi" w:cstheme="majorBidi"/>
          <w:sz w:val="24"/>
          <w:szCs w:val="24"/>
        </w:rPr>
        <w:t>authority</w:t>
      </w:r>
      <w:r w:rsidRPr="00306031">
        <w:rPr>
          <w:rFonts w:asciiTheme="majorBidi" w:eastAsia="PMingLiU" w:hAnsiTheme="majorBidi" w:cstheme="majorBidi"/>
          <w:sz w:val="24"/>
          <w:szCs w:val="24"/>
          <w:lang w:eastAsia="zh-TW"/>
        </w:rPr>
        <w:t xml:space="preserve"> area. </w:t>
      </w:r>
    </w:p>
    <w:p w:rsidR="009503C9" w:rsidRDefault="009503C9" w:rsidP="0008251C">
      <w:pPr>
        <w:spacing w:line="480" w:lineRule="auto"/>
        <w:contextualSpacing/>
        <w:jc w:val="both"/>
        <w:rPr>
          <w:rFonts w:asciiTheme="majorBidi" w:eastAsia="PMingLiU" w:hAnsiTheme="majorBidi" w:cstheme="majorBidi"/>
          <w:sz w:val="24"/>
          <w:szCs w:val="24"/>
          <w:lang w:eastAsia="zh-TW"/>
        </w:rPr>
      </w:pPr>
    </w:p>
    <w:p w:rsidR="002D53A3" w:rsidRDefault="002D53A3" w:rsidP="007504BF">
      <w:p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 xml:space="preserve">Incomes </w:t>
      </w:r>
      <w:r w:rsidR="007504BF">
        <w:rPr>
          <w:rFonts w:asciiTheme="majorBidi" w:eastAsia="PMingLiU" w:hAnsiTheme="majorBidi" w:cstheme="majorBidi" w:hint="eastAsia"/>
          <w:sz w:val="24"/>
          <w:szCs w:val="24"/>
          <w:lang w:eastAsia="zh-TW"/>
        </w:rPr>
        <w:t>ar</w:t>
      </w:r>
      <w:r>
        <w:rPr>
          <w:rFonts w:asciiTheme="majorBidi" w:eastAsia="PMingLiU" w:hAnsiTheme="majorBidi" w:cstheme="majorBidi" w:hint="eastAsia"/>
          <w:sz w:val="24"/>
          <w:szCs w:val="24"/>
          <w:lang w:eastAsia="zh-TW"/>
        </w:rPr>
        <w:t>e adjusted for inflation using t</w:t>
      </w:r>
      <w:r>
        <w:rPr>
          <w:rFonts w:asciiTheme="majorBidi" w:hAnsiTheme="majorBidi" w:cstheme="majorBidi"/>
          <w:sz w:val="24"/>
          <w:szCs w:val="24"/>
          <w:lang w:eastAsia="zh-TW"/>
        </w:rPr>
        <w:t>he revised RPIJ</w:t>
      </w:r>
      <w:r w:rsidRPr="00886284">
        <w:rPr>
          <w:rFonts w:asciiTheme="majorBidi" w:hAnsiTheme="majorBidi" w:cstheme="majorBidi"/>
          <w:sz w:val="24"/>
          <w:szCs w:val="24"/>
          <w:lang w:eastAsia="zh-TW"/>
        </w:rPr>
        <w:t xml:space="preserve"> measure</w:t>
      </w:r>
      <w:r>
        <w:rPr>
          <w:rFonts w:asciiTheme="majorBidi" w:hAnsiTheme="majorBidi" w:cstheme="majorBidi"/>
          <w:sz w:val="24"/>
          <w:szCs w:val="24"/>
          <w:lang w:eastAsia="zh-TW"/>
        </w:rPr>
        <w:t>, which uses the Jevons formula to calculate a geometric mean of price changes</w:t>
      </w:r>
      <w:r>
        <w:rPr>
          <w:rFonts w:asciiTheme="majorBidi" w:eastAsia="PMingLiU" w:hAnsiTheme="majorBidi" w:cstheme="majorBidi" w:hint="eastAsia"/>
          <w:sz w:val="24"/>
          <w:szCs w:val="24"/>
          <w:lang w:eastAsia="zh-TW"/>
        </w:rPr>
        <w:t>.  This</w:t>
      </w:r>
      <w:r>
        <w:rPr>
          <w:rFonts w:asciiTheme="majorBidi" w:hAnsiTheme="majorBidi" w:cstheme="majorBidi"/>
          <w:sz w:val="24"/>
          <w:szCs w:val="24"/>
          <w:lang w:eastAsia="zh-TW"/>
        </w:rPr>
        <w:t xml:space="preserve"> is preferred to the original RPI measure which has been shown to systematically overstate inflation (Cribb </w:t>
      </w:r>
      <w:r w:rsidRPr="000E2377">
        <w:rPr>
          <w:rFonts w:asciiTheme="majorBidi" w:hAnsiTheme="majorBidi" w:cstheme="majorBidi"/>
          <w:i/>
          <w:iCs/>
          <w:sz w:val="24"/>
          <w:szCs w:val="24"/>
          <w:lang w:eastAsia="zh-TW"/>
        </w:rPr>
        <w:t>et al.</w:t>
      </w:r>
      <w:r>
        <w:rPr>
          <w:rFonts w:asciiTheme="majorBidi" w:hAnsiTheme="majorBidi" w:cstheme="majorBidi"/>
          <w:sz w:val="24"/>
          <w:szCs w:val="24"/>
          <w:lang w:eastAsia="zh-TW"/>
        </w:rPr>
        <w:t>, 2015).  Therefore the choice to use the RPIJ represents a conservative approach: using the RPI leads to even more significant declines in in the cumulative growth index for the population of charities between 2008 and 2014 (18% using RPI, compared to 13% using RPIJ).</w:t>
      </w:r>
    </w:p>
    <w:p w:rsidR="009503C9" w:rsidRDefault="009503C9" w:rsidP="0008251C">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b/>
          <w:bCs/>
          <w:lang w:eastAsia="zh-TW"/>
        </w:rPr>
      </w:pPr>
      <w:r>
        <w:rPr>
          <w:rFonts w:asciiTheme="majorBidi" w:eastAsia="PMingLiU" w:hAnsiTheme="majorBidi" w:cstheme="majorBidi"/>
          <w:b/>
          <w:bCs/>
          <w:lang w:eastAsia="zh-TW"/>
        </w:rPr>
        <w:br w:type="page"/>
      </w:r>
    </w:p>
    <w:p w:rsidR="00EA3BBC" w:rsidRDefault="00DA3150" w:rsidP="0099518A">
      <w:pPr>
        <w:pStyle w:val="NormalWeb"/>
        <w:shd w:val="clear" w:color="auto" w:fill="FFFFFF"/>
        <w:spacing w:before="120" w:beforeAutospacing="0" w:after="120" w:afterAutospacing="0" w:line="480" w:lineRule="auto"/>
        <w:contextualSpacing/>
        <w:jc w:val="both"/>
        <w:rPr>
          <w:rFonts w:asciiTheme="majorBidi" w:hAnsiTheme="majorBidi" w:cstheme="majorBidi"/>
          <w:b/>
          <w:bCs/>
          <w:lang w:eastAsia="zh-TW"/>
        </w:rPr>
      </w:pPr>
      <w:r>
        <w:rPr>
          <w:rFonts w:asciiTheme="majorBidi" w:eastAsia="PMingLiU" w:hAnsiTheme="majorBidi" w:cstheme="majorBidi"/>
          <w:b/>
          <w:bCs/>
          <w:lang w:eastAsia="zh-TW"/>
        </w:rPr>
        <w:lastRenderedPageBreak/>
        <w:t>3</w:t>
      </w:r>
      <w:r w:rsidR="009503C9">
        <w:rPr>
          <w:rFonts w:asciiTheme="majorBidi" w:eastAsia="PMingLiU" w:hAnsiTheme="majorBidi" w:cstheme="majorBidi" w:hint="eastAsia"/>
          <w:b/>
          <w:bCs/>
          <w:lang w:eastAsia="zh-TW"/>
        </w:rPr>
        <w:t>.</w:t>
      </w:r>
      <w:r w:rsidR="00EA3BBC">
        <w:rPr>
          <w:rFonts w:asciiTheme="majorBidi" w:eastAsia="PMingLiU" w:hAnsiTheme="majorBidi" w:cstheme="majorBidi"/>
          <w:lang w:eastAsia="zh-TW"/>
        </w:rPr>
        <w:t xml:space="preserve"> </w:t>
      </w:r>
      <w:r w:rsidR="005B3533">
        <w:rPr>
          <w:rFonts w:asciiTheme="majorBidi" w:hAnsiTheme="majorBidi" w:cstheme="majorBidi"/>
          <w:b/>
          <w:bCs/>
          <w:lang w:eastAsia="zh-TW"/>
        </w:rPr>
        <w:t xml:space="preserve">How </w:t>
      </w:r>
      <w:r w:rsidR="005B3533">
        <w:rPr>
          <w:rFonts w:asciiTheme="majorBidi" w:eastAsia="PMingLiU" w:hAnsiTheme="majorBidi" w:cstheme="majorBidi" w:hint="eastAsia"/>
          <w:b/>
          <w:bCs/>
          <w:lang w:eastAsia="zh-TW"/>
        </w:rPr>
        <w:t>i</w:t>
      </w:r>
      <w:r w:rsidR="00EA3BBC">
        <w:rPr>
          <w:rFonts w:asciiTheme="majorBidi" w:hAnsiTheme="majorBidi" w:cstheme="majorBidi"/>
          <w:b/>
          <w:bCs/>
          <w:lang w:eastAsia="zh-TW"/>
        </w:rPr>
        <w:t>s the cumulative growth index calculated?  Elaboration and worked example</w:t>
      </w:r>
    </w:p>
    <w:p w:rsidR="00EA3BBC" w:rsidRDefault="00EA3BBC" w:rsidP="0099518A">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lang w:eastAsia="zh-TW"/>
        </w:rPr>
      </w:pPr>
    </w:p>
    <w:p w:rsidR="006E6A0D" w:rsidRDefault="006E6A0D" w:rsidP="0099518A">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lang w:eastAsia="zh-TW"/>
        </w:rPr>
      </w:pPr>
      <w:r>
        <w:rPr>
          <w:rFonts w:asciiTheme="majorBidi" w:eastAsia="PMingLiU" w:hAnsiTheme="majorBidi" w:cstheme="majorBidi" w:hint="eastAsia"/>
          <w:i/>
          <w:iCs/>
          <w:lang w:eastAsia="zh-TW"/>
        </w:rPr>
        <w:t>Rationale: the cumulative implications of annual trends</w:t>
      </w:r>
    </w:p>
    <w:p w:rsidR="006E6A0D" w:rsidRDefault="006E6A0D" w:rsidP="0099518A">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lang w:eastAsia="zh-TW"/>
        </w:rPr>
      </w:pPr>
    </w:p>
    <w:p w:rsidR="0078562F" w:rsidRDefault="00F60C09" w:rsidP="0011587A">
      <w:p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T</w:t>
      </w:r>
      <w:r w:rsidRPr="00073BBA">
        <w:rPr>
          <w:rFonts w:asciiTheme="majorBidi" w:eastAsia="PMingLiU" w:hAnsiTheme="majorBidi" w:cstheme="majorBidi"/>
          <w:sz w:val="24"/>
          <w:szCs w:val="24"/>
          <w:lang w:eastAsia="zh-TW"/>
        </w:rPr>
        <w:t xml:space="preserve">his paper provides empirical evidence about trends in the income of </w:t>
      </w:r>
      <w:r w:rsidR="001D5F55">
        <w:rPr>
          <w:rFonts w:asciiTheme="majorBidi" w:eastAsia="PMingLiU" w:hAnsiTheme="majorBidi" w:cstheme="majorBidi" w:hint="eastAsia"/>
          <w:sz w:val="24"/>
          <w:szCs w:val="24"/>
          <w:lang w:eastAsia="zh-TW"/>
        </w:rPr>
        <w:t>charities</w:t>
      </w:r>
      <w:r w:rsidRPr="00073BBA">
        <w:rPr>
          <w:rFonts w:asciiTheme="majorBidi" w:eastAsia="PMingLiU" w:hAnsiTheme="majorBidi" w:cstheme="majorBidi"/>
          <w:sz w:val="24"/>
          <w:szCs w:val="24"/>
          <w:lang w:eastAsia="zh-TW"/>
        </w:rPr>
        <w:t xml:space="preserve"> during the Great Recession and subsequent </w:t>
      </w:r>
      <w:r>
        <w:rPr>
          <w:rFonts w:asciiTheme="majorBidi" w:eastAsia="PMingLiU" w:hAnsiTheme="majorBidi" w:cstheme="majorBidi"/>
          <w:sz w:val="24"/>
          <w:szCs w:val="24"/>
          <w:lang w:eastAsia="zh-TW"/>
        </w:rPr>
        <w:t xml:space="preserve">period of </w:t>
      </w:r>
      <w:r w:rsidRPr="00073BBA">
        <w:rPr>
          <w:rFonts w:asciiTheme="majorBidi" w:eastAsia="PMingLiU" w:hAnsiTheme="majorBidi" w:cstheme="majorBidi"/>
          <w:sz w:val="24"/>
          <w:szCs w:val="24"/>
          <w:lang w:eastAsia="zh-TW"/>
        </w:rPr>
        <w:t>public spending austerity</w:t>
      </w:r>
      <w:r w:rsidRPr="00F60C09">
        <w:rPr>
          <w:rFonts w:asciiTheme="majorBidi" w:eastAsia="PMingLiU" w:hAnsiTheme="majorBidi" w:cstheme="majorBidi"/>
          <w:sz w:val="24"/>
          <w:szCs w:val="24"/>
          <w:lang w:eastAsia="zh-TW"/>
        </w:rPr>
        <w:t>.</w:t>
      </w:r>
      <w:r w:rsidRPr="00F60C09">
        <w:rPr>
          <w:rFonts w:asciiTheme="majorBidi" w:eastAsia="PMingLiU" w:hAnsiTheme="majorBidi" w:cstheme="majorBidi" w:hint="eastAsia"/>
          <w:sz w:val="24"/>
          <w:szCs w:val="24"/>
          <w:lang w:eastAsia="zh-TW"/>
        </w:rPr>
        <w:t xml:space="preserve">  </w:t>
      </w:r>
      <w:r w:rsidR="0078562F" w:rsidRPr="00F60C09">
        <w:rPr>
          <w:rFonts w:asciiTheme="majorBidi" w:eastAsia="PMingLiU" w:hAnsiTheme="majorBidi" w:cstheme="majorBidi" w:hint="eastAsia"/>
          <w:sz w:val="24"/>
          <w:szCs w:val="24"/>
          <w:lang w:eastAsia="zh-TW"/>
        </w:rPr>
        <w:t>T</w:t>
      </w:r>
      <w:r w:rsidR="0078562F" w:rsidRPr="00F60C09">
        <w:rPr>
          <w:rFonts w:asciiTheme="majorBidi" w:eastAsia="PMingLiU" w:hAnsiTheme="majorBidi" w:cstheme="majorBidi"/>
          <w:sz w:val="24"/>
          <w:szCs w:val="24"/>
          <w:lang w:eastAsia="zh-TW"/>
        </w:rPr>
        <w:t>h</w:t>
      </w:r>
      <w:r w:rsidR="0078562F" w:rsidRPr="00F60C09">
        <w:rPr>
          <w:rFonts w:asciiTheme="majorBidi" w:eastAsia="PMingLiU" w:hAnsiTheme="majorBidi" w:cstheme="majorBidi" w:hint="eastAsia"/>
          <w:sz w:val="24"/>
          <w:szCs w:val="24"/>
          <w:lang w:eastAsia="zh-TW"/>
        </w:rPr>
        <w:t>e purpose of the cumulative growth index is to provide insight into the cumulative implications of</w:t>
      </w:r>
      <w:r w:rsidR="0078562F">
        <w:rPr>
          <w:rFonts w:asciiTheme="majorBidi" w:eastAsia="PMingLiU" w:hAnsiTheme="majorBidi" w:cstheme="majorBidi" w:hint="eastAsia"/>
          <w:sz w:val="24"/>
          <w:szCs w:val="24"/>
          <w:lang w:eastAsia="zh-TW"/>
        </w:rPr>
        <w:t xml:space="preserve"> annual changes in income.  Indeed t</w:t>
      </w:r>
      <w:r w:rsidR="00A17C7F">
        <w:rPr>
          <w:rFonts w:asciiTheme="majorBidi" w:eastAsia="PMingLiU" w:hAnsiTheme="majorBidi" w:cstheme="majorBidi" w:hint="eastAsia"/>
          <w:sz w:val="24"/>
          <w:szCs w:val="24"/>
          <w:lang w:eastAsia="zh-TW"/>
        </w:rPr>
        <w:t>he salience of the economic downturn for charities is best understood from two complementary perspectives</w:t>
      </w:r>
      <w:r w:rsidR="0078562F">
        <w:rPr>
          <w:rFonts w:asciiTheme="majorBidi" w:eastAsia="PMingLiU" w:hAnsiTheme="majorBidi" w:cstheme="majorBidi" w:hint="eastAsia"/>
          <w:sz w:val="24"/>
          <w:szCs w:val="24"/>
          <w:lang w:eastAsia="zh-TW"/>
        </w:rPr>
        <w:t>: not only consider</w:t>
      </w:r>
      <w:r w:rsidR="0011587A">
        <w:rPr>
          <w:rFonts w:asciiTheme="majorBidi" w:eastAsia="PMingLiU" w:hAnsiTheme="majorBidi" w:cstheme="majorBidi"/>
          <w:sz w:val="24"/>
          <w:szCs w:val="24"/>
          <w:lang w:eastAsia="zh-TW"/>
        </w:rPr>
        <w:t>ing</w:t>
      </w:r>
      <w:r w:rsidR="0078562F">
        <w:rPr>
          <w:rFonts w:asciiTheme="majorBidi" w:eastAsia="PMingLiU" w:hAnsiTheme="majorBidi" w:cstheme="majorBidi" w:hint="eastAsia"/>
          <w:sz w:val="24"/>
          <w:szCs w:val="24"/>
          <w:lang w:eastAsia="zh-TW"/>
        </w:rPr>
        <w:t xml:space="preserve"> year-on-year changes but also consider</w:t>
      </w:r>
      <w:r w:rsidR="0011587A">
        <w:rPr>
          <w:rFonts w:asciiTheme="majorBidi" w:eastAsia="PMingLiU" w:hAnsiTheme="majorBidi" w:cstheme="majorBidi"/>
          <w:sz w:val="24"/>
          <w:szCs w:val="24"/>
          <w:lang w:eastAsia="zh-TW"/>
        </w:rPr>
        <w:t>ing</w:t>
      </w:r>
      <w:r w:rsidR="0078562F">
        <w:rPr>
          <w:rFonts w:asciiTheme="majorBidi" w:eastAsia="PMingLiU" w:hAnsiTheme="majorBidi" w:cstheme="majorBidi" w:hint="eastAsia"/>
          <w:sz w:val="24"/>
          <w:szCs w:val="24"/>
          <w:lang w:eastAsia="zh-TW"/>
        </w:rPr>
        <w:t xml:space="preserve"> </w:t>
      </w:r>
      <w:r w:rsidR="00A215D6">
        <w:rPr>
          <w:rFonts w:asciiTheme="majorBidi" w:eastAsia="PMingLiU" w:hAnsiTheme="majorBidi" w:cstheme="majorBidi" w:hint="eastAsia"/>
          <w:sz w:val="24"/>
          <w:szCs w:val="24"/>
          <w:lang w:eastAsia="zh-TW"/>
        </w:rPr>
        <w:t xml:space="preserve">the potential for a compound effect through </w:t>
      </w:r>
      <w:r w:rsidR="0078562F">
        <w:rPr>
          <w:rFonts w:asciiTheme="majorBidi" w:eastAsia="PMingLiU" w:hAnsiTheme="majorBidi" w:cstheme="majorBidi" w:hint="eastAsia"/>
          <w:sz w:val="24"/>
          <w:szCs w:val="24"/>
          <w:lang w:eastAsia="zh-TW"/>
        </w:rPr>
        <w:t>successive year-on-year income</w:t>
      </w:r>
      <w:r w:rsidR="00A215D6">
        <w:rPr>
          <w:rFonts w:asciiTheme="majorBidi" w:eastAsia="PMingLiU" w:hAnsiTheme="majorBidi" w:cstheme="majorBidi" w:hint="eastAsia"/>
          <w:sz w:val="24"/>
          <w:szCs w:val="24"/>
          <w:lang w:eastAsia="zh-TW"/>
        </w:rPr>
        <w:t xml:space="preserve"> declines.</w:t>
      </w:r>
    </w:p>
    <w:p w:rsidR="0078562F" w:rsidRDefault="0078562F" w:rsidP="0099518A">
      <w:pPr>
        <w:spacing w:line="480" w:lineRule="auto"/>
        <w:contextualSpacing/>
        <w:jc w:val="both"/>
        <w:rPr>
          <w:rFonts w:asciiTheme="majorBidi" w:eastAsia="PMingLiU" w:hAnsiTheme="majorBidi" w:cstheme="majorBidi"/>
          <w:sz w:val="24"/>
          <w:szCs w:val="24"/>
          <w:lang w:eastAsia="zh-TW"/>
        </w:rPr>
      </w:pPr>
    </w:p>
    <w:p w:rsidR="00B64A5D" w:rsidRDefault="00B64A5D" w:rsidP="0099518A">
      <w:pPr>
        <w:spacing w:line="480" w:lineRule="auto"/>
        <w:contextualSpacing/>
        <w:jc w:val="both"/>
        <w:rPr>
          <w:rFonts w:asciiTheme="majorBidi" w:eastAsia="PMingLiU" w:hAnsiTheme="majorBidi" w:cstheme="majorBidi"/>
          <w:i/>
          <w:iCs/>
          <w:sz w:val="24"/>
          <w:szCs w:val="24"/>
          <w:lang w:eastAsia="zh-TW"/>
        </w:rPr>
      </w:pPr>
      <w:r>
        <w:rPr>
          <w:rFonts w:asciiTheme="majorBidi" w:eastAsia="PMingLiU" w:hAnsiTheme="majorBidi" w:cstheme="majorBidi" w:hint="eastAsia"/>
          <w:i/>
          <w:iCs/>
          <w:sz w:val="24"/>
          <w:szCs w:val="24"/>
          <w:lang w:eastAsia="zh-TW"/>
        </w:rPr>
        <w:t>Worked example</w:t>
      </w:r>
    </w:p>
    <w:p w:rsidR="0099518A" w:rsidRPr="00B64A5D" w:rsidRDefault="0099518A" w:rsidP="0099518A">
      <w:pPr>
        <w:spacing w:line="480" w:lineRule="auto"/>
        <w:contextualSpacing/>
        <w:jc w:val="both"/>
        <w:rPr>
          <w:rFonts w:asciiTheme="majorBidi" w:eastAsia="PMingLiU" w:hAnsiTheme="majorBidi" w:cstheme="majorBidi"/>
          <w:sz w:val="24"/>
          <w:szCs w:val="24"/>
          <w:lang w:eastAsia="zh-TW"/>
        </w:rPr>
      </w:pPr>
    </w:p>
    <w:p w:rsidR="00AD47AE" w:rsidRDefault="00AD47AE" w:rsidP="0099518A">
      <w:pPr>
        <w:pStyle w:val="NormalWeb"/>
        <w:shd w:val="clear" w:color="auto" w:fill="FFFFFF"/>
        <w:spacing w:before="120" w:beforeAutospacing="0" w:after="120" w:afterAutospacing="0" w:line="480" w:lineRule="auto"/>
        <w:contextualSpacing/>
        <w:jc w:val="both"/>
        <w:rPr>
          <w:rFonts w:asciiTheme="majorBidi" w:hAnsiTheme="majorBidi" w:cstheme="majorBidi"/>
          <w:lang w:eastAsia="zh-TW"/>
        </w:rPr>
      </w:pPr>
      <w:r>
        <w:rPr>
          <w:rFonts w:asciiTheme="majorBidi" w:hAnsiTheme="majorBidi" w:cstheme="majorBidi"/>
          <w:lang w:eastAsia="zh-TW"/>
        </w:rPr>
        <w:t xml:space="preserve">The cumulative growth index, defined in equation (2) </w:t>
      </w:r>
      <w:r>
        <w:rPr>
          <w:rFonts w:asciiTheme="majorBidi" w:eastAsia="PMingLiU" w:hAnsiTheme="majorBidi" w:cstheme="majorBidi" w:hint="eastAsia"/>
          <w:lang w:eastAsia="zh-TW"/>
        </w:rPr>
        <w:t>in the manuscript</w:t>
      </w:r>
      <w:r>
        <w:rPr>
          <w:rFonts w:asciiTheme="majorBidi" w:hAnsiTheme="majorBidi" w:cstheme="majorBidi"/>
          <w:lang w:eastAsia="zh-TW"/>
        </w:rPr>
        <w:t xml:space="preserve">, answers the question: </w:t>
      </w:r>
    </w:p>
    <w:p w:rsidR="00AD47AE" w:rsidRDefault="00AD47AE" w:rsidP="0099518A">
      <w:pPr>
        <w:pStyle w:val="NormalWeb"/>
        <w:shd w:val="clear" w:color="auto" w:fill="FFFFFF"/>
        <w:spacing w:before="120" w:beforeAutospacing="0" w:after="120" w:afterAutospacing="0" w:line="480" w:lineRule="auto"/>
        <w:ind w:left="720"/>
        <w:contextualSpacing/>
        <w:jc w:val="both"/>
        <w:rPr>
          <w:rFonts w:asciiTheme="majorBidi" w:eastAsia="PMingLiU" w:hAnsiTheme="majorBidi" w:cstheme="majorBidi"/>
          <w:i/>
          <w:iCs/>
          <w:lang w:eastAsia="zh-TW"/>
        </w:rPr>
      </w:pPr>
    </w:p>
    <w:p w:rsidR="00AD47AE" w:rsidRPr="008C7280" w:rsidRDefault="00AD47AE" w:rsidP="0099518A">
      <w:pPr>
        <w:pStyle w:val="NormalWeb"/>
        <w:shd w:val="clear" w:color="auto" w:fill="FFFFFF"/>
        <w:spacing w:before="120" w:beforeAutospacing="0" w:after="120" w:afterAutospacing="0" w:line="480" w:lineRule="auto"/>
        <w:ind w:left="720"/>
        <w:contextualSpacing/>
        <w:jc w:val="both"/>
        <w:rPr>
          <w:rFonts w:asciiTheme="majorBidi" w:hAnsiTheme="majorBidi" w:cstheme="majorBidi"/>
          <w:i/>
          <w:iCs/>
          <w:lang w:eastAsia="zh-TW"/>
        </w:rPr>
      </w:pPr>
      <w:r w:rsidRPr="008C7280">
        <w:rPr>
          <w:rFonts w:asciiTheme="majorBidi" w:hAnsiTheme="majorBidi" w:cstheme="majorBidi"/>
          <w:i/>
          <w:iCs/>
          <w:lang w:eastAsia="zh-TW"/>
        </w:rPr>
        <w:t>How would a charity’s income have changed</w:t>
      </w:r>
      <w:r>
        <w:rPr>
          <w:rFonts w:asciiTheme="majorBidi" w:eastAsia="PMingLiU" w:hAnsiTheme="majorBidi" w:cstheme="majorBidi" w:hint="eastAsia"/>
          <w:i/>
          <w:iCs/>
          <w:lang w:eastAsia="zh-TW"/>
        </w:rPr>
        <w:t xml:space="preserve"> during the period</w:t>
      </w:r>
      <w:r w:rsidRPr="008C7280">
        <w:rPr>
          <w:rFonts w:asciiTheme="majorBidi" w:hAnsiTheme="majorBidi" w:cstheme="majorBidi"/>
          <w:i/>
          <w:iCs/>
          <w:lang w:eastAsia="zh-TW"/>
        </w:rPr>
        <w:t xml:space="preserve"> </w:t>
      </w:r>
      <w:r>
        <w:rPr>
          <w:rFonts w:asciiTheme="majorBidi" w:hAnsiTheme="majorBidi" w:cstheme="majorBidi"/>
          <w:i/>
          <w:iCs/>
          <w:lang w:eastAsia="zh-TW"/>
        </w:rPr>
        <w:t>between 1999 and 2014</w:t>
      </w:r>
      <w:r w:rsidRPr="008C7280">
        <w:rPr>
          <w:rFonts w:asciiTheme="majorBidi" w:hAnsiTheme="majorBidi" w:cstheme="majorBidi"/>
          <w:i/>
          <w:iCs/>
          <w:lang w:eastAsia="zh-TW"/>
        </w:rPr>
        <w:t xml:space="preserve"> if it</w:t>
      </w:r>
      <w:r>
        <w:rPr>
          <w:rFonts w:asciiTheme="majorBidi" w:hAnsiTheme="majorBidi" w:cstheme="majorBidi"/>
          <w:i/>
          <w:iCs/>
          <w:lang w:eastAsia="zh-TW"/>
        </w:rPr>
        <w:t xml:space="preserve"> had, for every year of this</w:t>
      </w:r>
      <w:r w:rsidRPr="008C7280">
        <w:rPr>
          <w:rFonts w:asciiTheme="majorBidi" w:hAnsiTheme="majorBidi" w:cstheme="majorBidi"/>
          <w:i/>
          <w:iCs/>
          <w:lang w:eastAsia="zh-TW"/>
        </w:rPr>
        <w:t xml:space="preserve"> analysis period</w:t>
      </w:r>
      <w:r>
        <w:rPr>
          <w:rFonts w:asciiTheme="majorBidi" w:hAnsiTheme="majorBidi" w:cstheme="majorBidi"/>
          <w:i/>
          <w:iCs/>
          <w:lang w:eastAsia="zh-TW"/>
        </w:rPr>
        <w:t>,</w:t>
      </w:r>
      <w:r w:rsidRPr="008C7280">
        <w:rPr>
          <w:rFonts w:asciiTheme="majorBidi" w:hAnsiTheme="majorBidi" w:cstheme="majorBidi"/>
          <w:i/>
          <w:iCs/>
          <w:lang w:eastAsia="zh-TW"/>
        </w:rPr>
        <w:t xml:space="preserve"> experienced the median (‘typical’) annual relative real growth rate?</w:t>
      </w:r>
    </w:p>
    <w:p w:rsidR="00EA3BBC" w:rsidRDefault="00EA3BBC" w:rsidP="0099518A">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lang w:eastAsia="zh-TW"/>
        </w:rPr>
      </w:pPr>
    </w:p>
    <w:p w:rsidR="00B64A5D" w:rsidRDefault="00B64A5D" w:rsidP="0099518A">
      <w:pPr>
        <w:pStyle w:val="NormalWeb"/>
        <w:shd w:val="clear" w:color="auto" w:fill="FFFFFF"/>
        <w:spacing w:before="120" w:beforeAutospacing="0" w:after="120" w:afterAutospacing="0" w:line="480" w:lineRule="auto"/>
        <w:contextualSpacing/>
        <w:jc w:val="both"/>
        <w:rPr>
          <w:rFonts w:asciiTheme="majorBidi" w:hAnsiTheme="majorBidi" w:cstheme="majorBidi"/>
          <w:lang w:eastAsia="zh-TW"/>
        </w:rPr>
      </w:pPr>
      <w:r>
        <w:rPr>
          <w:rFonts w:asciiTheme="majorBidi" w:hAnsiTheme="majorBidi" w:cstheme="majorBidi"/>
          <w:lang w:eastAsia="zh-TW"/>
        </w:rPr>
        <w:t>Table A1</w:t>
      </w:r>
      <w:r>
        <w:rPr>
          <w:rFonts w:asciiTheme="majorBidi" w:eastAsia="PMingLiU" w:hAnsiTheme="majorBidi" w:cstheme="majorBidi" w:hint="eastAsia"/>
          <w:lang w:eastAsia="zh-TW"/>
        </w:rPr>
        <w:t xml:space="preserve"> </w:t>
      </w:r>
      <w:r>
        <w:rPr>
          <w:rFonts w:asciiTheme="majorBidi" w:hAnsiTheme="majorBidi" w:cstheme="majorBidi"/>
          <w:lang w:eastAsia="zh-TW"/>
        </w:rPr>
        <w:t xml:space="preserve">provides a worked example.  </w:t>
      </w:r>
      <w:r>
        <w:rPr>
          <w:rFonts w:asciiTheme="majorBidi" w:hAnsiTheme="majorBidi" w:cstheme="majorBidi"/>
          <w:lang w:eastAsia="zh-TW"/>
        </w:rPr>
        <w:br w:type="page"/>
      </w:r>
    </w:p>
    <w:p w:rsidR="00EA3BBC" w:rsidRDefault="00EA3BBC" w:rsidP="0099518A">
      <w:pPr>
        <w:pStyle w:val="NormalWeb"/>
        <w:shd w:val="clear" w:color="auto" w:fill="FFFFFF"/>
        <w:spacing w:before="120" w:beforeAutospacing="0" w:after="120" w:afterAutospacing="0" w:line="480" w:lineRule="auto"/>
        <w:contextualSpacing/>
        <w:jc w:val="both"/>
        <w:rPr>
          <w:rFonts w:asciiTheme="majorBidi" w:hAnsiTheme="majorBidi" w:cstheme="majorBidi"/>
          <w:lang w:eastAsia="zh-TW"/>
        </w:rPr>
      </w:pPr>
      <w:r>
        <w:rPr>
          <w:rFonts w:asciiTheme="majorBidi" w:hAnsiTheme="majorBidi" w:cstheme="majorBidi"/>
          <w:lang w:eastAsia="zh-TW"/>
        </w:rPr>
        <w:lastRenderedPageBreak/>
        <w:t xml:space="preserve">TABLE A1 Calculation of cumulative growth index </w:t>
      </w:r>
      <m:oMath>
        <m:sSub>
          <m:sSubPr>
            <m:ctrlPr>
              <w:rPr>
                <w:rFonts w:ascii="Cambria Math" w:hAnsi="Cambria Math" w:cstheme="majorBidi"/>
                <w:i/>
                <w:lang w:eastAsia="zh-TW"/>
              </w:rPr>
            </m:ctrlPr>
          </m:sSubPr>
          <m:e>
            <m:r>
              <w:rPr>
                <w:rFonts w:ascii="Cambria Math" w:hAnsi="Cambria Math" w:cstheme="majorBidi"/>
                <w:lang w:eastAsia="zh-TW"/>
              </w:rPr>
              <m:t>c</m:t>
            </m:r>
          </m:e>
          <m:sub>
            <m:r>
              <w:rPr>
                <w:rFonts w:ascii="Cambria Math" w:hAnsi="Cambria Math" w:cstheme="majorBidi"/>
                <w:lang w:eastAsia="zh-TW"/>
              </w:rPr>
              <m:t>n</m:t>
            </m:r>
          </m:sub>
        </m:sSub>
      </m:oMath>
      <w:r>
        <w:rPr>
          <w:rFonts w:asciiTheme="majorBidi" w:hAnsiTheme="majorBidi" w:cstheme="majorBidi"/>
          <w:lang w:eastAsia="zh-TW"/>
        </w:rPr>
        <w:t xml:space="preserve"> as the product of the sequence of median annual relative real growth rates </w:t>
      </w:r>
      <m:oMath>
        <m:sSub>
          <m:sSubPr>
            <m:ctrlPr>
              <w:rPr>
                <w:rFonts w:ascii="Cambria Math" w:hAnsi="Cambria Math" w:cstheme="majorBidi"/>
                <w:i/>
                <w:lang w:eastAsia="zh-TW"/>
              </w:rPr>
            </m:ctrlPr>
          </m:sSubPr>
          <m:e>
            <m:acc>
              <m:accPr>
                <m:chr m:val="̃"/>
                <m:ctrlPr>
                  <w:rPr>
                    <w:rFonts w:ascii="Cambria Math" w:hAnsi="Cambria Math" w:cstheme="majorBidi"/>
                    <w:i/>
                    <w:lang w:eastAsia="zh-TW"/>
                  </w:rPr>
                </m:ctrlPr>
              </m:accPr>
              <m:e>
                <m:r>
                  <w:rPr>
                    <w:rFonts w:ascii="Cambria Math" w:hAnsi="Cambria Math" w:cstheme="majorBidi"/>
                    <w:lang w:eastAsia="zh-TW"/>
                  </w:rPr>
                  <m:t>y</m:t>
                </m:r>
              </m:e>
            </m:acc>
          </m:e>
          <m:sub>
            <m:r>
              <w:rPr>
                <w:rFonts w:ascii="Cambria Math" w:hAnsi="Cambria Math" w:cstheme="majorBidi"/>
                <w:lang w:eastAsia="zh-TW"/>
              </w:rPr>
              <m:t>t</m:t>
            </m:r>
          </m:sub>
        </m:sSub>
      </m:oMath>
      <w:r>
        <w:rPr>
          <w:rFonts w:asciiTheme="majorBidi" w:hAnsiTheme="majorBidi" w:cstheme="majorBidi"/>
          <w:lang w:eastAsia="zh-TW"/>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1176"/>
        <w:gridCol w:w="1176"/>
      </w:tblGrid>
      <w:tr w:rsidR="00EA3BBC" w:rsidRPr="00512A8D" w:rsidTr="00EB4768">
        <w:trPr>
          <w:trHeight w:hRule="exact" w:val="397"/>
          <w:jc w:val="center"/>
        </w:trPr>
        <w:tc>
          <w:tcPr>
            <w:tcW w:w="960" w:type="dxa"/>
            <w:tcBorders>
              <w:bottom w:val="single" w:sz="4" w:space="0" w:color="auto"/>
            </w:tcBorders>
            <w:noWrap/>
            <w:vAlign w:val="center"/>
            <w:hideMark/>
          </w:tcPr>
          <w:p w:rsidR="00EA3BBC" w:rsidRPr="00512A8D" w:rsidRDefault="00EA3BBC" w:rsidP="0099518A">
            <w:pPr>
              <w:pStyle w:val="NormalWeb"/>
              <w:shd w:val="clear" w:color="auto" w:fill="FFFFFF"/>
              <w:spacing w:before="120" w:beforeAutospacing="0" w:after="120" w:afterAutospacing="0" w:line="480" w:lineRule="auto"/>
              <w:contextualSpacing/>
              <w:jc w:val="center"/>
              <w:rPr>
                <w:rFonts w:asciiTheme="minorHAnsi" w:hAnsiTheme="minorHAnsi" w:cstheme="majorBidi"/>
                <w:lang w:eastAsia="zh-TW"/>
              </w:rPr>
            </w:pPr>
          </w:p>
        </w:tc>
        <w:tc>
          <w:tcPr>
            <w:tcW w:w="976" w:type="dxa"/>
            <w:tcBorders>
              <w:bottom w:val="single" w:sz="4" w:space="0" w:color="auto"/>
            </w:tcBorders>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960"/>
            </w:tblGrid>
            <w:tr w:rsidR="00EA3BBC" w:rsidRPr="00512A8D" w:rsidTr="00EB4768">
              <w:trPr>
                <w:trHeight w:val="300"/>
                <w:tblCellSpacing w:w="0" w:type="dxa"/>
              </w:trPr>
              <w:tc>
                <w:tcPr>
                  <w:tcW w:w="960" w:type="dxa"/>
                  <w:tcBorders>
                    <w:top w:val="nil"/>
                    <w:left w:val="nil"/>
                    <w:bottom w:val="nil"/>
                    <w:right w:val="nil"/>
                  </w:tcBorders>
                  <w:shd w:val="clear" w:color="auto" w:fill="auto"/>
                  <w:noWrap/>
                  <w:vAlign w:val="bottom"/>
                </w:tcPr>
                <w:p w:rsidR="00EA3BBC" w:rsidRPr="00512A8D" w:rsidRDefault="00C75BBC" w:rsidP="0099518A">
                  <w:pPr>
                    <w:pStyle w:val="NormalWeb"/>
                    <w:shd w:val="clear" w:color="auto" w:fill="FFFFFF"/>
                    <w:spacing w:before="120" w:beforeAutospacing="0" w:after="120" w:afterAutospacing="0" w:line="480" w:lineRule="auto"/>
                    <w:contextualSpacing/>
                    <w:jc w:val="center"/>
                    <w:rPr>
                      <w:rFonts w:asciiTheme="minorHAnsi" w:hAnsiTheme="minorHAnsi" w:cstheme="majorBidi"/>
                      <w:lang w:eastAsia="zh-TW"/>
                    </w:rPr>
                  </w:pPr>
                  <m:oMathPara>
                    <m:oMath>
                      <m:sSub>
                        <m:sSubPr>
                          <m:ctrlPr>
                            <w:rPr>
                              <w:rFonts w:ascii="Cambria Math" w:hAnsi="Cambria Math" w:cstheme="majorBidi"/>
                              <w:i/>
                              <w:lang w:eastAsia="zh-TW"/>
                            </w:rPr>
                          </m:ctrlPr>
                        </m:sSubPr>
                        <m:e>
                          <m:acc>
                            <m:accPr>
                              <m:chr m:val="̃"/>
                              <m:ctrlPr>
                                <w:rPr>
                                  <w:rFonts w:ascii="Cambria Math" w:hAnsi="Cambria Math" w:cstheme="majorBidi"/>
                                  <w:i/>
                                  <w:lang w:eastAsia="zh-TW"/>
                                </w:rPr>
                              </m:ctrlPr>
                            </m:accPr>
                            <m:e>
                              <m:r>
                                <w:rPr>
                                  <w:rFonts w:ascii="Cambria Math" w:hAnsi="Cambria Math" w:cstheme="majorBidi"/>
                                  <w:lang w:eastAsia="zh-TW"/>
                                </w:rPr>
                                <m:t>y</m:t>
                              </m:r>
                            </m:e>
                          </m:acc>
                        </m:e>
                        <m:sub>
                          <m:r>
                            <w:rPr>
                              <w:rFonts w:ascii="Cambria Math" w:hAnsi="Cambria Math" w:cstheme="majorBidi"/>
                              <w:lang w:eastAsia="zh-TW"/>
                            </w:rPr>
                            <m:t>t</m:t>
                          </m:r>
                        </m:sub>
                      </m:sSub>
                    </m:oMath>
                  </m:oMathPara>
                </w:p>
              </w:tc>
            </w:tr>
          </w:tbl>
          <w:p w:rsidR="00EA3BBC" w:rsidRPr="00512A8D" w:rsidRDefault="00EA3BBC" w:rsidP="0099518A">
            <w:pPr>
              <w:pStyle w:val="NormalWeb"/>
              <w:shd w:val="clear" w:color="auto" w:fill="FFFFFF"/>
              <w:spacing w:before="120" w:beforeAutospacing="0" w:after="120" w:afterAutospacing="0" w:line="480" w:lineRule="auto"/>
              <w:contextualSpacing/>
              <w:jc w:val="center"/>
              <w:rPr>
                <w:rFonts w:asciiTheme="minorHAnsi" w:hAnsiTheme="minorHAnsi" w:cstheme="majorBidi"/>
                <w:lang w:eastAsia="zh-TW"/>
              </w:rPr>
            </w:pPr>
          </w:p>
        </w:tc>
        <w:tc>
          <w:tcPr>
            <w:tcW w:w="976" w:type="dxa"/>
            <w:tcBorders>
              <w:bottom w:val="single" w:sz="4" w:space="0" w:color="auto"/>
            </w:tcBorders>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960"/>
            </w:tblGrid>
            <w:tr w:rsidR="00EA3BBC" w:rsidRPr="00512A8D" w:rsidTr="00EB4768">
              <w:trPr>
                <w:trHeight w:val="300"/>
                <w:tblCellSpacing w:w="0" w:type="dxa"/>
              </w:trPr>
              <w:tc>
                <w:tcPr>
                  <w:tcW w:w="960" w:type="dxa"/>
                  <w:tcBorders>
                    <w:top w:val="nil"/>
                    <w:left w:val="nil"/>
                    <w:bottom w:val="nil"/>
                    <w:right w:val="nil"/>
                  </w:tcBorders>
                  <w:shd w:val="clear" w:color="auto" w:fill="auto"/>
                  <w:noWrap/>
                  <w:vAlign w:val="bottom"/>
                </w:tcPr>
                <w:p w:rsidR="00EA3BBC" w:rsidRPr="00512A8D" w:rsidRDefault="00C75BBC" w:rsidP="0099518A">
                  <w:pPr>
                    <w:pStyle w:val="NormalWeb"/>
                    <w:shd w:val="clear" w:color="auto" w:fill="FFFFFF"/>
                    <w:spacing w:before="120" w:beforeAutospacing="0" w:after="120" w:afterAutospacing="0" w:line="480" w:lineRule="auto"/>
                    <w:contextualSpacing/>
                    <w:jc w:val="center"/>
                    <w:rPr>
                      <w:rFonts w:asciiTheme="minorHAnsi" w:hAnsiTheme="minorHAnsi" w:cstheme="majorBidi"/>
                      <w:lang w:eastAsia="zh-TW"/>
                    </w:rPr>
                  </w:pPr>
                  <m:oMathPara>
                    <m:oMathParaPr>
                      <m:jc m:val="center"/>
                    </m:oMathParaPr>
                    <m:oMath>
                      <m:sSub>
                        <m:sSubPr>
                          <m:ctrlPr>
                            <w:rPr>
                              <w:rFonts w:ascii="Cambria Math" w:hAnsi="Cambria Math" w:cstheme="majorBidi"/>
                              <w:i/>
                              <w:lang w:eastAsia="zh-TW"/>
                            </w:rPr>
                          </m:ctrlPr>
                        </m:sSubPr>
                        <m:e>
                          <m:r>
                            <w:rPr>
                              <w:rFonts w:ascii="Cambria Math" w:hAnsi="Cambria Math" w:cstheme="majorBidi"/>
                              <w:lang w:eastAsia="zh-TW"/>
                            </w:rPr>
                            <m:t>c</m:t>
                          </m:r>
                        </m:e>
                        <m:sub>
                          <m:r>
                            <w:rPr>
                              <w:rFonts w:ascii="Cambria Math" w:hAnsi="Cambria Math" w:cstheme="majorBidi"/>
                              <w:lang w:eastAsia="zh-TW"/>
                            </w:rPr>
                            <m:t>n</m:t>
                          </m:r>
                        </m:sub>
                      </m:sSub>
                    </m:oMath>
                  </m:oMathPara>
                </w:p>
              </w:tc>
            </w:tr>
          </w:tbl>
          <w:p w:rsidR="00EA3BBC" w:rsidRPr="00512A8D" w:rsidRDefault="00EA3BBC" w:rsidP="0099518A">
            <w:pPr>
              <w:pStyle w:val="NormalWeb"/>
              <w:shd w:val="clear" w:color="auto" w:fill="FFFFFF"/>
              <w:spacing w:before="120" w:beforeAutospacing="0" w:after="120" w:afterAutospacing="0" w:line="480" w:lineRule="auto"/>
              <w:contextualSpacing/>
              <w:jc w:val="center"/>
              <w:rPr>
                <w:rFonts w:asciiTheme="minorHAnsi" w:hAnsiTheme="minorHAnsi" w:cstheme="majorBidi"/>
                <w:lang w:eastAsia="zh-TW"/>
              </w:rPr>
            </w:pPr>
          </w:p>
        </w:tc>
      </w:tr>
      <w:tr w:rsidR="00EA3BBC" w:rsidRPr="00512A8D" w:rsidTr="00EB4768">
        <w:trPr>
          <w:trHeight w:hRule="exact" w:val="397"/>
          <w:jc w:val="center"/>
        </w:trPr>
        <w:tc>
          <w:tcPr>
            <w:tcW w:w="960" w:type="dxa"/>
            <w:tcBorders>
              <w:top w:val="single" w:sz="4" w:space="0" w:color="auto"/>
            </w:tcBorders>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1999</w:t>
            </w:r>
          </w:p>
        </w:tc>
        <w:tc>
          <w:tcPr>
            <w:tcW w:w="976" w:type="dxa"/>
            <w:tcBorders>
              <w:top w:val="single" w:sz="4" w:space="0" w:color="auto"/>
            </w:tcBorders>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p>
        </w:tc>
        <w:tc>
          <w:tcPr>
            <w:tcW w:w="976" w:type="dxa"/>
            <w:tcBorders>
              <w:top w:val="single" w:sz="4" w:space="0" w:color="auto"/>
            </w:tcBorders>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100.000</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2000</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0.998493</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99.849</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2001</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0.995554</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99.405</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2002</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0.992371</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98.647</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2003</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0.995901</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98.243</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2004</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0.988480</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97.111</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2005</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0.998284</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96.944</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2006</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1.007515</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97.673</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2007</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1.000351</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97.707</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2008</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1.004144</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98.112</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2009</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0.982938</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96.438</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2010</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0.988160</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95.296</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2011</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0.961466</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91.624</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2012</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0.962675</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88.204</w:t>
            </w:r>
          </w:p>
        </w:tc>
      </w:tr>
      <w:tr w:rsidR="00EA3BBC" w:rsidRPr="00512A8D" w:rsidTr="00EB4768">
        <w:trPr>
          <w:trHeight w:hRule="exact" w:val="397"/>
          <w:jc w:val="center"/>
        </w:trPr>
        <w:tc>
          <w:tcPr>
            <w:tcW w:w="960" w:type="dxa"/>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2013</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0.982788</w:t>
            </w:r>
          </w:p>
        </w:tc>
        <w:tc>
          <w:tcPr>
            <w:tcW w:w="976" w:type="dxa"/>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86.686</w:t>
            </w:r>
          </w:p>
        </w:tc>
      </w:tr>
      <w:tr w:rsidR="00EA3BBC" w:rsidRPr="00512A8D" w:rsidTr="00EB4768">
        <w:trPr>
          <w:trHeight w:hRule="exact" w:val="397"/>
          <w:jc w:val="center"/>
        </w:trPr>
        <w:tc>
          <w:tcPr>
            <w:tcW w:w="960" w:type="dxa"/>
            <w:tcBorders>
              <w:bottom w:val="single" w:sz="4" w:space="0" w:color="auto"/>
            </w:tcBorders>
            <w:noWrap/>
            <w:vAlign w:val="center"/>
            <w:hideMark/>
          </w:tcPr>
          <w:p w:rsidR="00EA3BBC" w:rsidRPr="00512A8D" w:rsidRDefault="00EA3BBC" w:rsidP="0099518A">
            <w:pPr>
              <w:pStyle w:val="NormalWeb"/>
              <w:shd w:val="clear" w:color="auto" w:fill="FFFFFF"/>
              <w:spacing w:before="120" w:after="120" w:line="480" w:lineRule="auto"/>
              <w:contextualSpacing/>
              <w:jc w:val="both"/>
              <w:rPr>
                <w:rFonts w:asciiTheme="minorHAnsi" w:hAnsiTheme="minorHAnsi" w:cstheme="majorBidi"/>
                <w:lang w:eastAsia="zh-TW"/>
              </w:rPr>
            </w:pPr>
            <w:r w:rsidRPr="00512A8D">
              <w:rPr>
                <w:rFonts w:asciiTheme="minorHAnsi" w:hAnsiTheme="minorHAnsi" w:cstheme="majorBidi"/>
                <w:lang w:eastAsia="zh-TW"/>
              </w:rPr>
              <w:t>2014</w:t>
            </w:r>
          </w:p>
        </w:tc>
        <w:tc>
          <w:tcPr>
            <w:tcW w:w="976" w:type="dxa"/>
            <w:tcBorders>
              <w:bottom w:val="single" w:sz="4" w:space="0" w:color="auto"/>
            </w:tcBorders>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0.988616</w:t>
            </w:r>
          </w:p>
        </w:tc>
        <w:tc>
          <w:tcPr>
            <w:tcW w:w="976" w:type="dxa"/>
            <w:tcBorders>
              <w:bottom w:val="single" w:sz="4" w:space="0" w:color="auto"/>
            </w:tcBorders>
            <w:noWrap/>
            <w:vAlign w:val="center"/>
            <w:hideMark/>
          </w:tcPr>
          <w:p w:rsidR="00EA3BBC" w:rsidRPr="00512A8D" w:rsidRDefault="00EA3BBC" w:rsidP="0099518A">
            <w:pPr>
              <w:pStyle w:val="NormalWeb"/>
              <w:shd w:val="clear" w:color="auto" w:fill="FFFFFF"/>
              <w:spacing w:before="120" w:after="120" w:line="480" w:lineRule="auto"/>
              <w:contextualSpacing/>
              <w:jc w:val="right"/>
              <w:rPr>
                <w:rFonts w:asciiTheme="minorHAnsi" w:hAnsiTheme="minorHAnsi" w:cstheme="majorBidi"/>
                <w:lang w:eastAsia="zh-TW"/>
              </w:rPr>
            </w:pPr>
            <w:r w:rsidRPr="00512A8D">
              <w:rPr>
                <w:rFonts w:asciiTheme="minorHAnsi" w:hAnsiTheme="minorHAnsi" w:cstheme="majorBidi"/>
                <w:lang w:eastAsia="zh-TW"/>
              </w:rPr>
              <w:t>85.699</w:t>
            </w:r>
          </w:p>
        </w:tc>
      </w:tr>
    </w:tbl>
    <w:p w:rsidR="0099518A" w:rsidRPr="0099518A" w:rsidRDefault="0099518A" w:rsidP="0099518A">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sz w:val="12"/>
          <w:szCs w:val="12"/>
          <w:lang w:eastAsia="zh-TW"/>
        </w:rPr>
      </w:pPr>
    </w:p>
    <w:p w:rsidR="00EA3BBC" w:rsidRPr="00B60AF0" w:rsidRDefault="00EA3BBC" w:rsidP="0099518A">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lang w:eastAsia="zh-TW"/>
        </w:rPr>
      </w:pPr>
      <w:r>
        <w:rPr>
          <w:rFonts w:asciiTheme="majorBidi" w:hAnsiTheme="majorBidi" w:cstheme="majorBidi"/>
          <w:lang w:eastAsia="zh-TW"/>
        </w:rPr>
        <w:t xml:space="preserve">Across the population of charities as a whole, the </w:t>
      </w:r>
      <w:r w:rsidRPr="008735D2">
        <w:rPr>
          <w:rFonts w:asciiTheme="majorBidi" w:hAnsiTheme="majorBidi" w:cstheme="majorBidi"/>
          <w:lang w:eastAsia="zh-TW"/>
        </w:rPr>
        <w:t>median</w:t>
      </w:r>
      <w:r>
        <w:rPr>
          <w:rFonts w:asciiTheme="majorBidi" w:hAnsiTheme="majorBidi" w:cstheme="majorBidi"/>
          <w:lang w:eastAsia="zh-TW"/>
        </w:rPr>
        <w:t xml:space="preserve"> relative real growth rate between 1999 and 2000 (</w:t>
      </w:r>
      <m:oMath>
        <m:sSub>
          <m:sSubPr>
            <m:ctrlPr>
              <w:rPr>
                <w:rFonts w:ascii="Cambria Math" w:hAnsi="Cambria Math" w:cstheme="majorBidi"/>
                <w:i/>
                <w:lang w:eastAsia="zh-TW"/>
              </w:rPr>
            </m:ctrlPr>
          </m:sSubPr>
          <m:e>
            <m:acc>
              <m:accPr>
                <m:chr m:val="̃"/>
                <m:ctrlPr>
                  <w:rPr>
                    <w:rFonts w:ascii="Cambria Math" w:hAnsi="Cambria Math" w:cstheme="majorBidi"/>
                    <w:i/>
                    <w:lang w:eastAsia="zh-TW"/>
                  </w:rPr>
                </m:ctrlPr>
              </m:accPr>
              <m:e>
                <m:r>
                  <w:rPr>
                    <w:rFonts w:ascii="Cambria Math" w:hAnsi="Cambria Math" w:cstheme="majorBidi"/>
                    <w:lang w:eastAsia="zh-TW"/>
                  </w:rPr>
                  <m:t>y</m:t>
                </m:r>
              </m:e>
            </m:acc>
          </m:e>
          <m:sub>
            <m:r>
              <w:rPr>
                <w:rFonts w:ascii="Cambria Math" w:hAnsi="Cambria Math" w:cstheme="majorBidi"/>
                <w:lang w:eastAsia="zh-TW"/>
              </w:rPr>
              <m:t>2000</m:t>
            </m:r>
          </m:sub>
        </m:sSub>
      </m:oMath>
      <w:r>
        <w:rPr>
          <w:rFonts w:asciiTheme="majorBidi" w:hAnsiTheme="majorBidi" w:cstheme="majorBidi"/>
          <w:lang w:eastAsia="zh-TW"/>
        </w:rPr>
        <w:t xml:space="preserve">) was 0.998 (3 d.p.); the </w:t>
      </w:r>
      <w:r w:rsidRPr="008735D2">
        <w:rPr>
          <w:rFonts w:asciiTheme="majorBidi" w:hAnsiTheme="majorBidi" w:cstheme="majorBidi"/>
          <w:lang w:eastAsia="zh-TW"/>
        </w:rPr>
        <w:t>median</w:t>
      </w:r>
      <w:r>
        <w:rPr>
          <w:rFonts w:asciiTheme="majorBidi" w:hAnsiTheme="majorBidi" w:cstheme="majorBidi"/>
          <w:lang w:eastAsia="zh-TW"/>
        </w:rPr>
        <w:t xml:space="preserve"> relative real growth rate between 2000 and 2001 (</w:t>
      </w:r>
      <m:oMath>
        <m:sSub>
          <m:sSubPr>
            <m:ctrlPr>
              <w:rPr>
                <w:rFonts w:ascii="Cambria Math" w:hAnsi="Cambria Math" w:cstheme="majorBidi"/>
                <w:i/>
                <w:lang w:eastAsia="zh-TW"/>
              </w:rPr>
            </m:ctrlPr>
          </m:sSubPr>
          <m:e>
            <m:acc>
              <m:accPr>
                <m:chr m:val="̃"/>
                <m:ctrlPr>
                  <w:rPr>
                    <w:rFonts w:ascii="Cambria Math" w:hAnsi="Cambria Math" w:cstheme="majorBidi"/>
                    <w:i/>
                    <w:lang w:eastAsia="zh-TW"/>
                  </w:rPr>
                </m:ctrlPr>
              </m:accPr>
              <m:e>
                <m:r>
                  <w:rPr>
                    <w:rFonts w:ascii="Cambria Math" w:hAnsi="Cambria Math" w:cstheme="majorBidi"/>
                    <w:lang w:eastAsia="zh-TW"/>
                  </w:rPr>
                  <m:t>y</m:t>
                </m:r>
              </m:e>
            </m:acc>
          </m:e>
          <m:sub>
            <m:r>
              <w:rPr>
                <w:rFonts w:ascii="Cambria Math" w:hAnsi="Cambria Math" w:cstheme="majorBidi"/>
                <w:lang w:eastAsia="zh-TW"/>
              </w:rPr>
              <m:t>2001</m:t>
            </m:r>
          </m:sub>
        </m:sSub>
      </m:oMath>
      <w:r>
        <w:rPr>
          <w:rFonts w:asciiTheme="majorBidi" w:hAnsiTheme="majorBidi" w:cstheme="majorBidi"/>
          <w:lang w:eastAsia="zh-TW"/>
        </w:rPr>
        <w:t>) was 0.996; the median relative real growth rate between 2001 and 2002 (</w:t>
      </w:r>
      <m:oMath>
        <m:sSub>
          <m:sSubPr>
            <m:ctrlPr>
              <w:rPr>
                <w:rFonts w:ascii="Cambria Math" w:hAnsi="Cambria Math" w:cstheme="majorBidi"/>
                <w:i/>
                <w:lang w:eastAsia="zh-TW"/>
              </w:rPr>
            </m:ctrlPr>
          </m:sSubPr>
          <m:e>
            <m:acc>
              <m:accPr>
                <m:chr m:val="̃"/>
                <m:ctrlPr>
                  <w:rPr>
                    <w:rFonts w:ascii="Cambria Math" w:hAnsi="Cambria Math" w:cstheme="majorBidi"/>
                    <w:i/>
                    <w:lang w:eastAsia="zh-TW"/>
                  </w:rPr>
                </m:ctrlPr>
              </m:accPr>
              <m:e>
                <m:r>
                  <w:rPr>
                    <w:rFonts w:ascii="Cambria Math" w:hAnsi="Cambria Math" w:cstheme="majorBidi"/>
                    <w:lang w:eastAsia="zh-TW"/>
                  </w:rPr>
                  <m:t>y</m:t>
                </m:r>
              </m:e>
            </m:acc>
          </m:e>
          <m:sub>
            <m:r>
              <w:rPr>
                <w:rFonts w:ascii="Cambria Math" w:hAnsi="Cambria Math" w:cstheme="majorBidi"/>
                <w:lang w:eastAsia="zh-TW"/>
              </w:rPr>
              <m:t>2002</m:t>
            </m:r>
          </m:sub>
        </m:sSub>
      </m:oMath>
      <w:r>
        <w:rPr>
          <w:rFonts w:asciiTheme="majorBidi" w:hAnsiTheme="majorBidi" w:cstheme="majorBidi"/>
          <w:lang w:eastAsia="zh-TW"/>
        </w:rPr>
        <w:t>) was 0.992.   Therefore, compared to an index value of 100 in 1999, a charity which experienced the median relative real growth rate in each of these years would have an index value in 2002 of</w:t>
      </w:r>
      <w:r w:rsidR="00B60AF0">
        <w:rPr>
          <w:rFonts w:asciiTheme="majorBidi" w:eastAsia="PMingLiU" w:hAnsiTheme="majorBidi" w:cstheme="majorBidi" w:hint="eastAsia"/>
          <w:lang w:eastAsia="zh-TW"/>
        </w:rPr>
        <w:t>:</w:t>
      </w:r>
    </w:p>
    <w:p w:rsidR="00EA3BBC" w:rsidRPr="00333E7B" w:rsidRDefault="00C75BBC" w:rsidP="0099518A">
      <w:pPr>
        <w:pStyle w:val="NormalWeb"/>
        <w:shd w:val="clear" w:color="auto" w:fill="FFFFFF"/>
        <w:spacing w:before="120" w:beforeAutospacing="0" w:after="120" w:afterAutospacing="0" w:line="480" w:lineRule="auto"/>
        <w:contextualSpacing/>
        <w:jc w:val="both"/>
        <w:rPr>
          <w:rFonts w:asciiTheme="majorBidi" w:hAnsiTheme="majorBidi" w:cstheme="majorBidi"/>
          <w:iCs/>
          <w:lang w:eastAsia="zh-TW"/>
        </w:rPr>
      </w:pPr>
      <m:oMathPara>
        <m:oMath>
          <m:sSub>
            <m:sSubPr>
              <m:ctrlPr>
                <w:rPr>
                  <w:rFonts w:ascii="Cambria Math" w:eastAsia="PMingLiU" w:hAnsi="Cambria Math" w:cstheme="majorBidi"/>
                  <w:i/>
                  <w:lang w:eastAsia="zh-TW"/>
                </w:rPr>
              </m:ctrlPr>
            </m:sSubPr>
            <m:e>
              <m:r>
                <w:rPr>
                  <w:rFonts w:ascii="Cambria Math" w:eastAsia="PMingLiU" w:hAnsi="Cambria Math" w:cstheme="majorBidi"/>
                  <w:lang w:eastAsia="zh-TW"/>
                </w:rPr>
                <m:t>c</m:t>
              </m:r>
            </m:e>
            <m:sub>
              <m:r>
                <w:rPr>
                  <w:rFonts w:ascii="Cambria Math" w:eastAsia="PMingLiU" w:hAnsi="Cambria Math" w:cstheme="majorBidi"/>
                  <w:lang w:eastAsia="zh-TW"/>
                </w:rPr>
                <m:t>2002</m:t>
              </m:r>
            </m:sub>
          </m:sSub>
          <m:r>
            <w:rPr>
              <w:rFonts w:ascii="Cambria Math" w:eastAsia="PMingLiU" w:hAnsi="Cambria Math" w:cstheme="majorBidi"/>
              <w:lang w:eastAsia="zh-TW"/>
            </w:rPr>
            <m:t>=</m:t>
          </m:r>
          <m:r>
            <m:rPr>
              <m:sty m:val="p"/>
            </m:rPr>
            <w:rPr>
              <w:rFonts w:ascii="Cambria Math" w:eastAsia="PMingLiU" w:hAnsi="Cambria Math" w:cstheme="majorBidi"/>
              <w:lang w:eastAsia="zh-TW"/>
            </w:rPr>
            <m:t>100</m:t>
          </m:r>
          <m:r>
            <w:rPr>
              <w:rFonts w:ascii="Cambria Math" w:eastAsia="PMingLiU" w:hAnsi="Cambria Math" w:cstheme="majorBidi"/>
              <w:lang w:eastAsia="zh-TW"/>
            </w:rPr>
            <m:t>∙</m:t>
          </m:r>
          <m:nary>
            <m:naryPr>
              <m:chr m:val="∏"/>
              <m:limLoc m:val="undOvr"/>
              <m:ctrlPr>
                <w:rPr>
                  <w:rFonts w:ascii="Cambria Math" w:eastAsia="PMingLiU" w:hAnsi="Cambria Math" w:cstheme="majorBidi"/>
                  <w:i/>
                  <w:iCs/>
                  <w:lang w:eastAsia="zh-TW"/>
                </w:rPr>
              </m:ctrlPr>
            </m:naryPr>
            <m:sub>
              <m:r>
                <w:rPr>
                  <w:rFonts w:ascii="Cambria Math" w:eastAsia="PMingLiU" w:hAnsi="Cambria Math" w:cstheme="majorBidi"/>
                  <w:lang w:eastAsia="zh-TW"/>
                </w:rPr>
                <m:t>t=2000</m:t>
              </m:r>
            </m:sub>
            <m:sup>
              <m:r>
                <w:rPr>
                  <w:rFonts w:ascii="Cambria Math" w:eastAsia="PMingLiU" w:hAnsi="Cambria Math" w:cstheme="majorBidi"/>
                  <w:lang w:eastAsia="zh-TW"/>
                </w:rPr>
                <m:t>2002</m:t>
              </m:r>
            </m:sup>
            <m:e>
              <m:sSub>
                <m:sSubPr>
                  <m:ctrlPr>
                    <w:rPr>
                      <w:rFonts w:ascii="Cambria Math" w:eastAsia="PMingLiU" w:hAnsi="Cambria Math" w:cstheme="majorBidi"/>
                      <w:lang w:eastAsia="zh-TW"/>
                    </w:rPr>
                  </m:ctrlPr>
                </m:sSubPr>
                <m:e>
                  <m:acc>
                    <m:accPr>
                      <m:chr m:val="̃"/>
                      <m:ctrlPr>
                        <w:rPr>
                          <w:rFonts w:ascii="Cambria Math" w:eastAsia="PMingLiU" w:hAnsi="Cambria Math" w:cstheme="majorBidi"/>
                          <w:i/>
                          <w:lang w:eastAsia="zh-TW"/>
                        </w:rPr>
                      </m:ctrlPr>
                    </m:accPr>
                    <m:e>
                      <m:r>
                        <w:rPr>
                          <w:rFonts w:ascii="Cambria Math" w:eastAsia="PMingLiU" w:hAnsi="Cambria Math" w:cstheme="majorBidi"/>
                          <w:lang w:eastAsia="zh-TW"/>
                        </w:rPr>
                        <m:t>y</m:t>
                      </m:r>
                    </m:e>
                  </m:acc>
                </m:e>
                <m:sub>
                  <m:r>
                    <w:rPr>
                      <w:rFonts w:ascii="Cambria Math" w:eastAsia="PMingLiU" w:hAnsi="Cambria Math" w:cstheme="majorBidi"/>
                      <w:lang w:eastAsia="zh-TW"/>
                    </w:rPr>
                    <m:t>t</m:t>
                  </m:r>
                </m:sub>
              </m:sSub>
              <m:r>
                <m:rPr>
                  <m:sty m:val="p"/>
                </m:rPr>
                <w:rPr>
                  <w:rFonts w:ascii="Cambria Math" w:eastAsia="PMingLiU" w:hAnsi="Cambria Math" w:cstheme="majorBidi"/>
                  <w:lang w:eastAsia="zh-TW"/>
                </w:rPr>
                <m:t>= 100</m:t>
              </m:r>
              <m:r>
                <w:rPr>
                  <w:rFonts w:ascii="Cambria Math" w:eastAsia="PMingLiU" w:hAnsi="Cambria Math" w:cstheme="majorBidi"/>
                  <w:lang w:eastAsia="zh-TW"/>
                </w:rPr>
                <m:t>∙</m:t>
              </m:r>
              <m:sSub>
                <m:sSubPr>
                  <m:ctrlPr>
                    <w:rPr>
                      <w:rFonts w:ascii="Cambria Math" w:eastAsia="PMingLiU" w:hAnsi="Cambria Math" w:cstheme="majorBidi"/>
                      <w:i/>
                      <w:lang w:eastAsia="zh-TW"/>
                    </w:rPr>
                  </m:ctrlPr>
                </m:sSubPr>
                <m:e>
                  <m:acc>
                    <m:accPr>
                      <m:chr m:val="̃"/>
                      <m:ctrlPr>
                        <w:rPr>
                          <w:rFonts w:ascii="Cambria Math" w:eastAsia="PMingLiU" w:hAnsi="Cambria Math" w:cstheme="majorBidi"/>
                          <w:i/>
                          <w:lang w:eastAsia="zh-TW"/>
                        </w:rPr>
                      </m:ctrlPr>
                    </m:accPr>
                    <m:e>
                      <m:r>
                        <w:rPr>
                          <w:rFonts w:ascii="Cambria Math" w:eastAsia="PMingLiU" w:hAnsi="Cambria Math" w:cstheme="majorBidi"/>
                          <w:lang w:eastAsia="zh-TW"/>
                        </w:rPr>
                        <m:t>y</m:t>
                      </m:r>
                    </m:e>
                  </m:acc>
                </m:e>
                <m:sub>
                  <m:r>
                    <w:rPr>
                      <w:rFonts w:ascii="Cambria Math" w:eastAsia="PMingLiU" w:hAnsi="Cambria Math" w:cstheme="majorBidi"/>
                      <w:lang w:eastAsia="zh-TW"/>
                    </w:rPr>
                    <m:t>2000</m:t>
                  </m:r>
                </m:sub>
              </m:sSub>
            </m:e>
          </m:nary>
          <m:r>
            <w:rPr>
              <w:rFonts w:ascii="Cambria Math" w:eastAsia="PMingLiU" w:hAnsi="Cambria Math" w:cstheme="majorBidi"/>
              <w:lang w:eastAsia="zh-TW"/>
            </w:rPr>
            <m:t>∙</m:t>
          </m:r>
          <m:sSub>
            <m:sSubPr>
              <m:ctrlPr>
                <w:rPr>
                  <w:rFonts w:ascii="Cambria Math" w:eastAsia="PMingLiU" w:hAnsi="Cambria Math" w:cstheme="majorBidi"/>
                  <w:i/>
                  <w:lang w:eastAsia="zh-TW"/>
                </w:rPr>
              </m:ctrlPr>
            </m:sSubPr>
            <m:e>
              <m:acc>
                <m:accPr>
                  <m:chr m:val="̃"/>
                  <m:ctrlPr>
                    <w:rPr>
                      <w:rFonts w:ascii="Cambria Math" w:eastAsia="PMingLiU" w:hAnsi="Cambria Math" w:cstheme="majorBidi"/>
                      <w:i/>
                      <w:lang w:eastAsia="zh-TW"/>
                    </w:rPr>
                  </m:ctrlPr>
                </m:accPr>
                <m:e>
                  <m:r>
                    <w:rPr>
                      <w:rFonts w:ascii="Cambria Math" w:eastAsia="PMingLiU" w:hAnsi="Cambria Math" w:cstheme="majorBidi"/>
                      <w:lang w:eastAsia="zh-TW"/>
                    </w:rPr>
                    <m:t>y</m:t>
                  </m:r>
                </m:e>
              </m:acc>
            </m:e>
            <m:sub>
              <m:r>
                <w:rPr>
                  <w:rFonts w:ascii="Cambria Math" w:eastAsia="PMingLiU" w:hAnsi="Cambria Math" w:cstheme="majorBidi"/>
                  <w:lang w:eastAsia="zh-TW"/>
                </w:rPr>
                <m:t>2001</m:t>
              </m:r>
            </m:sub>
          </m:sSub>
          <m:r>
            <w:rPr>
              <w:rFonts w:ascii="Cambria Math" w:eastAsia="PMingLiU" w:hAnsi="Cambria Math" w:cstheme="majorBidi"/>
              <w:lang w:eastAsia="zh-TW"/>
            </w:rPr>
            <m:t>∙</m:t>
          </m:r>
          <m:sSub>
            <m:sSubPr>
              <m:ctrlPr>
                <w:rPr>
                  <w:rFonts w:ascii="Cambria Math" w:eastAsia="PMingLiU" w:hAnsi="Cambria Math" w:cstheme="majorBidi"/>
                  <w:i/>
                  <w:lang w:eastAsia="zh-TW"/>
                </w:rPr>
              </m:ctrlPr>
            </m:sSubPr>
            <m:e>
              <m:acc>
                <m:accPr>
                  <m:chr m:val="̃"/>
                  <m:ctrlPr>
                    <w:rPr>
                      <w:rFonts w:ascii="Cambria Math" w:eastAsia="PMingLiU" w:hAnsi="Cambria Math" w:cstheme="majorBidi"/>
                      <w:i/>
                      <w:lang w:eastAsia="zh-TW"/>
                    </w:rPr>
                  </m:ctrlPr>
                </m:accPr>
                <m:e>
                  <m:r>
                    <w:rPr>
                      <w:rFonts w:ascii="Cambria Math" w:eastAsia="PMingLiU" w:hAnsi="Cambria Math" w:cstheme="majorBidi"/>
                      <w:lang w:eastAsia="zh-TW"/>
                    </w:rPr>
                    <m:t>y</m:t>
                  </m:r>
                </m:e>
              </m:acc>
            </m:e>
            <m:sub>
              <m:r>
                <w:rPr>
                  <w:rFonts w:ascii="Cambria Math" w:eastAsia="PMingLiU" w:hAnsi="Cambria Math" w:cstheme="majorBidi"/>
                  <w:lang w:eastAsia="zh-TW"/>
                </w:rPr>
                <m:t>2002</m:t>
              </m:r>
            </m:sub>
          </m:sSub>
          <m:r>
            <w:rPr>
              <w:rFonts w:ascii="Cambria Math" w:eastAsia="PMingLiU" w:hAnsi="Cambria Math" w:cstheme="majorBidi"/>
              <w:lang w:eastAsia="zh-TW"/>
            </w:rPr>
            <m:t>=</m:t>
          </m:r>
          <m:r>
            <m:rPr>
              <m:sty m:val="p"/>
            </m:rPr>
            <w:rPr>
              <w:rFonts w:ascii="Cambria Math" w:eastAsia="PMingLiU" w:hAnsi="Cambria Math" w:cstheme="majorBidi"/>
              <w:lang w:eastAsia="zh-TW"/>
            </w:rPr>
            <m:t>100</m:t>
          </m:r>
          <m:r>
            <w:rPr>
              <w:rFonts w:ascii="Cambria Math" w:eastAsia="PMingLiU" w:hAnsi="Cambria Math" w:cstheme="majorBidi"/>
              <w:lang w:eastAsia="zh-TW"/>
            </w:rPr>
            <m:t>∙0.998∙0.996∙0.992=98.6</m:t>
          </m:r>
        </m:oMath>
      </m:oMathPara>
    </w:p>
    <w:p w:rsidR="00333E7B" w:rsidRPr="0099518A" w:rsidRDefault="00333E7B" w:rsidP="0099518A">
      <w:pPr>
        <w:pStyle w:val="NormalWeb"/>
        <w:shd w:val="clear" w:color="auto" w:fill="FFFFFF"/>
        <w:spacing w:before="120" w:beforeAutospacing="0" w:after="120" w:afterAutospacing="0" w:line="480" w:lineRule="auto"/>
        <w:contextualSpacing/>
        <w:jc w:val="both"/>
        <w:rPr>
          <w:rFonts w:asciiTheme="majorBidi" w:hAnsiTheme="majorBidi" w:cstheme="majorBidi"/>
          <w:sz w:val="12"/>
          <w:szCs w:val="12"/>
          <w:lang w:eastAsia="zh-TW"/>
        </w:rPr>
      </w:pPr>
    </w:p>
    <w:p w:rsidR="00B64A5D" w:rsidRDefault="00EA3BBC" w:rsidP="0099518A">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lang w:eastAsia="zh-TW"/>
        </w:rPr>
      </w:pPr>
      <w:r>
        <w:rPr>
          <w:rFonts w:asciiTheme="majorBidi" w:hAnsiTheme="majorBidi" w:cstheme="majorBidi"/>
          <w:lang w:eastAsia="zh-TW"/>
        </w:rPr>
        <w:t xml:space="preserve">reflecting a decline in income of 1.4% between 1999 and 2002 </w:t>
      </w:r>
      <m:oMath>
        <m:sSub>
          <m:sSubPr>
            <m:ctrlPr>
              <w:rPr>
                <w:rFonts w:ascii="Cambria Math" w:eastAsia="PMingLiU" w:hAnsi="Cambria Math" w:cstheme="majorBidi"/>
                <w:i/>
                <w:lang w:eastAsia="zh-TW"/>
              </w:rPr>
            </m:ctrlPr>
          </m:sSubPr>
          <m:e>
            <m:r>
              <w:rPr>
                <w:rFonts w:ascii="Cambria Math" w:eastAsia="PMingLiU" w:hAnsi="Cambria Math" w:cstheme="majorBidi"/>
                <w:lang w:eastAsia="zh-TW"/>
              </w:rPr>
              <m:t>(c</m:t>
            </m:r>
          </m:e>
          <m:sub>
            <m:r>
              <w:rPr>
                <w:rFonts w:ascii="Cambria Math" w:eastAsia="PMingLiU" w:hAnsi="Cambria Math" w:cstheme="majorBidi"/>
                <w:lang w:eastAsia="zh-TW"/>
              </w:rPr>
              <m:t>2002</m:t>
            </m:r>
          </m:sub>
        </m:sSub>
        <m:r>
          <w:rPr>
            <w:rFonts w:ascii="Cambria Math" w:eastAsia="PMingLiU" w:hAnsi="Cambria Math" w:cstheme="majorBidi"/>
            <w:lang w:eastAsia="zh-TW"/>
          </w:rPr>
          <m:t>-</m:t>
        </m:r>
        <m:sSub>
          <m:sSubPr>
            <m:ctrlPr>
              <w:rPr>
                <w:rFonts w:ascii="Cambria Math" w:eastAsia="PMingLiU" w:hAnsi="Cambria Math" w:cstheme="majorBidi"/>
                <w:i/>
                <w:lang w:eastAsia="zh-TW"/>
              </w:rPr>
            </m:ctrlPr>
          </m:sSubPr>
          <m:e>
            <m:r>
              <w:rPr>
                <w:rFonts w:ascii="Cambria Math" w:eastAsia="PMingLiU" w:hAnsi="Cambria Math" w:cstheme="majorBidi"/>
                <w:lang w:eastAsia="zh-TW"/>
              </w:rPr>
              <m:t>c</m:t>
            </m:r>
          </m:e>
          <m:sub>
            <m:r>
              <w:rPr>
                <w:rFonts w:ascii="Cambria Math" w:eastAsia="PMingLiU" w:hAnsi="Cambria Math" w:cstheme="majorBidi"/>
                <w:lang w:eastAsia="zh-TW"/>
              </w:rPr>
              <m:t>1999</m:t>
            </m:r>
          </m:sub>
        </m:sSub>
        <m:r>
          <w:rPr>
            <w:rFonts w:ascii="Cambria Math" w:eastAsia="PMingLiU" w:hAnsi="Cambria Math" w:cstheme="majorBidi"/>
            <w:lang w:eastAsia="zh-TW"/>
          </w:rPr>
          <m:t>)</m:t>
        </m:r>
      </m:oMath>
      <w:r>
        <w:rPr>
          <w:rFonts w:asciiTheme="majorBidi" w:eastAsia="PMingLiU" w:hAnsiTheme="majorBidi" w:cstheme="majorBidi"/>
          <w:lang w:eastAsia="zh-TW"/>
        </w:rPr>
        <w:t>/</w:t>
      </w:r>
      <m:oMath>
        <m:r>
          <w:rPr>
            <w:rFonts w:ascii="Cambria Math" w:eastAsia="PMingLiU" w:hAnsi="Cambria Math" w:cstheme="majorBidi"/>
            <w:lang w:eastAsia="zh-TW"/>
          </w:rPr>
          <m:t xml:space="preserve"> </m:t>
        </m:r>
        <m:sSub>
          <m:sSubPr>
            <m:ctrlPr>
              <w:rPr>
                <w:rFonts w:ascii="Cambria Math" w:eastAsia="PMingLiU" w:hAnsi="Cambria Math" w:cstheme="majorBidi"/>
                <w:i/>
                <w:lang w:eastAsia="zh-TW"/>
              </w:rPr>
            </m:ctrlPr>
          </m:sSubPr>
          <m:e>
            <m:r>
              <w:rPr>
                <w:rFonts w:ascii="Cambria Math" w:eastAsia="PMingLiU" w:hAnsi="Cambria Math" w:cstheme="majorBidi"/>
                <w:lang w:eastAsia="zh-TW"/>
              </w:rPr>
              <m:t>c</m:t>
            </m:r>
          </m:e>
          <m:sub>
            <m:r>
              <w:rPr>
                <w:rFonts w:ascii="Cambria Math" w:eastAsia="PMingLiU" w:hAnsi="Cambria Math" w:cstheme="majorBidi"/>
                <w:lang w:eastAsia="zh-TW"/>
              </w:rPr>
              <m:t>1999</m:t>
            </m:r>
          </m:sub>
        </m:sSub>
      </m:oMath>
      <w:r w:rsidRPr="001B12CD">
        <w:rPr>
          <w:rFonts w:asciiTheme="majorBidi" w:eastAsia="PMingLiU" w:hAnsiTheme="majorBidi" w:cstheme="majorBidi"/>
          <w:lang w:eastAsia="zh-TW"/>
        </w:rPr>
        <w:t xml:space="preserve"> </w:t>
      </w:r>
      <w:r>
        <w:rPr>
          <w:rFonts w:asciiTheme="majorBidi" w:eastAsia="PMingLiU" w:hAnsiTheme="majorBidi" w:cstheme="majorBidi"/>
          <w:lang w:eastAsia="zh-TW"/>
        </w:rPr>
        <w:t>)=(</w:t>
      </w:r>
      <w:r w:rsidRPr="001B12CD">
        <w:rPr>
          <w:rFonts w:asciiTheme="majorBidi" w:eastAsia="PMingLiU" w:hAnsiTheme="majorBidi" w:cstheme="majorBidi"/>
          <w:lang w:eastAsia="zh-TW"/>
        </w:rPr>
        <w:t>(</w:t>
      </w:r>
      <w:r>
        <w:rPr>
          <w:rFonts w:asciiTheme="majorBidi" w:eastAsia="PMingLiU" w:hAnsiTheme="majorBidi" w:cstheme="majorBidi"/>
          <w:lang w:eastAsia="zh-TW"/>
        </w:rPr>
        <w:t>98.6-100)/100)</w:t>
      </w:r>
      <w:r>
        <w:rPr>
          <w:rFonts w:asciiTheme="majorBidi" w:hAnsiTheme="majorBidi" w:cstheme="majorBidi"/>
          <w:lang w:eastAsia="zh-TW"/>
        </w:rPr>
        <w:t xml:space="preserve">.  Values for </w:t>
      </w:r>
      <m:oMath>
        <m:sSub>
          <m:sSubPr>
            <m:ctrlPr>
              <w:rPr>
                <w:rFonts w:ascii="Cambria Math" w:hAnsi="Cambria Math" w:cstheme="majorBidi"/>
                <w:i/>
                <w:lang w:eastAsia="zh-TW"/>
              </w:rPr>
            </m:ctrlPr>
          </m:sSubPr>
          <m:e>
            <m:r>
              <w:rPr>
                <w:rFonts w:ascii="Cambria Math" w:hAnsi="Cambria Math" w:cstheme="majorBidi"/>
                <w:lang w:eastAsia="zh-TW"/>
              </w:rPr>
              <m:t>c</m:t>
            </m:r>
          </m:e>
          <m:sub>
            <m:r>
              <w:rPr>
                <w:rFonts w:ascii="Cambria Math" w:hAnsi="Cambria Math" w:cstheme="majorBidi"/>
                <w:lang w:eastAsia="zh-TW"/>
              </w:rPr>
              <m:t>n</m:t>
            </m:r>
          </m:sub>
        </m:sSub>
      </m:oMath>
      <w:r>
        <w:rPr>
          <w:rFonts w:asciiTheme="majorBidi" w:hAnsiTheme="majorBidi" w:cstheme="majorBidi"/>
          <w:lang w:eastAsia="zh-TW"/>
        </w:rPr>
        <w:t xml:space="preserve">  in other years are calculated in the same way.  </w:t>
      </w:r>
    </w:p>
    <w:p w:rsidR="00EA3BBC" w:rsidRDefault="00EA3BBC" w:rsidP="0099518A">
      <w:pPr>
        <w:pStyle w:val="NormalWeb"/>
        <w:shd w:val="clear" w:color="auto" w:fill="FFFFFF"/>
        <w:spacing w:before="120" w:beforeAutospacing="0" w:after="120" w:afterAutospacing="0" w:line="480" w:lineRule="auto"/>
        <w:contextualSpacing/>
        <w:jc w:val="both"/>
        <w:rPr>
          <w:rFonts w:asciiTheme="majorBidi" w:hAnsiTheme="majorBidi" w:cstheme="majorBidi"/>
          <w:lang w:eastAsia="zh-TW"/>
        </w:rPr>
      </w:pPr>
      <w:r w:rsidRPr="001B12CD">
        <w:rPr>
          <w:rFonts w:asciiTheme="majorBidi" w:hAnsiTheme="majorBidi" w:cstheme="majorBidi"/>
          <w:lang w:eastAsia="zh-TW"/>
        </w:rPr>
        <w:lastRenderedPageBreak/>
        <w:t xml:space="preserve">The index </w:t>
      </w:r>
      <w:r>
        <w:rPr>
          <w:rFonts w:asciiTheme="majorBidi" w:hAnsiTheme="majorBidi" w:cstheme="majorBidi"/>
          <w:lang w:eastAsia="zh-TW"/>
        </w:rPr>
        <w:t>serves to complement</w:t>
      </w:r>
      <w:r w:rsidRPr="001B12CD">
        <w:rPr>
          <w:rFonts w:asciiTheme="majorBidi" w:hAnsiTheme="majorBidi" w:cstheme="majorBidi"/>
          <w:lang w:eastAsia="zh-TW"/>
        </w:rPr>
        <w:t xml:space="preserve"> information on annual growth rates.  In particular, given the </w:t>
      </w:r>
      <w:r w:rsidR="00333882" w:rsidRPr="001B12CD">
        <w:rPr>
          <w:rFonts w:asciiTheme="majorBidi" w:hAnsiTheme="majorBidi" w:cstheme="majorBidi"/>
          <w:lang w:eastAsia="zh-TW"/>
        </w:rPr>
        <w:t>prolonged</w:t>
      </w:r>
      <w:r w:rsidRPr="001B12CD">
        <w:rPr>
          <w:rFonts w:asciiTheme="majorBidi" w:hAnsiTheme="majorBidi" w:cstheme="majorBidi"/>
          <w:lang w:eastAsia="zh-TW"/>
        </w:rPr>
        <w:t xml:space="preserve"> duration of </w:t>
      </w:r>
      <w:r w:rsidR="00333882" w:rsidRPr="001B12CD">
        <w:rPr>
          <w:rFonts w:asciiTheme="majorBidi" w:hAnsiTheme="majorBidi" w:cstheme="majorBidi"/>
          <w:lang w:eastAsia="zh-TW"/>
        </w:rPr>
        <w:t>the</w:t>
      </w:r>
      <w:r w:rsidRPr="001B12CD">
        <w:rPr>
          <w:rFonts w:asciiTheme="majorBidi" w:hAnsiTheme="majorBidi" w:cstheme="majorBidi"/>
          <w:lang w:eastAsia="zh-TW"/>
        </w:rPr>
        <w:t xml:space="preserve"> economic downturn in the UK, the cumulative growth index helps to illustrate the cumulative implications of annual changes in income since 2008.  For example, across the population of charities as a whole the median relative real growth rate</w:t>
      </w:r>
      <w:r>
        <w:rPr>
          <w:rFonts w:asciiTheme="majorBidi" w:hAnsiTheme="majorBidi" w:cstheme="majorBidi"/>
          <w:lang w:eastAsia="zh-TW"/>
        </w:rPr>
        <w:t xml:space="preserve"> </w:t>
      </w:r>
      <m:oMath>
        <m:sSub>
          <m:sSubPr>
            <m:ctrlPr>
              <w:rPr>
                <w:rFonts w:ascii="Cambria Math" w:hAnsi="Cambria Math" w:cstheme="majorBidi"/>
                <w:i/>
                <w:lang w:eastAsia="zh-TW"/>
              </w:rPr>
            </m:ctrlPr>
          </m:sSubPr>
          <m:e>
            <m:acc>
              <m:accPr>
                <m:chr m:val="̃"/>
                <m:ctrlPr>
                  <w:rPr>
                    <w:rFonts w:ascii="Cambria Math" w:hAnsi="Cambria Math" w:cstheme="majorBidi"/>
                    <w:i/>
                    <w:lang w:eastAsia="zh-TW"/>
                  </w:rPr>
                </m:ctrlPr>
              </m:accPr>
              <m:e>
                <m:r>
                  <w:rPr>
                    <w:rFonts w:ascii="Cambria Math" w:hAnsi="Cambria Math" w:cstheme="majorBidi"/>
                    <w:lang w:eastAsia="zh-TW"/>
                  </w:rPr>
                  <m:t>y</m:t>
                </m:r>
              </m:e>
            </m:acc>
          </m:e>
          <m:sub>
            <m:r>
              <w:rPr>
                <w:rFonts w:ascii="Cambria Math" w:hAnsi="Cambria Math" w:cstheme="majorBidi"/>
                <w:lang w:eastAsia="zh-TW"/>
              </w:rPr>
              <m:t>t</m:t>
            </m:r>
          </m:sub>
        </m:sSub>
      </m:oMath>
      <w:r w:rsidRPr="0074413E">
        <w:rPr>
          <w:rFonts w:asciiTheme="majorBidi" w:hAnsiTheme="majorBidi" w:cstheme="majorBidi"/>
          <w:lang w:eastAsia="zh-TW"/>
        </w:rPr>
        <w:t xml:space="preserve"> </w:t>
      </w:r>
      <w:r>
        <w:rPr>
          <w:rFonts w:asciiTheme="majorBidi" w:hAnsiTheme="majorBidi" w:cstheme="majorBidi"/>
          <w:lang w:eastAsia="zh-TW"/>
        </w:rPr>
        <w:t>was less than one - reflecting an annual decline</w:t>
      </w:r>
      <w:r w:rsidRPr="001B12CD">
        <w:rPr>
          <w:rFonts w:asciiTheme="majorBidi" w:hAnsiTheme="majorBidi" w:cstheme="majorBidi"/>
          <w:lang w:eastAsia="zh-TW"/>
        </w:rPr>
        <w:t xml:space="preserve"> in income</w:t>
      </w:r>
      <w:r>
        <w:rPr>
          <w:rFonts w:asciiTheme="majorBidi" w:hAnsiTheme="majorBidi" w:cstheme="majorBidi"/>
          <w:lang w:eastAsia="zh-TW"/>
        </w:rPr>
        <w:t xml:space="preserve"> in real terms -</w:t>
      </w:r>
      <w:r w:rsidRPr="001B12CD">
        <w:rPr>
          <w:rFonts w:asciiTheme="majorBidi" w:hAnsiTheme="majorBidi" w:cstheme="majorBidi"/>
          <w:lang w:eastAsia="zh-TW"/>
        </w:rPr>
        <w:t xml:space="preserve"> for six successive </w:t>
      </w:r>
      <w:r>
        <w:rPr>
          <w:rFonts w:asciiTheme="majorBidi" w:hAnsiTheme="majorBidi" w:cstheme="majorBidi"/>
          <w:lang w:eastAsia="zh-TW"/>
        </w:rPr>
        <w:t>years</w:t>
      </w:r>
      <w:r w:rsidRPr="001B12CD">
        <w:rPr>
          <w:rFonts w:asciiTheme="majorBidi" w:hAnsiTheme="majorBidi" w:cstheme="majorBidi"/>
          <w:lang w:eastAsia="zh-TW"/>
        </w:rPr>
        <w:t xml:space="preserve">.  </w:t>
      </w:r>
      <w:r>
        <w:rPr>
          <w:rFonts w:asciiTheme="majorBidi" w:hAnsiTheme="majorBidi" w:cstheme="majorBidi"/>
          <w:lang w:eastAsia="zh-TW"/>
        </w:rPr>
        <w:t>The index in 2014 is calculated as:</w:t>
      </w:r>
    </w:p>
    <w:p w:rsidR="00EA3BBC" w:rsidRPr="00333E7B" w:rsidRDefault="00C75BBC" w:rsidP="0099518A">
      <w:pPr>
        <w:pStyle w:val="NormalWeb"/>
        <w:shd w:val="clear" w:color="auto" w:fill="FFFFFF"/>
        <w:spacing w:before="120" w:beforeAutospacing="0" w:after="120" w:afterAutospacing="0" w:line="480" w:lineRule="auto"/>
        <w:contextualSpacing/>
        <w:jc w:val="both"/>
        <w:rPr>
          <w:rFonts w:asciiTheme="majorBidi" w:hAnsiTheme="majorBidi" w:cstheme="majorBidi"/>
          <w:iCs/>
          <w:lang w:eastAsia="zh-TW"/>
        </w:rPr>
      </w:pPr>
      <m:oMathPara>
        <m:oMath>
          <m:sSub>
            <m:sSubPr>
              <m:ctrlPr>
                <w:rPr>
                  <w:rFonts w:ascii="Cambria Math" w:eastAsia="PMingLiU" w:hAnsi="Cambria Math" w:cstheme="majorBidi"/>
                  <w:i/>
                  <w:lang w:eastAsia="zh-TW"/>
                </w:rPr>
              </m:ctrlPr>
            </m:sSubPr>
            <m:e>
              <m:r>
                <w:rPr>
                  <w:rFonts w:ascii="Cambria Math" w:eastAsia="PMingLiU" w:hAnsi="Cambria Math" w:cstheme="majorBidi"/>
                  <w:lang w:eastAsia="zh-TW"/>
                </w:rPr>
                <m:t>c</m:t>
              </m:r>
            </m:e>
            <m:sub>
              <m:r>
                <w:rPr>
                  <w:rFonts w:ascii="Cambria Math" w:eastAsia="PMingLiU" w:hAnsi="Cambria Math" w:cstheme="majorBidi"/>
                  <w:lang w:eastAsia="zh-TW"/>
                </w:rPr>
                <m:t>2014</m:t>
              </m:r>
            </m:sub>
          </m:sSub>
          <m:r>
            <w:rPr>
              <w:rFonts w:ascii="Cambria Math" w:eastAsia="PMingLiU" w:hAnsi="Cambria Math" w:cstheme="majorBidi"/>
              <w:lang w:eastAsia="zh-TW"/>
            </w:rPr>
            <m:t>=</m:t>
          </m:r>
          <m:sSub>
            <m:sSubPr>
              <m:ctrlPr>
                <w:rPr>
                  <w:rFonts w:ascii="Cambria Math" w:eastAsia="PMingLiU" w:hAnsi="Cambria Math" w:cstheme="majorBidi"/>
                  <w:i/>
                  <w:lang w:eastAsia="zh-TW"/>
                </w:rPr>
              </m:ctrlPr>
            </m:sSubPr>
            <m:e>
              <m:r>
                <w:rPr>
                  <w:rFonts w:ascii="Cambria Math" w:eastAsia="PMingLiU" w:hAnsi="Cambria Math" w:cstheme="majorBidi"/>
                  <w:lang w:eastAsia="zh-TW"/>
                </w:rPr>
                <m:t>c</m:t>
              </m:r>
            </m:e>
            <m:sub>
              <m:r>
                <w:rPr>
                  <w:rFonts w:ascii="Cambria Math" w:eastAsia="PMingLiU" w:hAnsi="Cambria Math" w:cstheme="majorBidi"/>
                  <w:lang w:eastAsia="zh-TW"/>
                </w:rPr>
                <m:t>2008</m:t>
              </m:r>
            </m:sub>
          </m:sSub>
          <m:r>
            <w:rPr>
              <w:rFonts w:ascii="Cambria Math" w:eastAsia="PMingLiU" w:hAnsi="Cambria Math" w:cstheme="majorBidi"/>
              <w:lang w:eastAsia="zh-TW"/>
            </w:rPr>
            <m:t>∙</m:t>
          </m:r>
          <m:nary>
            <m:naryPr>
              <m:chr m:val="∏"/>
              <m:limLoc m:val="undOvr"/>
              <m:ctrlPr>
                <w:rPr>
                  <w:rFonts w:ascii="Cambria Math" w:eastAsia="PMingLiU" w:hAnsi="Cambria Math" w:cstheme="majorBidi"/>
                  <w:i/>
                  <w:iCs/>
                  <w:lang w:eastAsia="zh-TW"/>
                </w:rPr>
              </m:ctrlPr>
            </m:naryPr>
            <m:sub>
              <m:r>
                <w:rPr>
                  <w:rFonts w:ascii="Cambria Math" w:eastAsia="PMingLiU" w:hAnsi="Cambria Math" w:cstheme="majorBidi"/>
                  <w:lang w:eastAsia="zh-TW"/>
                </w:rPr>
                <m:t>t=2009</m:t>
              </m:r>
            </m:sub>
            <m:sup>
              <m:r>
                <w:rPr>
                  <w:rFonts w:ascii="Cambria Math" w:eastAsia="PMingLiU" w:hAnsi="Cambria Math" w:cstheme="majorBidi"/>
                  <w:lang w:eastAsia="zh-TW"/>
                </w:rPr>
                <m:t>2014</m:t>
              </m:r>
            </m:sup>
            <m:e>
              <m:sSub>
                <m:sSubPr>
                  <m:ctrlPr>
                    <w:rPr>
                      <w:rFonts w:ascii="Cambria Math" w:eastAsia="PMingLiU" w:hAnsi="Cambria Math" w:cstheme="majorBidi"/>
                      <w:lang w:eastAsia="zh-TW"/>
                    </w:rPr>
                  </m:ctrlPr>
                </m:sSubPr>
                <m:e>
                  <m:acc>
                    <m:accPr>
                      <m:chr m:val="̃"/>
                      <m:ctrlPr>
                        <w:rPr>
                          <w:rFonts w:ascii="Cambria Math" w:eastAsia="PMingLiU" w:hAnsi="Cambria Math" w:cstheme="majorBidi"/>
                          <w:i/>
                          <w:lang w:eastAsia="zh-TW"/>
                        </w:rPr>
                      </m:ctrlPr>
                    </m:accPr>
                    <m:e>
                      <m:r>
                        <w:rPr>
                          <w:rFonts w:ascii="Cambria Math" w:eastAsia="PMingLiU" w:hAnsi="Cambria Math" w:cstheme="majorBidi"/>
                          <w:lang w:eastAsia="zh-TW"/>
                        </w:rPr>
                        <m:t>y</m:t>
                      </m:r>
                    </m:e>
                  </m:acc>
                </m:e>
                <m:sub>
                  <m:r>
                    <w:rPr>
                      <w:rFonts w:ascii="Cambria Math" w:eastAsia="PMingLiU" w:hAnsi="Cambria Math" w:cstheme="majorBidi"/>
                      <w:lang w:eastAsia="zh-TW"/>
                    </w:rPr>
                    <m:t>t</m:t>
                  </m:r>
                </m:sub>
              </m:sSub>
              <m:r>
                <m:rPr>
                  <m:sty m:val="p"/>
                </m:rPr>
                <w:rPr>
                  <w:rFonts w:ascii="Cambria Math" w:eastAsia="PMingLiU" w:hAnsi="Cambria Math" w:cstheme="majorBidi"/>
                  <w:lang w:eastAsia="zh-TW"/>
                </w:rPr>
                <m:t xml:space="preserve">= </m:t>
              </m:r>
            </m:e>
          </m:nary>
          <m:r>
            <m:rPr>
              <m:sty m:val="p"/>
            </m:rPr>
            <w:rPr>
              <w:rFonts w:ascii="Cambria Math" w:eastAsia="PMingLiU" w:hAnsi="Cambria Math" w:cstheme="majorBidi"/>
              <w:lang w:eastAsia="zh-TW"/>
            </w:rPr>
            <m:t>98.1</m:t>
          </m:r>
          <m:r>
            <w:rPr>
              <w:rFonts w:ascii="Cambria Math" w:eastAsia="PMingLiU" w:hAnsi="Cambria Math" w:cstheme="majorBidi"/>
              <w:lang w:eastAsia="zh-TW"/>
            </w:rPr>
            <m:t>∙0.983∙0.988∙0.961∙0.963∙0.983∙0.989=85.7</m:t>
          </m:r>
        </m:oMath>
      </m:oMathPara>
    </w:p>
    <w:p w:rsidR="00333E7B" w:rsidRPr="0099518A" w:rsidRDefault="00333E7B" w:rsidP="0099518A">
      <w:pPr>
        <w:pStyle w:val="NormalWeb"/>
        <w:shd w:val="clear" w:color="auto" w:fill="FFFFFF"/>
        <w:spacing w:before="120" w:beforeAutospacing="0" w:after="120" w:afterAutospacing="0" w:line="480" w:lineRule="auto"/>
        <w:contextualSpacing/>
        <w:jc w:val="both"/>
        <w:rPr>
          <w:rFonts w:asciiTheme="majorBidi" w:hAnsiTheme="majorBidi" w:cstheme="majorBidi"/>
          <w:sz w:val="12"/>
          <w:szCs w:val="12"/>
          <w:lang w:eastAsia="zh-TW"/>
        </w:rPr>
      </w:pPr>
    </w:p>
    <w:p w:rsidR="00333E7B" w:rsidRDefault="00EA3BBC" w:rsidP="0099518A">
      <w:pPr>
        <w:spacing w:line="480" w:lineRule="auto"/>
        <w:contextualSpacing/>
        <w:jc w:val="both"/>
        <w:rPr>
          <w:rFonts w:asciiTheme="majorBidi" w:eastAsia="PMingLiU" w:hAnsiTheme="majorBidi" w:cstheme="majorBidi"/>
          <w:sz w:val="24"/>
          <w:szCs w:val="24"/>
          <w:lang w:eastAsia="zh-TW"/>
        </w:rPr>
      </w:pPr>
      <w:r w:rsidRPr="003222D4">
        <w:rPr>
          <w:rFonts w:asciiTheme="majorBidi" w:eastAsia="PMingLiU" w:hAnsiTheme="majorBidi" w:cstheme="majorBidi"/>
          <w:sz w:val="24"/>
          <w:szCs w:val="24"/>
          <w:lang w:eastAsia="zh-TW"/>
        </w:rPr>
        <w:t>Therefore an organisation which experienced the median annual relative real growth rate for every year between 2008 and 2014 would have seen a 13% decline in real income over the period ((</w:t>
      </w:r>
      <m:oMath>
        <m:sSub>
          <m:sSubPr>
            <m:ctrlPr>
              <w:rPr>
                <w:rFonts w:ascii="Cambria Math" w:eastAsia="PMingLiU" w:hAnsi="Cambria Math" w:cstheme="majorBidi"/>
                <w:i/>
                <w:sz w:val="24"/>
                <w:szCs w:val="24"/>
                <w:lang w:eastAsia="zh-TW"/>
              </w:rPr>
            </m:ctrlPr>
          </m:sSubPr>
          <m:e>
            <m:r>
              <w:rPr>
                <w:rFonts w:ascii="Cambria Math" w:eastAsia="PMingLiU" w:hAnsi="Cambria Math" w:cstheme="majorBidi"/>
                <w:sz w:val="24"/>
                <w:szCs w:val="24"/>
                <w:lang w:eastAsia="zh-TW"/>
              </w:rPr>
              <m:t>c</m:t>
            </m:r>
          </m:e>
          <m:sub>
            <m:r>
              <w:rPr>
                <w:rFonts w:ascii="Cambria Math" w:eastAsia="PMingLiU" w:hAnsi="Cambria Math" w:cstheme="majorBidi"/>
                <w:sz w:val="24"/>
                <w:szCs w:val="24"/>
                <w:lang w:eastAsia="zh-TW"/>
              </w:rPr>
              <m:t>2014</m:t>
            </m:r>
          </m:sub>
        </m:sSub>
        <m:r>
          <w:rPr>
            <w:rFonts w:ascii="Cambria Math" w:eastAsia="PMingLiU" w:hAnsi="Cambria Math" w:cstheme="majorBidi"/>
            <w:sz w:val="24"/>
            <w:szCs w:val="24"/>
            <w:lang w:eastAsia="zh-TW"/>
          </w:rPr>
          <m:t>-</m:t>
        </m:r>
        <m:sSub>
          <m:sSubPr>
            <m:ctrlPr>
              <w:rPr>
                <w:rFonts w:ascii="Cambria Math" w:eastAsia="PMingLiU" w:hAnsi="Cambria Math" w:cstheme="majorBidi"/>
                <w:i/>
                <w:sz w:val="24"/>
                <w:szCs w:val="24"/>
                <w:lang w:eastAsia="zh-TW"/>
              </w:rPr>
            </m:ctrlPr>
          </m:sSubPr>
          <m:e>
            <m:r>
              <w:rPr>
                <w:rFonts w:ascii="Cambria Math" w:eastAsia="PMingLiU" w:hAnsi="Cambria Math" w:cstheme="majorBidi"/>
                <w:sz w:val="24"/>
                <w:szCs w:val="24"/>
                <w:lang w:eastAsia="zh-TW"/>
              </w:rPr>
              <m:t>c</m:t>
            </m:r>
          </m:e>
          <m:sub>
            <m:r>
              <w:rPr>
                <w:rFonts w:ascii="Cambria Math" w:eastAsia="PMingLiU" w:hAnsi="Cambria Math" w:cstheme="majorBidi"/>
                <w:sz w:val="24"/>
                <w:szCs w:val="24"/>
                <w:lang w:eastAsia="zh-TW"/>
              </w:rPr>
              <m:t>2008</m:t>
            </m:r>
          </m:sub>
        </m:sSub>
        <m:r>
          <w:rPr>
            <w:rFonts w:ascii="Cambria Math" w:eastAsia="PMingLiU" w:hAnsi="Cambria Math" w:cstheme="majorBidi"/>
            <w:sz w:val="24"/>
            <w:szCs w:val="24"/>
            <w:lang w:eastAsia="zh-TW"/>
          </w:rPr>
          <m:t>)</m:t>
        </m:r>
      </m:oMath>
      <w:r w:rsidRPr="003222D4">
        <w:rPr>
          <w:rFonts w:asciiTheme="majorBidi" w:eastAsia="PMingLiU" w:hAnsiTheme="majorBidi" w:cstheme="majorBidi"/>
          <w:sz w:val="24"/>
          <w:szCs w:val="24"/>
          <w:lang w:eastAsia="zh-TW"/>
        </w:rPr>
        <w:t>/</w:t>
      </w:r>
      <m:oMath>
        <m:r>
          <w:rPr>
            <w:rFonts w:ascii="Cambria Math" w:eastAsia="PMingLiU" w:hAnsi="Cambria Math" w:cstheme="majorBidi"/>
            <w:sz w:val="24"/>
            <w:szCs w:val="24"/>
            <w:lang w:eastAsia="zh-TW"/>
          </w:rPr>
          <m:t xml:space="preserve"> </m:t>
        </m:r>
        <m:sSub>
          <m:sSubPr>
            <m:ctrlPr>
              <w:rPr>
                <w:rFonts w:ascii="Cambria Math" w:eastAsia="PMingLiU" w:hAnsi="Cambria Math" w:cstheme="majorBidi"/>
                <w:i/>
                <w:sz w:val="24"/>
                <w:szCs w:val="24"/>
                <w:lang w:eastAsia="zh-TW"/>
              </w:rPr>
            </m:ctrlPr>
          </m:sSubPr>
          <m:e>
            <m:r>
              <w:rPr>
                <w:rFonts w:ascii="Cambria Math" w:eastAsia="PMingLiU" w:hAnsi="Cambria Math" w:cstheme="majorBidi"/>
                <w:sz w:val="24"/>
                <w:szCs w:val="24"/>
                <w:lang w:eastAsia="zh-TW"/>
              </w:rPr>
              <m:t>c</m:t>
            </m:r>
          </m:e>
          <m:sub>
            <m:r>
              <w:rPr>
                <w:rFonts w:ascii="Cambria Math" w:eastAsia="PMingLiU" w:hAnsi="Cambria Math" w:cstheme="majorBidi"/>
                <w:sz w:val="24"/>
                <w:szCs w:val="24"/>
                <w:lang w:eastAsia="zh-TW"/>
              </w:rPr>
              <m:t>20o8</m:t>
            </m:r>
          </m:sub>
        </m:sSub>
      </m:oMath>
      <w:r w:rsidRPr="003222D4">
        <w:rPr>
          <w:rFonts w:asciiTheme="majorBidi" w:eastAsia="PMingLiU" w:hAnsiTheme="majorBidi" w:cstheme="majorBidi"/>
          <w:sz w:val="24"/>
          <w:szCs w:val="24"/>
          <w:lang w:eastAsia="zh-TW"/>
        </w:rPr>
        <w:t xml:space="preserve"> )=((85.7-98.1)/98.1).</w:t>
      </w:r>
      <w:r w:rsidR="003222D4" w:rsidRPr="003222D4">
        <w:rPr>
          <w:rFonts w:asciiTheme="majorBidi" w:eastAsia="PMingLiU" w:hAnsiTheme="majorBidi" w:cstheme="majorBidi"/>
          <w:sz w:val="24"/>
          <w:szCs w:val="24"/>
          <w:lang w:eastAsia="zh-TW"/>
        </w:rPr>
        <w:t xml:space="preserve">  </w:t>
      </w:r>
      <w:r w:rsidRPr="003222D4">
        <w:rPr>
          <w:rFonts w:asciiTheme="majorBidi" w:eastAsia="PMingLiU" w:hAnsiTheme="majorBidi" w:cstheme="majorBidi"/>
          <w:sz w:val="24"/>
          <w:szCs w:val="24"/>
          <w:lang w:eastAsia="zh-TW"/>
        </w:rPr>
        <w:t xml:space="preserve">This worked example considers </w:t>
      </w:r>
      <w:r w:rsidRPr="003222D4">
        <w:rPr>
          <w:rFonts w:asciiTheme="majorBidi" w:hAnsiTheme="majorBidi" w:cstheme="majorBidi"/>
          <w:sz w:val="24"/>
          <w:szCs w:val="24"/>
          <w:lang w:eastAsia="zh-TW"/>
        </w:rPr>
        <w:t>the population of all charities, irrespective of size</w:t>
      </w:r>
      <w:r w:rsidR="009954D4">
        <w:rPr>
          <w:rFonts w:asciiTheme="majorBidi" w:hAnsiTheme="majorBidi" w:cstheme="majorBidi"/>
          <w:sz w:val="24"/>
          <w:szCs w:val="24"/>
          <w:lang w:eastAsia="zh-TW"/>
        </w:rPr>
        <w:t xml:space="preserve"> or charitable ‘field’ (Figure </w:t>
      </w:r>
      <w:r w:rsidR="009954D4">
        <w:rPr>
          <w:rFonts w:asciiTheme="majorBidi" w:eastAsia="PMingLiU" w:hAnsiTheme="majorBidi" w:cstheme="majorBidi" w:hint="eastAsia"/>
          <w:sz w:val="24"/>
          <w:szCs w:val="24"/>
          <w:lang w:eastAsia="zh-TW"/>
        </w:rPr>
        <w:t>2</w:t>
      </w:r>
      <w:r w:rsidRPr="003222D4">
        <w:rPr>
          <w:rFonts w:asciiTheme="majorBidi" w:hAnsiTheme="majorBidi" w:cstheme="majorBidi"/>
          <w:sz w:val="24"/>
          <w:szCs w:val="24"/>
          <w:lang w:eastAsia="zh-TW"/>
        </w:rPr>
        <w:t xml:space="preserve"> in the paper).  Therefore, and given the diversity of the charitable population, the analysis in the paper is</w:t>
      </w:r>
      <w:r w:rsidR="00FA4D4C">
        <w:rPr>
          <w:rFonts w:asciiTheme="majorBidi" w:hAnsiTheme="majorBidi" w:cstheme="majorBidi"/>
          <w:sz w:val="24"/>
          <w:szCs w:val="24"/>
          <w:lang w:eastAsia="zh-TW"/>
        </w:rPr>
        <w:t xml:space="preserve"> also</w:t>
      </w:r>
      <w:r w:rsidRPr="003222D4">
        <w:rPr>
          <w:rFonts w:asciiTheme="majorBidi" w:hAnsiTheme="majorBidi" w:cstheme="majorBidi"/>
          <w:sz w:val="24"/>
          <w:szCs w:val="24"/>
          <w:lang w:eastAsia="zh-TW"/>
        </w:rPr>
        <w:t xml:space="preserve"> disaggregated by charity size </w:t>
      </w:r>
      <w:r w:rsidR="005A3DD5" w:rsidRPr="003222D4">
        <w:rPr>
          <w:rFonts w:asciiTheme="majorBidi" w:eastAsia="PMingLiU" w:hAnsiTheme="majorBidi" w:cstheme="majorBidi"/>
          <w:sz w:val="24"/>
          <w:szCs w:val="24"/>
          <w:lang w:eastAsia="zh-TW"/>
        </w:rPr>
        <w:t>and by charitable field.</w:t>
      </w:r>
    </w:p>
    <w:p w:rsidR="00B64A5D" w:rsidRPr="0099518A" w:rsidRDefault="00B64A5D" w:rsidP="0099518A">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i/>
          <w:iCs/>
          <w:sz w:val="12"/>
          <w:szCs w:val="12"/>
          <w:lang w:eastAsia="zh-TW"/>
        </w:rPr>
      </w:pPr>
    </w:p>
    <w:p w:rsidR="00B64A5D" w:rsidRPr="00B64A5D" w:rsidRDefault="00B64A5D" w:rsidP="0099518A">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lang w:eastAsia="zh-TW"/>
        </w:rPr>
      </w:pPr>
      <w:r>
        <w:rPr>
          <w:rFonts w:asciiTheme="majorBidi" w:eastAsia="PMingLiU" w:hAnsiTheme="majorBidi" w:cstheme="majorBidi" w:hint="eastAsia"/>
          <w:i/>
          <w:iCs/>
          <w:lang w:eastAsia="zh-TW"/>
        </w:rPr>
        <w:t>Properties</w:t>
      </w:r>
    </w:p>
    <w:p w:rsidR="00C477AB" w:rsidRPr="0099518A" w:rsidRDefault="00C477AB" w:rsidP="0099518A">
      <w:pPr>
        <w:spacing w:line="480" w:lineRule="auto"/>
        <w:contextualSpacing/>
        <w:jc w:val="both"/>
        <w:rPr>
          <w:rFonts w:asciiTheme="majorBidi" w:eastAsia="PMingLiU" w:hAnsiTheme="majorBidi" w:cstheme="majorBidi"/>
          <w:sz w:val="12"/>
          <w:szCs w:val="12"/>
          <w:lang w:eastAsia="zh-TW"/>
        </w:rPr>
      </w:pPr>
    </w:p>
    <w:p w:rsidR="00C477AB" w:rsidRDefault="00C477AB" w:rsidP="0099518A">
      <w:p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The</w:t>
      </w:r>
      <w:r w:rsidR="00B64A5D">
        <w:rPr>
          <w:rFonts w:asciiTheme="majorBidi" w:eastAsia="PMingLiU" w:hAnsiTheme="majorBidi" w:cstheme="majorBidi" w:hint="eastAsia"/>
          <w:sz w:val="24"/>
          <w:szCs w:val="24"/>
          <w:lang w:eastAsia="zh-TW"/>
        </w:rPr>
        <w:t xml:space="preserve"> cumulative growth </w:t>
      </w:r>
      <w:r w:rsidR="00B64A5D" w:rsidRPr="00AD47AE">
        <w:rPr>
          <w:rFonts w:asciiTheme="majorBidi" w:eastAsia="PMingLiU" w:hAnsiTheme="majorBidi" w:cstheme="majorBidi" w:hint="eastAsia"/>
          <w:sz w:val="24"/>
          <w:szCs w:val="24"/>
          <w:lang w:eastAsia="zh-TW"/>
        </w:rPr>
        <w:t>index</w:t>
      </w:r>
      <w:r>
        <w:rPr>
          <w:rFonts w:asciiTheme="majorBidi" w:eastAsia="PMingLiU" w:hAnsiTheme="majorBidi" w:cstheme="majorBidi" w:hint="eastAsia"/>
          <w:sz w:val="24"/>
          <w:szCs w:val="24"/>
          <w:lang w:eastAsia="zh-TW"/>
        </w:rPr>
        <w:t xml:space="preserve">, as the worked example </w:t>
      </w:r>
      <w:r w:rsidR="00E01068">
        <w:rPr>
          <w:rFonts w:asciiTheme="majorBidi" w:eastAsia="PMingLiU" w:hAnsiTheme="majorBidi" w:cstheme="majorBidi"/>
          <w:sz w:val="24"/>
          <w:szCs w:val="24"/>
          <w:lang w:eastAsia="zh-TW"/>
        </w:rPr>
        <w:t>illustrates</w:t>
      </w:r>
      <w:r>
        <w:rPr>
          <w:rFonts w:asciiTheme="majorBidi" w:eastAsia="PMingLiU" w:hAnsiTheme="majorBidi" w:cstheme="majorBidi" w:hint="eastAsia"/>
          <w:sz w:val="24"/>
          <w:szCs w:val="24"/>
          <w:lang w:eastAsia="zh-TW"/>
        </w:rPr>
        <w:t xml:space="preserve">, is designed to relate </w:t>
      </w:r>
      <w:r w:rsidR="00B64A5D" w:rsidRPr="00AD47AE">
        <w:rPr>
          <w:rFonts w:asciiTheme="majorBidi" w:eastAsia="PMingLiU" w:hAnsiTheme="majorBidi" w:cstheme="majorBidi" w:hint="eastAsia"/>
          <w:sz w:val="24"/>
          <w:szCs w:val="24"/>
          <w:lang w:eastAsia="zh-TW"/>
        </w:rPr>
        <w:t>directly</w:t>
      </w:r>
      <w:r>
        <w:rPr>
          <w:rFonts w:asciiTheme="majorBidi" w:eastAsia="PMingLiU" w:hAnsiTheme="majorBidi" w:cstheme="majorBidi" w:hint="eastAsia"/>
          <w:sz w:val="24"/>
          <w:szCs w:val="24"/>
          <w:lang w:eastAsia="zh-TW"/>
        </w:rPr>
        <w:t xml:space="preserve"> to the sequence</w:t>
      </w:r>
      <w:r w:rsidR="00B64A5D" w:rsidRPr="00AD47AE">
        <w:rPr>
          <w:rFonts w:asciiTheme="majorBidi" w:eastAsia="PMingLiU" w:hAnsiTheme="majorBidi" w:cstheme="majorBidi" w:hint="eastAsia"/>
          <w:sz w:val="24"/>
          <w:szCs w:val="24"/>
          <w:lang w:eastAsia="zh-TW"/>
        </w:rPr>
        <w:t xml:space="preserve"> </w:t>
      </w:r>
      <w:r>
        <w:rPr>
          <w:rFonts w:asciiTheme="majorBidi" w:eastAsia="PMingLiU" w:hAnsiTheme="majorBidi" w:cstheme="majorBidi" w:hint="eastAsia"/>
          <w:sz w:val="24"/>
          <w:szCs w:val="24"/>
          <w:lang w:eastAsia="zh-TW"/>
        </w:rPr>
        <w:t xml:space="preserve">of </w:t>
      </w:r>
      <w:r w:rsidRPr="00C477AB">
        <w:rPr>
          <w:rFonts w:asciiTheme="majorBidi" w:eastAsia="PMingLiU" w:hAnsiTheme="majorBidi" w:cstheme="majorBidi"/>
          <w:sz w:val="24"/>
          <w:szCs w:val="24"/>
          <w:lang w:eastAsia="zh-TW"/>
        </w:rPr>
        <w:t xml:space="preserve">median annual relative real growth rates </w:t>
      </w:r>
      <m:oMath>
        <m:sSub>
          <m:sSubPr>
            <m:ctrlPr>
              <w:rPr>
                <w:rFonts w:ascii="Cambria Math" w:hAnsi="Cambria Math" w:cstheme="majorBidi"/>
                <w:i/>
                <w:sz w:val="24"/>
                <w:szCs w:val="24"/>
                <w:lang w:eastAsia="zh-TW"/>
              </w:rPr>
            </m:ctrlPr>
          </m:sSubPr>
          <m:e>
            <m:acc>
              <m:accPr>
                <m:chr m:val="̃"/>
                <m:ctrlPr>
                  <w:rPr>
                    <w:rFonts w:ascii="Cambria Math" w:hAnsi="Cambria Math" w:cstheme="majorBidi"/>
                    <w:i/>
                    <w:sz w:val="24"/>
                    <w:szCs w:val="24"/>
                    <w:lang w:eastAsia="zh-TW"/>
                  </w:rPr>
                </m:ctrlPr>
              </m:accPr>
              <m:e>
                <m:r>
                  <w:rPr>
                    <w:rFonts w:ascii="Cambria Math" w:hAnsi="Cambria Math" w:cstheme="majorBidi"/>
                    <w:sz w:val="24"/>
                    <w:szCs w:val="24"/>
                    <w:lang w:eastAsia="zh-TW"/>
                  </w:rPr>
                  <m:t>y</m:t>
                </m:r>
              </m:e>
            </m:acc>
          </m:e>
          <m:sub>
            <m:r>
              <w:rPr>
                <w:rFonts w:ascii="Cambria Math" w:hAnsi="Cambria Math" w:cstheme="majorBidi"/>
                <w:sz w:val="24"/>
                <w:szCs w:val="24"/>
                <w:lang w:eastAsia="zh-TW"/>
              </w:rPr>
              <m:t>t</m:t>
            </m:r>
          </m:sub>
        </m:sSub>
      </m:oMath>
      <w:r>
        <w:rPr>
          <w:rFonts w:asciiTheme="majorBidi" w:eastAsia="PMingLiU" w:hAnsiTheme="majorBidi" w:cstheme="majorBidi" w:hint="eastAsia"/>
          <w:sz w:val="24"/>
          <w:szCs w:val="24"/>
          <w:lang w:eastAsia="zh-TW"/>
        </w:rPr>
        <w:t xml:space="preserve">.  Therefore the index has three important properties. </w:t>
      </w:r>
      <w:r w:rsidR="007B1EF7">
        <w:rPr>
          <w:rFonts w:asciiTheme="majorBidi" w:eastAsia="PMingLiU" w:hAnsiTheme="majorBidi" w:cstheme="majorBidi" w:hint="eastAsia"/>
          <w:sz w:val="24"/>
          <w:szCs w:val="24"/>
          <w:lang w:eastAsia="zh-TW"/>
        </w:rPr>
        <w:t>Here w</w:t>
      </w:r>
      <w:r>
        <w:rPr>
          <w:rFonts w:asciiTheme="majorBidi" w:eastAsia="PMingLiU" w:hAnsiTheme="majorBidi" w:cstheme="majorBidi" w:hint="eastAsia"/>
          <w:sz w:val="24"/>
          <w:szCs w:val="24"/>
          <w:lang w:eastAsia="zh-TW"/>
        </w:rPr>
        <w:t xml:space="preserve">e describe these properties </w:t>
      </w:r>
      <w:r w:rsidRPr="00AD47AE">
        <w:rPr>
          <w:rFonts w:asciiTheme="majorBidi" w:hAnsiTheme="majorBidi" w:cstheme="majorBidi"/>
          <w:sz w:val="24"/>
          <w:szCs w:val="24"/>
          <w:lang w:eastAsia="zh-TW"/>
        </w:rPr>
        <w:t>to make clear what the index does, and does not, seek to measure.</w:t>
      </w:r>
    </w:p>
    <w:p w:rsidR="0099518A" w:rsidRPr="00FE5ECE" w:rsidRDefault="0099518A" w:rsidP="0099518A">
      <w:pPr>
        <w:spacing w:line="480" w:lineRule="auto"/>
        <w:contextualSpacing/>
        <w:jc w:val="both"/>
        <w:rPr>
          <w:rFonts w:asciiTheme="majorBidi" w:eastAsia="PMingLiU" w:hAnsiTheme="majorBidi" w:cstheme="majorBidi"/>
          <w:sz w:val="12"/>
          <w:szCs w:val="12"/>
          <w:lang w:eastAsia="zh-TW"/>
        </w:rPr>
      </w:pPr>
    </w:p>
    <w:p w:rsidR="00A66A4E" w:rsidRPr="00A66A4E" w:rsidRDefault="00EA1710" w:rsidP="003F6A7A">
      <w:pPr>
        <w:pStyle w:val="ListParagraph"/>
        <w:numPr>
          <w:ilvl w:val="0"/>
          <w:numId w:val="14"/>
        </w:numPr>
        <w:spacing w:line="480" w:lineRule="auto"/>
        <w:jc w:val="both"/>
        <w:rPr>
          <w:rFonts w:asciiTheme="majorBidi" w:hAnsiTheme="majorBidi" w:cstheme="majorBidi"/>
          <w:sz w:val="24"/>
          <w:szCs w:val="24"/>
          <w:lang w:eastAsia="zh-TW"/>
        </w:rPr>
      </w:pPr>
      <w:r w:rsidRPr="00EA1710">
        <w:rPr>
          <w:rFonts w:asciiTheme="majorBidi" w:hAnsiTheme="majorBidi" w:cstheme="majorBidi"/>
          <w:i/>
          <w:iCs/>
          <w:sz w:val="24"/>
          <w:szCs w:val="24"/>
          <w:lang w:eastAsia="zh-TW"/>
        </w:rPr>
        <w:t>The index provide</w:t>
      </w:r>
      <w:r>
        <w:rPr>
          <w:rFonts w:asciiTheme="majorBidi" w:eastAsia="PMingLiU" w:hAnsiTheme="majorBidi" w:cstheme="majorBidi" w:hint="eastAsia"/>
          <w:i/>
          <w:iCs/>
          <w:sz w:val="24"/>
          <w:szCs w:val="24"/>
          <w:lang w:eastAsia="zh-TW"/>
        </w:rPr>
        <w:t>s</w:t>
      </w:r>
      <w:r w:rsidRPr="00EA1710">
        <w:rPr>
          <w:rFonts w:asciiTheme="majorBidi" w:hAnsiTheme="majorBidi" w:cstheme="majorBidi"/>
          <w:i/>
          <w:iCs/>
          <w:sz w:val="24"/>
          <w:szCs w:val="24"/>
          <w:lang w:eastAsia="zh-TW"/>
        </w:rPr>
        <w:t xml:space="preserve"> insight into relative changes in income experienced at the level of individual charities</w:t>
      </w:r>
      <w:r w:rsidRPr="00EA1710">
        <w:rPr>
          <w:rFonts w:asciiTheme="majorBidi" w:eastAsia="PMingLiU" w:hAnsiTheme="majorBidi" w:cstheme="majorBidi" w:hint="eastAsia"/>
          <w:i/>
          <w:iCs/>
          <w:sz w:val="24"/>
          <w:szCs w:val="24"/>
          <w:lang w:eastAsia="zh-TW"/>
        </w:rPr>
        <w:t>, not</w:t>
      </w:r>
      <w:r w:rsidRPr="00EA1710">
        <w:rPr>
          <w:rFonts w:asciiTheme="majorBidi" w:hAnsiTheme="majorBidi" w:cstheme="majorBidi"/>
          <w:i/>
          <w:iCs/>
          <w:sz w:val="24"/>
          <w:szCs w:val="24"/>
          <w:lang w:eastAsia="zh-TW"/>
        </w:rPr>
        <w:t xml:space="preserve"> trends in absolute aggregate income across the charitable sector as a whole.</w:t>
      </w:r>
      <w:r w:rsidRPr="00EA1710">
        <w:rPr>
          <w:rFonts w:asciiTheme="majorBidi" w:hAnsiTheme="majorBidi" w:cstheme="majorBidi"/>
          <w:sz w:val="24"/>
          <w:szCs w:val="24"/>
          <w:lang w:eastAsia="zh-TW"/>
        </w:rPr>
        <w:t xml:space="preserve">  Trends in absolute aggregate income are well described in NCVO’s </w:t>
      </w:r>
      <w:r w:rsidRPr="00EA1710">
        <w:rPr>
          <w:rFonts w:asciiTheme="majorBidi" w:hAnsiTheme="majorBidi" w:cstheme="majorBidi"/>
          <w:i/>
          <w:iCs/>
          <w:sz w:val="24"/>
          <w:szCs w:val="24"/>
          <w:lang w:eastAsia="zh-TW"/>
        </w:rPr>
        <w:t xml:space="preserve">Civil </w:t>
      </w:r>
      <w:r w:rsidRPr="00EA1710">
        <w:rPr>
          <w:rFonts w:asciiTheme="majorBidi" w:hAnsiTheme="majorBidi" w:cstheme="majorBidi"/>
          <w:i/>
          <w:iCs/>
          <w:sz w:val="24"/>
          <w:szCs w:val="24"/>
          <w:lang w:eastAsia="zh-TW"/>
        </w:rPr>
        <w:lastRenderedPageBreak/>
        <w:t xml:space="preserve">Society Almanac </w:t>
      </w:r>
      <w:r w:rsidRPr="00EA1710">
        <w:rPr>
          <w:rFonts w:asciiTheme="majorBidi" w:eastAsia="PMingLiU" w:hAnsiTheme="majorBidi" w:cstheme="majorBidi"/>
          <w:sz w:val="24"/>
          <w:szCs w:val="24"/>
          <w:lang w:eastAsia="zh-TW"/>
        </w:rPr>
        <w:t xml:space="preserve">(Kane </w:t>
      </w:r>
      <w:r w:rsidRPr="00EA1710">
        <w:rPr>
          <w:rFonts w:asciiTheme="majorBidi" w:eastAsia="PMingLiU" w:hAnsiTheme="majorBidi" w:cstheme="majorBidi"/>
          <w:i/>
          <w:iCs/>
          <w:sz w:val="24"/>
          <w:szCs w:val="24"/>
          <w:lang w:eastAsia="zh-TW"/>
        </w:rPr>
        <w:t>et al.</w:t>
      </w:r>
      <w:r w:rsidR="005F4D68">
        <w:rPr>
          <w:rFonts w:asciiTheme="majorBidi" w:eastAsia="PMingLiU" w:hAnsiTheme="majorBidi" w:cstheme="majorBidi"/>
          <w:sz w:val="24"/>
          <w:szCs w:val="24"/>
          <w:lang w:eastAsia="zh-TW"/>
        </w:rPr>
        <w:t>, 2014)</w:t>
      </w:r>
      <w:r w:rsidR="001E2342">
        <w:rPr>
          <w:rFonts w:asciiTheme="majorBidi" w:eastAsia="PMingLiU" w:hAnsiTheme="majorBidi" w:cstheme="majorBidi" w:hint="eastAsia"/>
          <w:sz w:val="24"/>
          <w:szCs w:val="24"/>
          <w:lang w:eastAsia="zh-TW"/>
        </w:rPr>
        <w:t xml:space="preserve">.  </w:t>
      </w:r>
      <w:r w:rsidR="001E2342" w:rsidRPr="001E2342">
        <w:rPr>
          <w:rFonts w:asciiTheme="majorBidi" w:eastAsia="PMingLiU" w:hAnsiTheme="majorBidi" w:cstheme="majorBidi"/>
          <w:sz w:val="24"/>
          <w:szCs w:val="24"/>
          <w:lang w:eastAsia="zh-TW"/>
        </w:rPr>
        <w:t>Here the main focus of measurement is examining changes in total char</w:t>
      </w:r>
      <w:r w:rsidR="001E2342">
        <w:rPr>
          <w:rFonts w:asciiTheme="majorBidi" w:eastAsia="PMingLiU" w:hAnsiTheme="majorBidi" w:cstheme="majorBidi"/>
          <w:sz w:val="24"/>
          <w:szCs w:val="24"/>
          <w:lang w:eastAsia="zh-TW"/>
        </w:rPr>
        <w:t>itable income across the sector</w:t>
      </w:r>
      <w:r w:rsidR="005F4D68">
        <w:rPr>
          <w:rFonts w:asciiTheme="majorBidi" w:eastAsia="PMingLiU" w:hAnsiTheme="majorBidi" w:cstheme="majorBidi" w:hint="eastAsia"/>
          <w:sz w:val="24"/>
          <w:szCs w:val="24"/>
          <w:lang w:eastAsia="zh-TW"/>
        </w:rPr>
        <w:t xml:space="preserve">: </w:t>
      </w:r>
      <w:r>
        <w:rPr>
          <w:rFonts w:asciiTheme="majorBidi" w:eastAsia="PMingLiU" w:hAnsiTheme="majorBidi" w:cstheme="majorBidi" w:hint="eastAsia"/>
          <w:sz w:val="24"/>
          <w:szCs w:val="24"/>
          <w:lang w:eastAsia="zh-TW"/>
        </w:rPr>
        <w:t>t</w:t>
      </w:r>
      <w:r w:rsidRPr="00EA1710">
        <w:rPr>
          <w:rFonts w:asciiTheme="majorBidi" w:eastAsia="PMingLiU" w:hAnsiTheme="majorBidi" w:cstheme="majorBidi"/>
          <w:sz w:val="24"/>
          <w:szCs w:val="24"/>
          <w:lang w:eastAsia="zh-TW"/>
        </w:rPr>
        <w:t>he income of all charities in a particular year</w:t>
      </w:r>
      <w:r w:rsidRPr="00EA1710">
        <w:rPr>
          <w:rFonts w:asciiTheme="majorBidi" w:eastAsia="PMingLiU" w:hAnsiTheme="majorBidi" w:cstheme="majorBidi"/>
          <w:i/>
          <w:iCs/>
          <w:sz w:val="24"/>
          <w:szCs w:val="24"/>
          <w:lang w:eastAsia="zh-TW"/>
        </w:rPr>
        <w:t xml:space="preserve"> </w:t>
      </w:r>
      <w:r w:rsidRPr="00EA1710">
        <w:rPr>
          <w:rFonts w:asciiTheme="majorBidi" w:eastAsia="PMingLiU" w:hAnsiTheme="majorBidi" w:cstheme="majorBidi"/>
          <w:sz w:val="24"/>
          <w:szCs w:val="24"/>
          <w:lang w:eastAsia="zh-TW"/>
        </w:rPr>
        <w:t xml:space="preserve">is aggregated and compared to aggregated income in previous years.  These aggregate trends </w:t>
      </w:r>
      <w:r w:rsidR="005F4D68">
        <w:rPr>
          <w:rFonts w:asciiTheme="majorBidi" w:eastAsia="PMingLiU" w:hAnsiTheme="majorBidi" w:cstheme="majorBidi" w:hint="eastAsia"/>
          <w:sz w:val="24"/>
          <w:szCs w:val="24"/>
          <w:lang w:eastAsia="zh-TW"/>
        </w:rPr>
        <w:t xml:space="preserve">are important but </w:t>
      </w:r>
      <w:r w:rsidRPr="00EA1710">
        <w:rPr>
          <w:rFonts w:asciiTheme="majorBidi" w:hAnsiTheme="majorBidi" w:cstheme="majorBidi"/>
          <w:sz w:val="24"/>
          <w:szCs w:val="24"/>
          <w:lang w:eastAsia="zh-TW"/>
        </w:rPr>
        <w:t>provide limited insight into changes in income</w:t>
      </w:r>
      <w:r w:rsidR="00FE5ECE">
        <w:rPr>
          <w:rFonts w:asciiTheme="majorBidi" w:eastAsia="PMingLiU" w:hAnsiTheme="majorBidi" w:cstheme="majorBidi" w:hint="eastAsia"/>
          <w:sz w:val="24"/>
          <w:szCs w:val="24"/>
          <w:lang w:eastAsia="zh-TW"/>
        </w:rPr>
        <w:t xml:space="preserve"> as they are</w:t>
      </w:r>
      <w:r w:rsidRPr="00EA1710">
        <w:rPr>
          <w:rFonts w:asciiTheme="majorBidi" w:hAnsiTheme="majorBidi" w:cstheme="majorBidi"/>
          <w:sz w:val="24"/>
          <w:szCs w:val="24"/>
          <w:lang w:eastAsia="zh-TW"/>
        </w:rPr>
        <w:t xml:space="preserve"> experienced </w:t>
      </w:r>
      <w:r w:rsidR="00FE5ECE">
        <w:rPr>
          <w:rFonts w:asciiTheme="majorBidi" w:eastAsia="PMingLiU" w:hAnsiTheme="majorBidi" w:cstheme="majorBidi" w:hint="eastAsia"/>
          <w:sz w:val="24"/>
          <w:szCs w:val="24"/>
          <w:lang w:eastAsia="zh-TW"/>
        </w:rPr>
        <w:t>by</w:t>
      </w:r>
      <w:r w:rsidRPr="00EA1710">
        <w:rPr>
          <w:rFonts w:asciiTheme="majorBidi" w:hAnsiTheme="majorBidi" w:cstheme="majorBidi"/>
          <w:sz w:val="24"/>
          <w:szCs w:val="24"/>
          <w:lang w:eastAsia="zh-TW"/>
        </w:rPr>
        <w:t xml:space="preserve"> individual charities.  In particular, since they implicitly reflect the fortunes of the very largest charities which dominate total charitable income, they do not capture the experience of smaller and medium sized charities.</w:t>
      </w:r>
      <w:r w:rsidRPr="00EA1710">
        <w:rPr>
          <w:rFonts w:asciiTheme="majorBidi" w:eastAsia="PMingLiU" w:hAnsiTheme="majorBidi" w:cstheme="majorBidi" w:hint="eastAsia"/>
          <w:sz w:val="24"/>
          <w:szCs w:val="24"/>
          <w:lang w:eastAsia="zh-TW"/>
        </w:rPr>
        <w:t xml:space="preserve"> </w:t>
      </w:r>
      <w:r w:rsidR="005F4D68">
        <w:rPr>
          <w:rFonts w:asciiTheme="majorBidi" w:eastAsia="PMingLiU" w:hAnsiTheme="majorBidi" w:cstheme="majorBidi" w:hint="eastAsia"/>
          <w:sz w:val="24"/>
          <w:szCs w:val="24"/>
          <w:lang w:eastAsia="zh-TW"/>
        </w:rPr>
        <w:t xml:space="preserve"> </w:t>
      </w:r>
      <w:r w:rsidRPr="00EA1710">
        <w:rPr>
          <w:rFonts w:asciiTheme="majorBidi" w:eastAsia="PMingLiU" w:hAnsiTheme="majorBidi" w:cstheme="majorBidi"/>
          <w:sz w:val="24"/>
          <w:szCs w:val="24"/>
          <w:lang w:eastAsia="zh-TW"/>
        </w:rPr>
        <w:t>The</w:t>
      </w:r>
      <w:r w:rsidR="005F4D68">
        <w:rPr>
          <w:rFonts w:asciiTheme="majorBidi" w:eastAsia="PMingLiU" w:hAnsiTheme="majorBidi" w:cstheme="majorBidi" w:hint="eastAsia"/>
          <w:sz w:val="24"/>
          <w:szCs w:val="24"/>
          <w:lang w:eastAsia="zh-TW"/>
        </w:rPr>
        <w:t>refore the</w:t>
      </w:r>
      <w:r w:rsidRPr="00EA1710">
        <w:rPr>
          <w:rFonts w:asciiTheme="majorBidi" w:eastAsia="PMingLiU" w:hAnsiTheme="majorBidi" w:cstheme="majorBidi"/>
          <w:sz w:val="24"/>
          <w:szCs w:val="24"/>
          <w:lang w:eastAsia="zh-TW"/>
        </w:rPr>
        <w:t xml:space="preserve"> cumulative growth index</w:t>
      </w:r>
      <w:r w:rsidR="00FE5ECE">
        <w:rPr>
          <w:rFonts w:asciiTheme="majorBidi" w:eastAsia="PMingLiU" w:hAnsiTheme="majorBidi" w:cstheme="majorBidi" w:hint="eastAsia"/>
          <w:sz w:val="24"/>
          <w:szCs w:val="24"/>
          <w:lang w:eastAsia="zh-TW"/>
        </w:rPr>
        <w:t xml:space="preserve"> </w:t>
      </w:r>
      <w:r w:rsidR="005F4D68">
        <w:rPr>
          <w:rFonts w:asciiTheme="majorBidi" w:eastAsia="PMingLiU" w:hAnsiTheme="majorBidi" w:cstheme="majorBidi" w:hint="eastAsia"/>
          <w:sz w:val="24"/>
          <w:szCs w:val="24"/>
          <w:lang w:eastAsia="zh-TW"/>
        </w:rPr>
        <w:t xml:space="preserve">is designed to </w:t>
      </w:r>
      <w:r w:rsidR="00E01068" w:rsidRPr="00EA1710">
        <w:rPr>
          <w:rFonts w:asciiTheme="majorBidi" w:eastAsia="PMingLiU" w:hAnsiTheme="majorBidi" w:cstheme="majorBidi"/>
          <w:sz w:val="24"/>
          <w:szCs w:val="24"/>
          <w:lang w:eastAsia="zh-TW"/>
        </w:rPr>
        <w:t>provide</w:t>
      </w:r>
      <w:r w:rsidRPr="00EA1710">
        <w:rPr>
          <w:rFonts w:asciiTheme="majorBidi" w:eastAsia="PMingLiU" w:hAnsiTheme="majorBidi" w:cstheme="majorBidi"/>
          <w:sz w:val="24"/>
          <w:szCs w:val="24"/>
          <w:lang w:eastAsia="zh-TW"/>
        </w:rPr>
        <w:t xml:space="preserve"> a different</w:t>
      </w:r>
      <w:r w:rsidR="005F4D68">
        <w:rPr>
          <w:rFonts w:asciiTheme="majorBidi" w:eastAsia="PMingLiU" w:hAnsiTheme="majorBidi" w:cstheme="majorBidi" w:hint="eastAsia"/>
          <w:sz w:val="24"/>
          <w:szCs w:val="24"/>
          <w:lang w:eastAsia="zh-TW"/>
        </w:rPr>
        <w:t xml:space="preserve"> and complementary</w:t>
      </w:r>
      <w:r w:rsidRPr="00EA1710">
        <w:rPr>
          <w:rFonts w:asciiTheme="majorBidi" w:eastAsia="PMingLiU" w:hAnsiTheme="majorBidi" w:cstheme="majorBidi"/>
          <w:sz w:val="24"/>
          <w:szCs w:val="24"/>
          <w:lang w:eastAsia="zh-TW"/>
        </w:rPr>
        <w:t xml:space="preserve"> perspective</w:t>
      </w:r>
      <w:r w:rsidR="001E2342">
        <w:rPr>
          <w:rFonts w:asciiTheme="majorBidi" w:eastAsia="PMingLiU" w:hAnsiTheme="majorBidi" w:cstheme="majorBidi" w:hint="eastAsia"/>
          <w:sz w:val="24"/>
          <w:szCs w:val="24"/>
          <w:lang w:eastAsia="zh-TW"/>
        </w:rPr>
        <w:t>: s</w:t>
      </w:r>
      <w:r w:rsidR="00FE5ECE">
        <w:rPr>
          <w:rFonts w:asciiTheme="majorBidi" w:eastAsia="PMingLiU" w:hAnsiTheme="majorBidi" w:cstheme="majorBidi" w:hint="eastAsia"/>
          <w:sz w:val="24"/>
          <w:szCs w:val="24"/>
          <w:lang w:eastAsia="zh-TW"/>
        </w:rPr>
        <w:t xml:space="preserve">ince it is based </w:t>
      </w:r>
      <w:r w:rsidR="00B752B8">
        <w:rPr>
          <w:rFonts w:asciiTheme="majorBidi" w:eastAsia="PMingLiU" w:hAnsiTheme="majorBidi" w:cstheme="majorBidi" w:hint="eastAsia"/>
          <w:sz w:val="24"/>
          <w:szCs w:val="24"/>
          <w:lang w:eastAsia="zh-TW"/>
        </w:rPr>
        <w:t xml:space="preserve">on </w:t>
      </w:r>
      <w:r w:rsidR="00AE765B">
        <w:rPr>
          <w:rFonts w:asciiTheme="majorBidi" w:eastAsia="PMingLiU" w:hAnsiTheme="majorBidi" w:cstheme="majorBidi" w:hint="eastAsia"/>
          <w:sz w:val="24"/>
          <w:szCs w:val="24"/>
          <w:lang w:eastAsia="zh-TW"/>
        </w:rPr>
        <w:t xml:space="preserve">a sequence of </w:t>
      </w:r>
      <w:r w:rsidR="00A66A4E" w:rsidRPr="0099518A">
        <w:rPr>
          <w:rFonts w:asciiTheme="majorBidi" w:eastAsia="PMingLiU" w:hAnsiTheme="majorBidi" w:cstheme="majorBidi"/>
          <w:sz w:val="24"/>
          <w:szCs w:val="24"/>
          <w:lang w:eastAsia="zh-TW"/>
        </w:rPr>
        <w:t>relative growth rate</w:t>
      </w:r>
      <w:r w:rsidR="00B752B8">
        <w:rPr>
          <w:rFonts w:asciiTheme="majorBidi" w:eastAsia="PMingLiU" w:hAnsiTheme="majorBidi" w:cstheme="majorBidi" w:hint="eastAsia"/>
          <w:sz w:val="24"/>
          <w:szCs w:val="24"/>
          <w:lang w:eastAsia="zh-TW"/>
        </w:rPr>
        <w:t>s</w:t>
      </w:r>
      <w:r w:rsidR="001E2342">
        <w:rPr>
          <w:rFonts w:asciiTheme="majorBidi" w:eastAsia="PMingLiU" w:hAnsiTheme="majorBidi" w:cstheme="majorBidi" w:hint="eastAsia"/>
          <w:sz w:val="24"/>
          <w:szCs w:val="24"/>
          <w:lang w:eastAsia="zh-TW"/>
        </w:rPr>
        <w:t>, it provides no insight into trends in aggregate income across the sector as a whole</w:t>
      </w:r>
      <w:r w:rsidR="003F6A7A">
        <w:rPr>
          <w:rFonts w:asciiTheme="majorBidi" w:eastAsia="PMingLiU" w:hAnsiTheme="majorBidi" w:cstheme="majorBidi"/>
          <w:sz w:val="24"/>
          <w:szCs w:val="24"/>
          <w:lang w:eastAsia="zh-TW"/>
        </w:rPr>
        <w:t xml:space="preserve">; </w:t>
      </w:r>
      <w:r w:rsidR="00E01068">
        <w:rPr>
          <w:rFonts w:asciiTheme="majorBidi" w:eastAsia="PMingLiU" w:hAnsiTheme="majorBidi" w:cstheme="majorBidi" w:hint="eastAsia"/>
          <w:sz w:val="24"/>
          <w:szCs w:val="24"/>
          <w:lang w:eastAsia="zh-TW"/>
        </w:rPr>
        <w:t>instead</w:t>
      </w:r>
      <w:r w:rsidR="006A33B9">
        <w:rPr>
          <w:rFonts w:asciiTheme="majorBidi" w:eastAsia="PMingLiU" w:hAnsiTheme="majorBidi" w:cstheme="majorBidi"/>
          <w:sz w:val="24"/>
          <w:szCs w:val="24"/>
          <w:lang w:eastAsia="zh-TW"/>
        </w:rPr>
        <w:t>,</w:t>
      </w:r>
      <w:r w:rsidR="003F6A7A">
        <w:rPr>
          <w:rFonts w:asciiTheme="majorBidi" w:eastAsia="PMingLiU" w:hAnsiTheme="majorBidi" w:cstheme="majorBidi"/>
          <w:sz w:val="24"/>
          <w:szCs w:val="24"/>
          <w:lang w:eastAsia="zh-TW"/>
        </w:rPr>
        <w:t xml:space="preserve"> it</w:t>
      </w:r>
      <w:r w:rsidR="00E01068">
        <w:rPr>
          <w:rFonts w:asciiTheme="majorBidi" w:eastAsia="PMingLiU" w:hAnsiTheme="majorBidi" w:cstheme="majorBidi" w:hint="eastAsia"/>
          <w:sz w:val="24"/>
          <w:szCs w:val="24"/>
          <w:lang w:eastAsia="zh-TW"/>
        </w:rPr>
        <w:t xml:space="preserve"> </w:t>
      </w:r>
      <w:r w:rsidR="001E2342">
        <w:rPr>
          <w:rFonts w:asciiTheme="majorBidi" w:eastAsia="PMingLiU" w:hAnsiTheme="majorBidi" w:cstheme="majorBidi" w:hint="eastAsia"/>
          <w:sz w:val="24"/>
          <w:szCs w:val="24"/>
          <w:lang w:eastAsia="zh-TW"/>
        </w:rPr>
        <w:t xml:space="preserve">provides insight into </w:t>
      </w:r>
      <w:r w:rsidR="00A66A4E">
        <w:rPr>
          <w:rFonts w:asciiTheme="majorBidi" w:eastAsia="PMingLiU" w:hAnsiTheme="majorBidi" w:cstheme="majorBidi" w:hint="eastAsia"/>
          <w:sz w:val="24"/>
          <w:szCs w:val="24"/>
          <w:lang w:eastAsia="zh-TW"/>
        </w:rPr>
        <w:t xml:space="preserve">changes in income </w:t>
      </w:r>
      <w:r w:rsidR="00E01068">
        <w:rPr>
          <w:rFonts w:asciiTheme="majorBidi" w:eastAsia="PMingLiU" w:hAnsiTheme="majorBidi" w:cstheme="majorBidi" w:hint="eastAsia"/>
          <w:sz w:val="24"/>
          <w:szCs w:val="24"/>
          <w:lang w:eastAsia="zh-TW"/>
        </w:rPr>
        <w:t>at the level of individual organisations</w:t>
      </w:r>
      <w:r w:rsidR="00A66A4E">
        <w:rPr>
          <w:rFonts w:asciiTheme="majorBidi" w:eastAsia="PMingLiU" w:hAnsiTheme="majorBidi" w:cstheme="majorBidi" w:hint="eastAsia"/>
          <w:sz w:val="24"/>
          <w:szCs w:val="24"/>
          <w:lang w:eastAsia="zh-TW"/>
        </w:rPr>
        <w:t>.</w:t>
      </w:r>
    </w:p>
    <w:p w:rsidR="00B752B8" w:rsidRPr="00B752B8" w:rsidRDefault="00B752B8" w:rsidP="00B752B8">
      <w:pPr>
        <w:shd w:val="clear" w:color="auto" w:fill="FFFFFF"/>
        <w:spacing w:before="120" w:after="120" w:line="480" w:lineRule="auto"/>
        <w:jc w:val="both"/>
        <w:rPr>
          <w:rFonts w:asciiTheme="majorBidi" w:eastAsia="PMingLiU" w:hAnsiTheme="majorBidi" w:cstheme="majorBidi"/>
          <w:sz w:val="12"/>
          <w:szCs w:val="12"/>
          <w:lang w:eastAsia="zh-TW"/>
        </w:rPr>
      </w:pPr>
    </w:p>
    <w:p w:rsidR="0099518A" w:rsidRPr="00FE5ECE" w:rsidRDefault="00B64A5D" w:rsidP="0099518A">
      <w:pPr>
        <w:pStyle w:val="ListParagraph"/>
        <w:numPr>
          <w:ilvl w:val="0"/>
          <w:numId w:val="14"/>
        </w:numPr>
        <w:shd w:val="clear" w:color="auto" w:fill="FFFFFF"/>
        <w:spacing w:before="120" w:after="120" w:line="480" w:lineRule="auto"/>
        <w:ind w:left="357" w:hanging="357"/>
        <w:jc w:val="both"/>
        <w:rPr>
          <w:rFonts w:asciiTheme="majorBidi" w:eastAsia="Times New Roman" w:hAnsiTheme="majorBidi" w:cstheme="majorBidi"/>
          <w:lang w:eastAsia="zh-TW"/>
        </w:rPr>
      </w:pPr>
      <w:r w:rsidRPr="0099518A">
        <w:rPr>
          <w:rFonts w:asciiTheme="majorBidi" w:hAnsiTheme="majorBidi" w:cstheme="majorBidi"/>
          <w:i/>
          <w:iCs/>
          <w:sz w:val="24"/>
          <w:szCs w:val="24"/>
          <w:lang w:eastAsia="zh-TW"/>
        </w:rPr>
        <w:t>The index is based on the experience of charities that existed between 1999 and 2014 - including those organisations that registered and/or dissolved during this period</w:t>
      </w:r>
      <w:r w:rsidRPr="0099518A">
        <w:rPr>
          <w:rFonts w:asciiTheme="majorBidi" w:hAnsiTheme="majorBidi" w:cstheme="majorBidi"/>
          <w:sz w:val="24"/>
          <w:szCs w:val="24"/>
          <w:lang w:eastAsia="zh-TW"/>
        </w:rPr>
        <w:t xml:space="preserve">.   This is possible because the median annual relative growth rate </w:t>
      </w:r>
      <m:oMath>
        <m:sSub>
          <m:sSubPr>
            <m:ctrlPr>
              <w:rPr>
                <w:rFonts w:ascii="Cambria Math" w:hAnsi="Cambria Math" w:cstheme="majorBidi"/>
                <w:i/>
                <w:sz w:val="24"/>
                <w:szCs w:val="24"/>
                <w:lang w:eastAsia="zh-TW"/>
              </w:rPr>
            </m:ctrlPr>
          </m:sSubPr>
          <m:e>
            <m:acc>
              <m:accPr>
                <m:chr m:val="̃"/>
                <m:ctrlPr>
                  <w:rPr>
                    <w:rFonts w:ascii="Cambria Math" w:hAnsi="Cambria Math" w:cstheme="majorBidi"/>
                    <w:i/>
                    <w:sz w:val="24"/>
                    <w:szCs w:val="24"/>
                    <w:lang w:eastAsia="zh-TW"/>
                  </w:rPr>
                </m:ctrlPr>
              </m:accPr>
              <m:e>
                <m:r>
                  <w:rPr>
                    <w:rFonts w:ascii="Cambria Math" w:hAnsi="Cambria Math" w:cstheme="majorBidi"/>
                    <w:sz w:val="24"/>
                    <w:szCs w:val="24"/>
                    <w:lang w:eastAsia="zh-TW"/>
                  </w:rPr>
                  <m:t>y</m:t>
                </m:r>
              </m:e>
            </m:acc>
          </m:e>
          <m:sub>
            <m:r>
              <w:rPr>
                <w:rFonts w:ascii="Cambria Math" w:hAnsi="Cambria Math" w:cstheme="majorBidi"/>
                <w:sz w:val="24"/>
                <w:szCs w:val="24"/>
                <w:lang w:eastAsia="zh-TW"/>
              </w:rPr>
              <m:t>t</m:t>
            </m:r>
          </m:sub>
        </m:sSub>
      </m:oMath>
      <w:r w:rsidRPr="0099518A">
        <w:rPr>
          <w:rFonts w:asciiTheme="majorBidi" w:hAnsiTheme="majorBidi" w:cstheme="majorBidi"/>
          <w:sz w:val="24"/>
          <w:szCs w:val="24"/>
          <w:lang w:eastAsia="zh-TW"/>
        </w:rPr>
        <w:t xml:space="preserve">  in year </w:t>
      </w:r>
      <w:r w:rsidRPr="0099518A">
        <w:rPr>
          <w:rFonts w:asciiTheme="majorBidi" w:hAnsiTheme="majorBidi" w:cstheme="majorBidi"/>
          <w:i/>
          <w:iCs/>
          <w:sz w:val="24"/>
          <w:szCs w:val="24"/>
          <w:lang w:eastAsia="zh-TW"/>
        </w:rPr>
        <w:t>t</w:t>
      </w:r>
      <w:r w:rsidRPr="0099518A">
        <w:rPr>
          <w:rFonts w:asciiTheme="majorBidi" w:hAnsiTheme="majorBidi" w:cstheme="majorBidi"/>
          <w:sz w:val="24"/>
          <w:szCs w:val="24"/>
          <w:lang w:eastAsia="zh-TW"/>
        </w:rPr>
        <w:t xml:space="preserve">, on which the index is built, considers all </w:t>
      </w:r>
      <w:r w:rsidRPr="0099518A">
        <w:rPr>
          <w:rFonts w:asciiTheme="majorBidi" w:eastAsia="PMingLiU" w:hAnsiTheme="majorBidi" w:cstheme="majorBidi"/>
          <w:sz w:val="24"/>
          <w:szCs w:val="24"/>
          <w:lang w:eastAsia="zh-TW"/>
        </w:rPr>
        <w:t xml:space="preserve">organisations that existed at </w:t>
      </w:r>
      <m:oMath>
        <m:r>
          <w:rPr>
            <w:rFonts w:ascii="Cambria Math" w:eastAsia="PMingLiU" w:hAnsi="Cambria Math" w:cstheme="majorBidi"/>
            <w:sz w:val="24"/>
            <w:szCs w:val="24"/>
            <w:lang w:eastAsia="zh-TW"/>
          </w:rPr>
          <m:t>t</m:t>
        </m:r>
        <m:r>
          <m:rPr>
            <m:sty m:val="p"/>
          </m:rPr>
          <w:rPr>
            <w:rFonts w:ascii="Cambria Math" w:eastAsia="PMingLiU" w:hAnsi="Cambria Math" w:cstheme="majorBidi"/>
            <w:sz w:val="24"/>
            <w:szCs w:val="24"/>
            <w:lang w:eastAsia="zh-TW"/>
          </w:rPr>
          <m:t>-1</m:t>
        </m:r>
      </m:oMath>
      <w:r w:rsidRPr="0099518A">
        <w:rPr>
          <w:rFonts w:asciiTheme="majorBidi" w:eastAsia="PMingLiU" w:hAnsiTheme="majorBidi" w:cstheme="majorBidi"/>
          <w:sz w:val="24"/>
          <w:szCs w:val="24"/>
          <w:lang w:eastAsia="zh-TW"/>
        </w:rPr>
        <w:t xml:space="preserve"> and </w:t>
      </w:r>
      <m:oMath>
        <m:r>
          <w:rPr>
            <w:rFonts w:ascii="Cambria Math" w:eastAsia="PMingLiU" w:hAnsi="Cambria Math" w:cstheme="majorBidi"/>
            <w:sz w:val="24"/>
            <w:szCs w:val="24"/>
            <w:lang w:eastAsia="zh-TW"/>
          </w:rPr>
          <m:t>t</m:t>
        </m:r>
      </m:oMath>
      <w:r w:rsidRPr="0099518A">
        <w:rPr>
          <w:rFonts w:asciiTheme="majorBidi" w:eastAsia="PMingLiU" w:hAnsiTheme="majorBidi" w:cstheme="majorBidi"/>
          <w:sz w:val="24"/>
          <w:szCs w:val="24"/>
          <w:lang w:eastAsia="zh-TW"/>
        </w:rPr>
        <w:t xml:space="preserve">, including </w:t>
      </w:r>
      <w:r w:rsidRPr="0099518A">
        <w:rPr>
          <w:rFonts w:asciiTheme="majorBidi" w:hAnsiTheme="majorBidi" w:cstheme="majorBidi"/>
          <w:sz w:val="24"/>
          <w:szCs w:val="24"/>
          <w:lang w:eastAsia="zh-TW"/>
        </w:rPr>
        <w:t>those organisations that registered and/or dissolved at some point between 1999 and 2014</w:t>
      </w:r>
      <w:r w:rsidRPr="0099518A">
        <w:rPr>
          <w:rFonts w:asciiTheme="majorBidi" w:eastAsia="PMingLiU" w:hAnsiTheme="majorBidi" w:cstheme="majorBidi"/>
          <w:sz w:val="24"/>
          <w:szCs w:val="24"/>
          <w:lang w:eastAsia="zh-TW"/>
        </w:rPr>
        <w:t xml:space="preserve">.  </w:t>
      </w:r>
      <w:r w:rsidRPr="0099518A">
        <w:rPr>
          <w:rFonts w:asciiTheme="majorBidi" w:hAnsiTheme="majorBidi" w:cstheme="majorBidi"/>
          <w:sz w:val="24"/>
          <w:szCs w:val="24"/>
          <w:lang w:eastAsia="zh-TW"/>
        </w:rPr>
        <w:t>The cumulative growth index is therefore preferred to an alternative approach to measuring cumulative growth</w:t>
      </w:r>
      <w:r w:rsidR="006E371F" w:rsidRPr="0099518A">
        <w:rPr>
          <w:rFonts w:asciiTheme="majorBidi" w:eastAsia="PMingLiU" w:hAnsiTheme="majorBidi" w:cstheme="majorBidi" w:hint="eastAsia"/>
          <w:sz w:val="24"/>
          <w:szCs w:val="24"/>
          <w:lang w:eastAsia="zh-TW"/>
        </w:rPr>
        <w:t xml:space="preserve"> over our analysis period</w:t>
      </w:r>
      <w:r w:rsidRPr="0099518A">
        <w:rPr>
          <w:rFonts w:asciiTheme="majorBidi" w:hAnsiTheme="majorBidi" w:cstheme="majorBidi"/>
          <w:sz w:val="24"/>
          <w:szCs w:val="24"/>
          <w:lang w:eastAsia="zh-TW"/>
        </w:rPr>
        <w:t>, based on directly comparing</w:t>
      </w:r>
      <w:r w:rsidRPr="0099518A">
        <w:rPr>
          <w:rFonts w:asciiTheme="majorBidi" w:eastAsia="PMingLiU" w:hAnsiTheme="majorBidi" w:cstheme="majorBidi"/>
          <w:sz w:val="24"/>
          <w:szCs w:val="24"/>
          <w:lang w:eastAsia="zh-TW"/>
        </w:rPr>
        <w:t xml:space="preserve"> </w:t>
      </w:r>
      <w:r w:rsidRPr="0099518A">
        <w:rPr>
          <w:rFonts w:asciiTheme="majorBidi" w:hAnsiTheme="majorBidi" w:cstheme="majorBidi"/>
          <w:sz w:val="24"/>
          <w:szCs w:val="24"/>
          <w:lang w:eastAsia="zh-TW"/>
        </w:rPr>
        <w:t>organisations</w:t>
      </w:r>
      <w:r w:rsidRPr="0099518A">
        <w:rPr>
          <w:rFonts w:asciiTheme="majorBidi" w:eastAsia="PMingLiU" w:hAnsiTheme="majorBidi" w:cstheme="majorBidi"/>
          <w:sz w:val="24"/>
          <w:szCs w:val="24"/>
          <w:lang w:eastAsia="zh-TW"/>
        </w:rPr>
        <w:t>’</w:t>
      </w:r>
      <w:r w:rsidRPr="0099518A">
        <w:rPr>
          <w:rFonts w:asciiTheme="majorBidi" w:hAnsiTheme="majorBidi" w:cstheme="majorBidi"/>
          <w:sz w:val="24"/>
          <w:szCs w:val="24"/>
          <w:lang w:eastAsia="zh-TW"/>
        </w:rPr>
        <w:t xml:space="preserve"> income in 1999 with their income in each subsequent year, which would</w:t>
      </w:r>
      <w:r w:rsidR="00824315" w:rsidRPr="0099518A">
        <w:rPr>
          <w:rFonts w:asciiTheme="majorBidi" w:eastAsia="PMingLiU" w:hAnsiTheme="majorBidi" w:cstheme="majorBidi" w:hint="eastAsia"/>
          <w:sz w:val="24"/>
          <w:szCs w:val="24"/>
          <w:lang w:eastAsia="zh-TW"/>
        </w:rPr>
        <w:t xml:space="preserve"> by definition have restricted analysis to the</w:t>
      </w:r>
      <w:r w:rsidRPr="0099518A">
        <w:rPr>
          <w:rFonts w:asciiTheme="majorBidi" w:hAnsiTheme="majorBidi" w:cstheme="majorBidi"/>
          <w:sz w:val="24"/>
          <w:szCs w:val="24"/>
          <w:lang w:eastAsia="zh-TW"/>
        </w:rPr>
        <w:t xml:space="preserve"> ‘balanced panel’ of organisations that existed from 1999 to 2014 inclusive.  </w:t>
      </w:r>
      <w:r w:rsidR="00824315" w:rsidRPr="0099518A">
        <w:rPr>
          <w:rFonts w:asciiTheme="majorBidi" w:eastAsia="PMingLiU" w:hAnsiTheme="majorBidi" w:cstheme="majorBidi" w:hint="eastAsia"/>
          <w:sz w:val="24"/>
          <w:szCs w:val="24"/>
          <w:lang w:eastAsia="zh-TW"/>
        </w:rPr>
        <w:t>This alternative</w:t>
      </w:r>
      <w:r w:rsidR="006E371F" w:rsidRPr="0099518A">
        <w:rPr>
          <w:rFonts w:asciiTheme="majorBidi" w:eastAsia="PMingLiU" w:hAnsiTheme="majorBidi" w:cstheme="majorBidi" w:hint="eastAsia"/>
          <w:sz w:val="24"/>
          <w:szCs w:val="24"/>
          <w:lang w:eastAsia="zh-TW"/>
        </w:rPr>
        <w:t xml:space="preserve"> </w:t>
      </w:r>
      <w:r w:rsidR="006E371F" w:rsidRPr="0099518A">
        <w:rPr>
          <w:rFonts w:asciiTheme="majorBidi" w:eastAsia="PMingLiU" w:hAnsiTheme="majorBidi" w:cstheme="majorBidi"/>
          <w:sz w:val="24"/>
          <w:szCs w:val="24"/>
          <w:lang w:eastAsia="zh-TW"/>
        </w:rPr>
        <w:t>‘</w:t>
      </w:r>
      <w:r w:rsidR="006E371F" w:rsidRPr="0099518A">
        <w:rPr>
          <w:rFonts w:asciiTheme="majorBidi" w:eastAsia="PMingLiU" w:hAnsiTheme="majorBidi" w:cstheme="majorBidi" w:hint="eastAsia"/>
          <w:sz w:val="24"/>
          <w:szCs w:val="24"/>
          <w:lang w:eastAsia="zh-TW"/>
        </w:rPr>
        <w:t>balanced panel</w:t>
      </w:r>
      <w:r w:rsidR="00824315" w:rsidRPr="0099518A">
        <w:rPr>
          <w:rFonts w:asciiTheme="majorBidi" w:eastAsia="PMingLiU" w:hAnsiTheme="majorBidi" w:cstheme="majorBidi"/>
          <w:sz w:val="24"/>
          <w:szCs w:val="24"/>
          <w:lang w:eastAsia="zh-TW"/>
        </w:rPr>
        <w:t>’</w:t>
      </w:r>
      <w:r w:rsidRPr="0099518A">
        <w:rPr>
          <w:rFonts w:asciiTheme="majorBidi" w:hAnsiTheme="majorBidi" w:cstheme="majorBidi"/>
          <w:sz w:val="24"/>
          <w:szCs w:val="24"/>
          <w:lang w:eastAsia="zh-TW"/>
        </w:rPr>
        <w:t xml:space="preserve"> approach </w:t>
      </w:r>
      <w:r w:rsidR="00824315" w:rsidRPr="0099518A">
        <w:rPr>
          <w:rFonts w:asciiTheme="majorBidi" w:eastAsia="PMingLiU" w:hAnsiTheme="majorBidi" w:cstheme="majorBidi" w:hint="eastAsia"/>
          <w:sz w:val="24"/>
          <w:szCs w:val="24"/>
          <w:lang w:eastAsia="zh-TW"/>
        </w:rPr>
        <w:t>would have excluded</w:t>
      </w:r>
      <w:r w:rsidRPr="0099518A">
        <w:rPr>
          <w:rFonts w:asciiTheme="majorBidi" w:hAnsiTheme="majorBidi" w:cstheme="majorBidi"/>
          <w:sz w:val="24"/>
          <w:szCs w:val="24"/>
          <w:lang w:eastAsia="zh-TW"/>
        </w:rPr>
        <w:t xml:space="preserve"> over 50,000 charities that were formed or dissolved between 1999 and 2014; in excluding these organisations, </w:t>
      </w:r>
      <w:r w:rsidR="00824315" w:rsidRPr="0099518A">
        <w:rPr>
          <w:rFonts w:asciiTheme="majorBidi" w:eastAsia="PMingLiU" w:hAnsiTheme="majorBidi" w:cstheme="majorBidi" w:hint="eastAsia"/>
          <w:sz w:val="24"/>
          <w:szCs w:val="24"/>
          <w:lang w:eastAsia="zh-TW"/>
        </w:rPr>
        <w:t>it would have considered</w:t>
      </w:r>
      <w:r w:rsidRPr="0099518A">
        <w:rPr>
          <w:rFonts w:asciiTheme="majorBidi" w:hAnsiTheme="majorBidi" w:cstheme="majorBidi"/>
          <w:sz w:val="24"/>
          <w:szCs w:val="24"/>
          <w:lang w:eastAsia="zh-TW"/>
        </w:rPr>
        <w:t xml:space="preserve"> cumulative growth only among the </w:t>
      </w:r>
      <w:r w:rsidRPr="0099518A">
        <w:rPr>
          <w:rFonts w:asciiTheme="majorBidi" w:eastAsia="PMingLiU" w:hAnsiTheme="majorBidi" w:cstheme="majorBidi"/>
          <w:sz w:val="24"/>
          <w:szCs w:val="24"/>
          <w:lang w:eastAsia="zh-TW"/>
        </w:rPr>
        <w:t>‘select’</w:t>
      </w:r>
      <w:r w:rsidRPr="0099518A">
        <w:rPr>
          <w:rFonts w:asciiTheme="majorBidi" w:hAnsiTheme="majorBidi" w:cstheme="majorBidi"/>
          <w:sz w:val="24"/>
          <w:szCs w:val="24"/>
          <w:lang w:eastAsia="zh-TW"/>
        </w:rPr>
        <w:t xml:space="preserve"> group of charities that existed throughout the period.</w:t>
      </w:r>
      <w:r w:rsidRPr="0099518A">
        <w:rPr>
          <w:rFonts w:asciiTheme="majorBidi" w:eastAsia="PMingLiU" w:hAnsiTheme="majorBidi" w:cstheme="majorBidi"/>
          <w:sz w:val="24"/>
          <w:szCs w:val="24"/>
          <w:lang w:eastAsia="zh-TW"/>
        </w:rPr>
        <w:t xml:space="preserve">  </w:t>
      </w:r>
      <w:r w:rsidR="006E371F" w:rsidRPr="0099518A">
        <w:rPr>
          <w:rFonts w:asciiTheme="majorBidi" w:eastAsia="PMingLiU" w:hAnsiTheme="majorBidi" w:cstheme="majorBidi" w:hint="eastAsia"/>
          <w:sz w:val="24"/>
          <w:szCs w:val="24"/>
          <w:lang w:eastAsia="zh-TW"/>
        </w:rPr>
        <w:t>Note that</w:t>
      </w:r>
      <w:r w:rsidRPr="0099518A">
        <w:rPr>
          <w:rFonts w:asciiTheme="majorBidi" w:eastAsia="PMingLiU" w:hAnsiTheme="majorBidi" w:cstheme="majorBidi"/>
          <w:sz w:val="24"/>
          <w:szCs w:val="24"/>
          <w:lang w:eastAsia="zh-TW"/>
        </w:rPr>
        <w:t xml:space="preserve"> the findings of this paper </w:t>
      </w:r>
      <w:r w:rsidRPr="0099518A">
        <w:rPr>
          <w:rFonts w:asciiTheme="majorBidi" w:eastAsia="PMingLiU" w:hAnsiTheme="majorBidi" w:cstheme="majorBidi"/>
          <w:sz w:val="24"/>
          <w:szCs w:val="24"/>
          <w:lang w:eastAsia="zh-TW"/>
        </w:rPr>
        <w:lastRenderedPageBreak/>
        <w:t>are robust to which measure of cumulative growth is adopted: restricting analysis to the ‘balanced panel’ also reveals that, while there have been sizeable cumulative declines in income since 2008 across the charitable population as a whole, smaller and medium sized charities have experienced more sizeable relative declines than larger charities, and those in more deprived local authorities have experienced more sizeable declines than those in less deprived local authorities.</w:t>
      </w:r>
    </w:p>
    <w:p w:rsidR="00FE5ECE" w:rsidRPr="00FE5ECE" w:rsidRDefault="00FE5ECE" w:rsidP="00FE5ECE">
      <w:pPr>
        <w:pStyle w:val="ListParagraph"/>
        <w:shd w:val="clear" w:color="auto" w:fill="FFFFFF"/>
        <w:spacing w:before="120" w:after="120" w:line="480" w:lineRule="auto"/>
        <w:ind w:left="357"/>
        <w:jc w:val="both"/>
        <w:rPr>
          <w:rFonts w:asciiTheme="majorBidi" w:eastAsia="Times New Roman" w:hAnsiTheme="majorBidi" w:cstheme="majorBidi"/>
          <w:sz w:val="12"/>
          <w:szCs w:val="12"/>
          <w:lang w:eastAsia="zh-TW"/>
        </w:rPr>
      </w:pPr>
    </w:p>
    <w:p w:rsidR="00FE45AD" w:rsidRPr="0099518A" w:rsidRDefault="00FE45AD" w:rsidP="0099518A">
      <w:pPr>
        <w:pStyle w:val="ListParagraph"/>
        <w:numPr>
          <w:ilvl w:val="0"/>
          <w:numId w:val="14"/>
        </w:numPr>
        <w:shd w:val="clear" w:color="auto" w:fill="FFFFFF"/>
        <w:spacing w:before="120" w:after="120" w:line="480" w:lineRule="auto"/>
        <w:ind w:left="357" w:hanging="357"/>
        <w:jc w:val="both"/>
        <w:rPr>
          <w:rFonts w:asciiTheme="majorBidi" w:eastAsia="Times New Roman" w:hAnsiTheme="majorBidi" w:cstheme="majorBidi"/>
          <w:sz w:val="24"/>
          <w:szCs w:val="24"/>
          <w:lang w:eastAsia="zh-TW"/>
        </w:rPr>
      </w:pPr>
      <w:r w:rsidRPr="0099518A">
        <w:rPr>
          <w:rFonts w:asciiTheme="majorBidi" w:hAnsiTheme="majorBidi" w:cstheme="majorBidi"/>
          <w:i/>
          <w:iCs/>
          <w:sz w:val="24"/>
          <w:szCs w:val="24"/>
          <w:lang w:eastAsia="zh-TW"/>
        </w:rPr>
        <w:t xml:space="preserve">The index is </w:t>
      </w:r>
      <w:r w:rsidRPr="0099518A">
        <w:rPr>
          <w:rFonts w:asciiTheme="majorBidi" w:eastAsia="PMingLiU" w:hAnsiTheme="majorBidi" w:cstheme="majorBidi"/>
          <w:i/>
          <w:iCs/>
          <w:sz w:val="24"/>
          <w:szCs w:val="24"/>
          <w:lang w:eastAsia="zh-TW"/>
        </w:rPr>
        <w:t>the result of the multiplication</w:t>
      </w:r>
      <w:r w:rsidRPr="0099518A">
        <w:rPr>
          <w:rFonts w:asciiTheme="majorBidi" w:eastAsia="PMingLiU" w:hAnsiTheme="majorBidi" w:cstheme="majorBidi" w:hint="eastAsia"/>
          <w:i/>
          <w:iCs/>
          <w:sz w:val="24"/>
          <w:szCs w:val="24"/>
          <w:lang w:eastAsia="zh-TW"/>
        </w:rPr>
        <w:t xml:space="preserve"> </w:t>
      </w:r>
      <w:r w:rsidRPr="0099518A">
        <w:rPr>
          <w:rFonts w:asciiTheme="majorBidi" w:hAnsiTheme="majorBidi" w:cstheme="majorBidi"/>
          <w:i/>
          <w:iCs/>
          <w:sz w:val="24"/>
          <w:szCs w:val="24"/>
          <w:lang w:eastAsia="zh-TW"/>
        </w:rPr>
        <w:t>of the sequence of median</w:t>
      </w:r>
      <w:r w:rsidRPr="0099518A">
        <w:rPr>
          <w:rFonts w:asciiTheme="majorBidi" w:eastAsia="PMingLiU" w:hAnsiTheme="majorBidi" w:cstheme="majorBidi" w:hint="eastAsia"/>
          <w:i/>
          <w:iCs/>
          <w:sz w:val="24"/>
          <w:szCs w:val="24"/>
          <w:lang w:eastAsia="zh-TW"/>
        </w:rPr>
        <w:t>, rather than mean,</w:t>
      </w:r>
      <w:r w:rsidRPr="0099518A">
        <w:rPr>
          <w:rFonts w:asciiTheme="majorBidi" w:hAnsiTheme="majorBidi" w:cstheme="majorBidi"/>
          <w:i/>
          <w:iCs/>
          <w:sz w:val="24"/>
          <w:szCs w:val="24"/>
          <w:lang w:eastAsia="zh-TW"/>
        </w:rPr>
        <w:t xml:space="preserve"> annual relative real growth rates over our analysis period</w:t>
      </w:r>
      <w:r w:rsidRPr="0099518A">
        <w:rPr>
          <w:rFonts w:asciiTheme="majorBidi" w:hAnsiTheme="majorBidi" w:cstheme="majorBidi"/>
          <w:sz w:val="24"/>
          <w:szCs w:val="24"/>
          <w:lang w:eastAsia="zh-TW"/>
        </w:rPr>
        <w:t>.  We cho</w:t>
      </w:r>
      <w:r w:rsidR="003F6A7A">
        <w:rPr>
          <w:rFonts w:asciiTheme="majorBidi" w:hAnsiTheme="majorBidi" w:cstheme="majorBidi"/>
          <w:sz w:val="24"/>
          <w:szCs w:val="24"/>
          <w:lang w:eastAsia="zh-TW"/>
        </w:rPr>
        <w:t>o</w:t>
      </w:r>
      <w:r w:rsidRPr="0099518A">
        <w:rPr>
          <w:rFonts w:asciiTheme="majorBidi" w:hAnsiTheme="majorBidi" w:cstheme="majorBidi"/>
          <w:sz w:val="24"/>
          <w:szCs w:val="24"/>
          <w:lang w:eastAsia="zh-TW"/>
        </w:rPr>
        <w:t>se to focus on the median since the relative growth distribution is positively skewed.  Therefore the mean, which is highly sensitive to outlying values represented by a small number of organisations with very high relative growth rates, does not provide insight into the growth of a ‘typical’ organisation.</w:t>
      </w:r>
    </w:p>
    <w:p w:rsidR="0099518A" w:rsidRDefault="0099518A" w:rsidP="0099518A">
      <w:pPr>
        <w:pStyle w:val="NormalWeb"/>
        <w:shd w:val="clear" w:color="auto" w:fill="FFFFFF"/>
        <w:spacing w:before="120" w:beforeAutospacing="0" w:after="120" w:afterAutospacing="0" w:line="480" w:lineRule="auto"/>
        <w:ind w:left="360"/>
        <w:contextualSpacing/>
        <w:jc w:val="both"/>
        <w:rPr>
          <w:rFonts w:asciiTheme="majorBidi" w:hAnsiTheme="majorBidi" w:cstheme="majorBidi"/>
          <w:lang w:eastAsia="zh-TW"/>
        </w:rPr>
      </w:pPr>
    </w:p>
    <w:p w:rsidR="00FE45AD" w:rsidRDefault="00FE45AD" w:rsidP="006A33B9">
      <w:pPr>
        <w:pStyle w:val="NormalWeb"/>
        <w:shd w:val="clear" w:color="auto" w:fill="FFFFFF"/>
        <w:spacing w:before="120" w:beforeAutospacing="0" w:after="120" w:afterAutospacing="0" w:line="480" w:lineRule="auto"/>
        <w:contextualSpacing/>
        <w:jc w:val="both"/>
        <w:rPr>
          <w:rFonts w:asciiTheme="majorBidi" w:eastAsia="PMingLiU" w:hAnsiTheme="majorBidi" w:cstheme="majorBidi"/>
          <w:lang w:eastAsia="zh-TW"/>
        </w:rPr>
      </w:pPr>
      <w:r>
        <w:rPr>
          <w:rFonts w:asciiTheme="majorBidi" w:hAnsiTheme="majorBidi" w:cstheme="majorBidi"/>
          <w:lang w:eastAsia="zh-TW"/>
        </w:rPr>
        <w:t>Overall t</w:t>
      </w:r>
      <w:r w:rsidRPr="0002002E">
        <w:rPr>
          <w:rFonts w:asciiTheme="majorBidi" w:eastAsia="PMingLiU" w:hAnsiTheme="majorBidi" w:cstheme="majorBidi"/>
          <w:lang w:eastAsia="zh-TW"/>
        </w:rPr>
        <w:t xml:space="preserve">he </w:t>
      </w:r>
      <w:r w:rsidR="0099518A">
        <w:rPr>
          <w:rFonts w:asciiTheme="majorBidi" w:eastAsia="PMingLiU" w:hAnsiTheme="majorBidi" w:cstheme="majorBidi" w:hint="eastAsia"/>
          <w:lang w:eastAsia="zh-TW"/>
        </w:rPr>
        <w:t>cumulative growth index</w:t>
      </w:r>
      <w:r>
        <w:rPr>
          <w:rFonts w:asciiTheme="majorBidi" w:eastAsia="PMingLiU" w:hAnsiTheme="majorBidi" w:cstheme="majorBidi"/>
          <w:lang w:eastAsia="zh-TW"/>
        </w:rPr>
        <w:t xml:space="preserve"> is designed to complement the existing important empirical information </w:t>
      </w:r>
      <w:r w:rsidR="006A33B9">
        <w:rPr>
          <w:rFonts w:asciiTheme="majorBidi" w:eastAsia="PMingLiU" w:hAnsiTheme="majorBidi" w:cstheme="majorBidi"/>
          <w:lang w:eastAsia="zh-TW"/>
        </w:rPr>
        <w:t>–</w:t>
      </w:r>
      <w:r>
        <w:rPr>
          <w:rFonts w:asciiTheme="majorBidi" w:eastAsia="PMingLiU" w:hAnsiTheme="majorBidi" w:cstheme="majorBidi"/>
          <w:lang w:eastAsia="zh-TW"/>
        </w:rPr>
        <w:t xml:space="preserve"> on trends in aggregate charitable income</w:t>
      </w:r>
      <w:r>
        <w:rPr>
          <w:rFonts w:asciiTheme="majorBidi" w:eastAsia="PMingLiU" w:hAnsiTheme="majorBidi" w:cstheme="majorBidi" w:hint="eastAsia"/>
          <w:lang w:eastAsia="zh-TW"/>
        </w:rPr>
        <w:t xml:space="preserve"> </w:t>
      </w:r>
      <w:r>
        <w:rPr>
          <w:rFonts w:asciiTheme="majorBidi" w:eastAsia="PMingLiU" w:hAnsiTheme="majorBidi" w:cstheme="majorBidi"/>
          <w:lang w:eastAsia="zh-TW"/>
        </w:rPr>
        <w:t>– with a perspective which examines changes at the level of individual organisations.</w:t>
      </w:r>
      <w:r>
        <w:rPr>
          <w:rFonts w:asciiTheme="majorBidi" w:eastAsia="PMingLiU" w:hAnsiTheme="majorBidi" w:cstheme="majorBidi" w:hint="eastAsia"/>
          <w:lang w:eastAsia="zh-TW"/>
        </w:rPr>
        <w:t xml:space="preserve">  </w:t>
      </w:r>
    </w:p>
    <w:p w:rsidR="0099518A" w:rsidRDefault="0099518A" w:rsidP="0008251C">
      <w:pPr>
        <w:pStyle w:val="EndnoteText"/>
        <w:spacing w:line="480" w:lineRule="auto"/>
        <w:contextualSpacing/>
        <w:jc w:val="center"/>
        <w:rPr>
          <w:rFonts w:asciiTheme="majorBidi" w:eastAsia="PMingLiU" w:hAnsiTheme="majorBidi" w:cstheme="majorBidi"/>
          <w:b/>
          <w:bCs/>
          <w:sz w:val="24"/>
          <w:szCs w:val="24"/>
          <w:lang w:eastAsia="zh-TW"/>
        </w:rPr>
      </w:pPr>
      <w:r>
        <w:rPr>
          <w:rFonts w:asciiTheme="majorBidi" w:eastAsia="PMingLiU" w:hAnsiTheme="majorBidi" w:cstheme="majorBidi"/>
          <w:b/>
          <w:bCs/>
          <w:sz w:val="24"/>
          <w:szCs w:val="24"/>
          <w:lang w:eastAsia="zh-TW"/>
        </w:rPr>
        <w:br w:type="page"/>
      </w:r>
    </w:p>
    <w:p w:rsidR="001E51C4" w:rsidRDefault="00EA3BBC" w:rsidP="0008251C">
      <w:pPr>
        <w:pStyle w:val="EndnoteText"/>
        <w:spacing w:line="480" w:lineRule="auto"/>
        <w:contextualSpacing/>
        <w:jc w:val="center"/>
        <w:rPr>
          <w:rFonts w:asciiTheme="majorBidi" w:eastAsia="PMingLiU" w:hAnsiTheme="majorBidi" w:cstheme="majorBidi"/>
          <w:b/>
          <w:bCs/>
          <w:sz w:val="24"/>
          <w:szCs w:val="24"/>
          <w:lang w:eastAsia="zh-TW"/>
        </w:rPr>
      </w:pPr>
      <w:r>
        <w:rPr>
          <w:rFonts w:asciiTheme="majorBidi" w:eastAsia="PMingLiU" w:hAnsiTheme="majorBidi" w:cstheme="majorBidi"/>
          <w:b/>
          <w:bCs/>
          <w:sz w:val="24"/>
          <w:szCs w:val="24"/>
          <w:lang w:eastAsia="zh-TW"/>
        </w:rPr>
        <w:lastRenderedPageBreak/>
        <w:t>4</w:t>
      </w:r>
      <w:r w:rsidR="009503C9">
        <w:rPr>
          <w:rFonts w:asciiTheme="majorBidi" w:eastAsia="PMingLiU" w:hAnsiTheme="majorBidi" w:cstheme="majorBidi" w:hint="eastAsia"/>
          <w:b/>
          <w:bCs/>
          <w:sz w:val="24"/>
          <w:szCs w:val="24"/>
          <w:lang w:eastAsia="zh-TW"/>
        </w:rPr>
        <w:t>.</w:t>
      </w:r>
      <w:r w:rsidR="002762F9" w:rsidRPr="00306031">
        <w:rPr>
          <w:rFonts w:asciiTheme="majorBidi" w:eastAsia="PMingLiU" w:hAnsiTheme="majorBidi" w:cstheme="majorBidi"/>
          <w:b/>
          <w:bCs/>
          <w:sz w:val="24"/>
          <w:szCs w:val="24"/>
          <w:lang w:eastAsia="zh-TW"/>
        </w:rPr>
        <w:t xml:space="preserve"> </w:t>
      </w:r>
      <w:r w:rsidR="001E51C4">
        <w:rPr>
          <w:rFonts w:asciiTheme="majorBidi" w:eastAsia="PMingLiU" w:hAnsiTheme="majorBidi" w:cstheme="majorBidi"/>
          <w:b/>
          <w:bCs/>
          <w:sz w:val="24"/>
          <w:szCs w:val="24"/>
          <w:lang w:eastAsia="zh-TW"/>
        </w:rPr>
        <w:t>What is the basis and means of classifying charities according to charitable field?</w:t>
      </w:r>
    </w:p>
    <w:p w:rsidR="001E51C4" w:rsidRDefault="001E51C4" w:rsidP="0008251C">
      <w:pPr>
        <w:pStyle w:val="EndnoteText"/>
        <w:spacing w:line="480" w:lineRule="auto"/>
        <w:contextualSpacing/>
        <w:jc w:val="both"/>
        <w:rPr>
          <w:rFonts w:asciiTheme="majorBidi" w:eastAsia="PMingLiU" w:hAnsiTheme="majorBidi" w:cstheme="majorBidi"/>
          <w:b/>
          <w:bCs/>
          <w:sz w:val="24"/>
          <w:szCs w:val="24"/>
          <w:lang w:eastAsia="zh-TW"/>
        </w:rPr>
      </w:pPr>
    </w:p>
    <w:p w:rsidR="00A823D5" w:rsidRPr="00A841AD" w:rsidRDefault="00A823D5" w:rsidP="0008251C">
      <w:pPr>
        <w:pStyle w:val="EndnoteText"/>
        <w:spacing w:line="480" w:lineRule="auto"/>
        <w:contextualSpacing/>
        <w:jc w:val="both"/>
        <w:rPr>
          <w:rFonts w:asciiTheme="majorBidi" w:eastAsia="PMingLiU" w:hAnsiTheme="majorBidi" w:cstheme="majorBidi"/>
          <w:i/>
          <w:iCs/>
          <w:sz w:val="24"/>
          <w:szCs w:val="24"/>
          <w:lang w:eastAsia="zh-TW"/>
        </w:rPr>
      </w:pPr>
      <w:r w:rsidRPr="00A841AD">
        <w:rPr>
          <w:rFonts w:asciiTheme="majorBidi" w:eastAsia="PMingLiU" w:hAnsiTheme="majorBidi" w:cstheme="majorBidi"/>
          <w:i/>
          <w:iCs/>
          <w:sz w:val="24"/>
          <w:szCs w:val="24"/>
          <w:lang w:eastAsia="zh-TW"/>
        </w:rPr>
        <w:t>Basis of classification</w:t>
      </w:r>
    </w:p>
    <w:p w:rsidR="00381713" w:rsidRDefault="00381713" w:rsidP="0008251C">
      <w:pPr>
        <w:pStyle w:val="EndnoteText"/>
        <w:spacing w:line="480" w:lineRule="auto"/>
        <w:contextualSpacing/>
        <w:jc w:val="both"/>
        <w:rPr>
          <w:rFonts w:asciiTheme="majorBidi" w:eastAsia="PMingLiU" w:hAnsiTheme="majorBidi" w:cstheme="majorBidi"/>
          <w:sz w:val="24"/>
          <w:szCs w:val="24"/>
          <w:lang w:eastAsia="zh-TW"/>
        </w:rPr>
      </w:pPr>
    </w:p>
    <w:p w:rsidR="002C3097" w:rsidRDefault="001E51C4" w:rsidP="0008251C">
      <w:pPr>
        <w:pStyle w:val="EndnoteText"/>
        <w:spacing w:line="480" w:lineRule="auto"/>
        <w:contextualSpacing/>
        <w:jc w:val="both"/>
        <w:rPr>
          <w:rFonts w:asciiTheme="majorBidi" w:eastAsia="PMingLiU" w:hAnsiTheme="majorBidi" w:cstheme="majorBidi"/>
          <w:sz w:val="24"/>
          <w:szCs w:val="24"/>
          <w:lang w:eastAsia="zh-TW"/>
        </w:rPr>
      </w:pPr>
      <w:r w:rsidRPr="00306031">
        <w:rPr>
          <w:rFonts w:asciiTheme="majorBidi" w:eastAsia="PMingLiU" w:hAnsiTheme="majorBidi" w:cstheme="majorBidi"/>
          <w:sz w:val="24"/>
          <w:szCs w:val="24"/>
          <w:lang w:eastAsia="zh-TW"/>
        </w:rPr>
        <w:t xml:space="preserve">Given the diversity of charitable organisations </w:t>
      </w:r>
      <w:r w:rsidR="0099156E">
        <w:rPr>
          <w:rFonts w:asciiTheme="majorBidi" w:eastAsia="PMingLiU" w:hAnsiTheme="majorBidi" w:cstheme="majorBidi"/>
          <w:sz w:val="24"/>
          <w:szCs w:val="24"/>
          <w:lang w:eastAsia="zh-TW"/>
        </w:rPr>
        <w:t>we disaggregate</w:t>
      </w:r>
      <w:r w:rsidRPr="00306031">
        <w:rPr>
          <w:rFonts w:asciiTheme="majorBidi" w:eastAsia="PMingLiU" w:hAnsiTheme="majorBidi" w:cstheme="majorBidi"/>
          <w:sz w:val="24"/>
          <w:szCs w:val="24"/>
          <w:lang w:eastAsia="zh-TW"/>
        </w:rPr>
        <w:t xml:space="preserve"> the analysis </w:t>
      </w:r>
      <w:r w:rsidR="0099156E">
        <w:rPr>
          <w:rFonts w:asciiTheme="majorBidi" w:eastAsia="PMingLiU" w:hAnsiTheme="majorBidi" w:cstheme="majorBidi"/>
          <w:sz w:val="24"/>
          <w:szCs w:val="24"/>
          <w:lang w:eastAsia="zh-TW"/>
        </w:rPr>
        <w:t>according to different ‘vertical’</w:t>
      </w:r>
      <w:r w:rsidRPr="00306031">
        <w:rPr>
          <w:rFonts w:asciiTheme="majorBidi" w:eastAsia="PMingLiU" w:hAnsiTheme="majorBidi" w:cstheme="majorBidi"/>
          <w:sz w:val="24"/>
          <w:szCs w:val="24"/>
          <w:lang w:eastAsia="zh-TW"/>
        </w:rPr>
        <w:t xml:space="preserve"> fields of charitable activity</w:t>
      </w:r>
      <w:r w:rsidR="0099156E">
        <w:rPr>
          <w:rFonts w:asciiTheme="majorBidi" w:eastAsia="PMingLiU" w:hAnsiTheme="majorBidi" w:cstheme="majorBidi"/>
          <w:sz w:val="24"/>
          <w:szCs w:val="24"/>
          <w:lang w:eastAsia="zh-TW"/>
        </w:rPr>
        <w:t xml:space="preserve"> (Kendall, 2003)</w:t>
      </w:r>
      <w:r w:rsidRPr="00306031">
        <w:rPr>
          <w:rFonts w:asciiTheme="majorBidi" w:eastAsia="PMingLiU" w:hAnsiTheme="majorBidi" w:cstheme="majorBidi"/>
          <w:sz w:val="24"/>
          <w:szCs w:val="24"/>
          <w:lang w:eastAsia="zh-TW"/>
        </w:rPr>
        <w:t>.</w:t>
      </w:r>
      <w:r w:rsidR="00313EDA">
        <w:rPr>
          <w:rFonts w:asciiTheme="majorBidi" w:eastAsia="PMingLiU" w:hAnsiTheme="majorBidi" w:cstheme="majorBidi"/>
          <w:sz w:val="24"/>
          <w:szCs w:val="24"/>
          <w:lang w:eastAsia="zh-TW"/>
        </w:rPr>
        <w:t xml:space="preserve">  </w:t>
      </w:r>
      <w:r w:rsidR="00DF2AC3">
        <w:rPr>
          <w:rFonts w:asciiTheme="majorBidi" w:eastAsia="PMingLiU" w:hAnsiTheme="majorBidi" w:cstheme="majorBidi"/>
          <w:sz w:val="24"/>
          <w:szCs w:val="24"/>
          <w:lang w:eastAsia="zh-TW"/>
        </w:rPr>
        <w:t>For this purpose w</w:t>
      </w:r>
      <w:r w:rsidR="00313EDA">
        <w:rPr>
          <w:rFonts w:asciiTheme="majorBidi" w:eastAsia="PMingLiU" w:hAnsiTheme="majorBidi" w:cstheme="majorBidi"/>
          <w:sz w:val="24"/>
          <w:szCs w:val="24"/>
          <w:lang w:eastAsia="zh-TW"/>
        </w:rPr>
        <w:t xml:space="preserve">e </w:t>
      </w:r>
      <w:r w:rsidR="00DF2AC3">
        <w:rPr>
          <w:rFonts w:asciiTheme="majorBidi" w:eastAsia="PMingLiU" w:hAnsiTheme="majorBidi" w:cstheme="majorBidi"/>
          <w:sz w:val="24"/>
          <w:szCs w:val="24"/>
          <w:lang w:eastAsia="zh-TW"/>
        </w:rPr>
        <w:t>use</w:t>
      </w:r>
      <w:r w:rsidR="00313EDA">
        <w:rPr>
          <w:rFonts w:asciiTheme="majorBidi" w:eastAsia="PMingLiU" w:hAnsiTheme="majorBidi" w:cstheme="majorBidi"/>
          <w:sz w:val="24"/>
          <w:szCs w:val="24"/>
          <w:lang w:eastAsia="zh-TW"/>
        </w:rPr>
        <w:t xml:space="preserve"> the Inte</w:t>
      </w:r>
      <w:r w:rsidR="0099156E">
        <w:rPr>
          <w:rFonts w:asciiTheme="majorBidi" w:eastAsia="PMingLiU" w:hAnsiTheme="majorBidi" w:cstheme="majorBidi"/>
          <w:sz w:val="24"/>
          <w:szCs w:val="24"/>
          <w:lang w:eastAsia="zh-TW"/>
        </w:rPr>
        <w:t>rnational Classification of Nonprofit Organisations (ICNPO)</w:t>
      </w:r>
      <w:r w:rsidR="00DF2AC3">
        <w:rPr>
          <w:rFonts w:asciiTheme="majorBidi" w:eastAsia="PMingLiU" w:hAnsiTheme="majorBidi" w:cstheme="majorBidi"/>
          <w:sz w:val="24"/>
          <w:szCs w:val="24"/>
          <w:lang w:eastAsia="zh-TW"/>
        </w:rPr>
        <w:t>, which</w:t>
      </w:r>
      <w:r w:rsidR="0099156E">
        <w:rPr>
          <w:rFonts w:asciiTheme="majorBidi" w:eastAsia="PMingLiU" w:hAnsiTheme="majorBidi" w:cstheme="majorBidi"/>
          <w:sz w:val="24"/>
          <w:szCs w:val="24"/>
          <w:lang w:eastAsia="zh-TW"/>
        </w:rPr>
        <w:t xml:space="preserve"> categorises organisations according to</w:t>
      </w:r>
      <w:r w:rsidR="00DF2AC3">
        <w:rPr>
          <w:rFonts w:asciiTheme="majorBidi" w:eastAsia="PMingLiU" w:hAnsiTheme="majorBidi" w:cstheme="majorBidi"/>
          <w:sz w:val="24"/>
          <w:szCs w:val="24"/>
          <w:lang w:eastAsia="zh-TW"/>
        </w:rPr>
        <w:t xml:space="preserve"> their</w:t>
      </w:r>
      <w:r w:rsidR="0099156E">
        <w:rPr>
          <w:rFonts w:asciiTheme="majorBidi" w:eastAsia="PMingLiU" w:hAnsiTheme="majorBidi" w:cstheme="majorBidi"/>
          <w:sz w:val="24"/>
          <w:szCs w:val="24"/>
          <w:lang w:eastAsia="zh-TW"/>
        </w:rPr>
        <w:t xml:space="preserve"> </w:t>
      </w:r>
      <w:r w:rsidR="00DF2AC3">
        <w:rPr>
          <w:rFonts w:asciiTheme="majorBidi" w:eastAsia="PMingLiU" w:hAnsiTheme="majorBidi" w:cstheme="majorBidi"/>
          <w:sz w:val="24"/>
          <w:szCs w:val="24"/>
          <w:lang w:eastAsia="zh-TW"/>
        </w:rPr>
        <w:t>primary</w:t>
      </w:r>
      <w:r w:rsidR="0099156E">
        <w:rPr>
          <w:rFonts w:asciiTheme="majorBidi" w:eastAsia="PMingLiU" w:hAnsiTheme="majorBidi" w:cstheme="majorBidi"/>
          <w:sz w:val="24"/>
          <w:szCs w:val="24"/>
          <w:lang w:eastAsia="zh-TW"/>
        </w:rPr>
        <w:t xml:space="preserve"> activity</w:t>
      </w:r>
      <w:r w:rsidR="00DF2AC3">
        <w:rPr>
          <w:rFonts w:asciiTheme="majorBidi" w:eastAsia="PMingLiU" w:hAnsiTheme="majorBidi" w:cstheme="majorBidi"/>
          <w:sz w:val="24"/>
          <w:szCs w:val="24"/>
          <w:lang w:eastAsia="zh-TW"/>
        </w:rPr>
        <w:t xml:space="preserve"> - </w:t>
      </w:r>
      <w:r w:rsidR="0099156E">
        <w:rPr>
          <w:rFonts w:asciiTheme="majorBidi" w:eastAsia="PMingLiU" w:hAnsiTheme="majorBidi" w:cstheme="majorBidi"/>
          <w:sz w:val="24"/>
          <w:szCs w:val="24"/>
          <w:lang w:eastAsia="zh-TW"/>
        </w:rPr>
        <w:t xml:space="preserve">the ‘types of services or goods they provide’ </w:t>
      </w:r>
      <w:r w:rsidR="00DF2AC3">
        <w:rPr>
          <w:rFonts w:asciiTheme="majorBidi" w:eastAsia="PMingLiU" w:hAnsiTheme="majorBidi" w:cstheme="majorBidi"/>
          <w:sz w:val="24"/>
          <w:szCs w:val="24"/>
          <w:lang w:eastAsia="zh-TW"/>
        </w:rPr>
        <w:t>(</w:t>
      </w:r>
      <w:r w:rsidR="00DF2AC3" w:rsidRPr="0099156E">
        <w:rPr>
          <w:rFonts w:asciiTheme="majorBidi" w:eastAsia="PMingLiU" w:hAnsiTheme="majorBidi" w:cstheme="majorBidi"/>
          <w:sz w:val="24"/>
          <w:szCs w:val="24"/>
          <w:lang w:eastAsia="zh-TW"/>
        </w:rPr>
        <w:t>Salamon and Anheier, 1992</w:t>
      </w:r>
      <w:r w:rsidR="00DF2AC3">
        <w:rPr>
          <w:rFonts w:asciiTheme="majorBidi" w:eastAsia="PMingLiU" w:hAnsiTheme="majorBidi" w:cstheme="majorBidi"/>
          <w:sz w:val="24"/>
          <w:szCs w:val="24"/>
          <w:lang w:eastAsia="zh-TW"/>
        </w:rPr>
        <w:t xml:space="preserve">:11).  </w:t>
      </w:r>
      <w:r w:rsidR="00182C3A">
        <w:rPr>
          <w:rFonts w:asciiTheme="majorBidi" w:eastAsia="PMingLiU" w:hAnsiTheme="majorBidi" w:cstheme="majorBidi"/>
          <w:sz w:val="24"/>
          <w:szCs w:val="24"/>
          <w:lang w:eastAsia="zh-TW"/>
        </w:rPr>
        <w:t xml:space="preserve">The ICNPO system uses 12 major activity groups, each subdivided into subgroups.  </w:t>
      </w:r>
      <w:r w:rsidR="002C3097">
        <w:rPr>
          <w:rFonts w:asciiTheme="majorBidi" w:eastAsia="PMingLiU" w:hAnsiTheme="majorBidi" w:cstheme="majorBidi"/>
          <w:sz w:val="24"/>
          <w:szCs w:val="24"/>
          <w:lang w:eastAsia="zh-TW"/>
        </w:rPr>
        <w:t>For a detailed listing of the kinds of organisations within each ICNPO group/subgroup, see Salamon and Anheier</w:t>
      </w:r>
      <w:r w:rsidR="002C3097" w:rsidRPr="0099156E">
        <w:rPr>
          <w:rFonts w:asciiTheme="majorBidi" w:eastAsia="PMingLiU" w:hAnsiTheme="majorBidi" w:cstheme="majorBidi"/>
          <w:sz w:val="24"/>
          <w:szCs w:val="24"/>
          <w:lang w:eastAsia="zh-TW"/>
        </w:rPr>
        <w:t xml:space="preserve"> </w:t>
      </w:r>
      <w:r w:rsidR="002C3097">
        <w:rPr>
          <w:rFonts w:asciiTheme="majorBidi" w:eastAsia="PMingLiU" w:hAnsiTheme="majorBidi" w:cstheme="majorBidi"/>
          <w:sz w:val="24"/>
          <w:szCs w:val="24"/>
          <w:lang w:eastAsia="zh-TW"/>
        </w:rPr>
        <w:t>(1996).</w:t>
      </w:r>
    </w:p>
    <w:p w:rsidR="002C3097" w:rsidRDefault="002C3097" w:rsidP="0008251C">
      <w:pPr>
        <w:pStyle w:val="EndnoteText"/>
        <w:spacing w:line="480" w:lineRule="auto"/>
        <w:contextualSpacing/>
        <w:jc w:val="both"/>
        <w:rPr>
          <w:rFonts w:asciiTheme="majorBidi" w:eastAsia="PMingLiU" w:hAnsiTheme="majorBidi" w:cstheme="majorBidi"/>
          <w:sz w:val="24"/>
          <w:szCs w:val="24"/>
          <w:lang w:eastAsia="zh-TW"/>
        </w:rPr>
      </w:pPr>
    </w:p>
    <w:p w:rsidR="002F0B83" w:rsidRDefault="00381713" w:rsidP="0008251C">
      <w:pPr>
        <w:pStyle w:val="EndnoteText"/>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 xml:space="preserve">We make use of </w:t>
      </w:r>
      <w:r w:rsidR="002F0B83">
        <w:rPr>
          <w:rFonts w:asciiTheme="majorBidi" w:eastAsia="PMingLiU" w:hAnsiTheme="majorBidi" w:cstheme="majorBidi"/>
          <w:sz w:val="24"/>
          <w:szCs w:val="24"/>
          <w:lang w:eastAsia="zh-TW"/>
        </w:rPr>
        <w:t>Kane (2009)</w:t>
      </w:r>
      <w:r>
        <w:rPr>
          <w:rFonts w:asciiTheme="majorBidi" w:eastAsia="PMingLiU" w:hAnsiTheme="majorBidi" w:cstheme="majorBidi"/>
          <w:sz w:val="24"/>
          <w:szCs w:val="24"/>
          <w:lang w:eastAsia="zh-TW"/>
        </w:rPr>
        <w:t>’</w:t>
      </w:r>
      <w:r>
        <w:rPr>
          <w:rFonts w:asciiTheme="majorBidi" w:eastAsia="PMingLiU" w:hAnsiTheme="majorBidi" w:cstheme="majorBidi" w:hint="eastAsia"/>
          <w:sz w:val="24"/>
          <w:szCs w:val="24"/>
          <w:lang w:eastAsia="zh-TW"/>
        </w:rPr>
        <w:t>s</w:t>
      </w:r>
      <w:r w:rsidR="002F0B83">
        <w:rPr>
          <w:rFonts w:asciiTheme="majorBidi" w:eastAsia="PMingLiU" w:hAnsiTheme="majorBidi" w:cstheme="majorBidi"/>
          <w:sz w:val="24"/>
          <w:szCs w:val="24"/>
          <w:lang w:eastAsia="zh-TW"/>
        </w:rPr>
        <w:t xml:space="preserve"> slight </w:t>
      </w:r>
      <w:r>
        <w:rPr>
          <w:rFonts w:asciiTheme="majorBidi" w:eastAsia="PMingLiU" w:hAnsiTheme="majorBidi" w:cstheme="majorBidi"/>
          <w:sz w:val="24"/>
          <w:szCs w:val="24"/>
          <w:lang w:eastAsia="zh-TW"/>
        </w:rPr>
        <w:t>adapt</w:t>
      </w:r>
      <w:r>
        <w:rPr>
          <w:rFonts w:asciiTheme="majorBidi" w:eastAsia="PMingLiU" w:hAnsiTheme="majorBidi" w:cstheme="majorBidi" w:hint="eastAsia"/>
          <w:sz w:val="24"/>
          <w:szCs w:val="24"/>
          <w:lang w:eastAsia="zh-TW"/>
        </w:rPr>
        <w:t>ation of</w:t>
      </w:r>
      <w:r w:rsidR="002F0B83">
        <w:rPr>
          <w:rFonts w:asciiTheme="majorBidi" w:eastAsia="PMingLiU" w:hAnsiTheme="majorBidi" w:cstheme="majorBidi"/>
          <w:sz w:val="24"/>
          <w:szCs w:val="24"/>
          <w:lang w:eastAsia="zh-TW"/>
        </w:rPr>
        <w:t xml:space="preserve"> the ICNPO for the UK context</w:t>
      </w:r>
      <w:r>
        <w:rPr>
          <w:rFonts w:asciiTheme="majorBidi" w:eastAsia="PMingLiU" w:hAnsiTheme="majorBidi" w:cstheme="majorBidi" w:hint="eastAsia"/>
          <w:sz w:val="24"/>
          <w:szCs w:val="24"/>
          <w:lang w:eastAsia="zh-TW"/>
        </w:rPr>
        <w:t>.  This</w:t>
      </w:r>
      <w:r w:rsidR="002F0B83">
        <w:rPr>
          <w:rFonts w:asciiTheme="majorBidi" w:eastAsia="PMingLiU" w:hAnsiTheme="majorBidi" w:cstheme="majorBidi"/>
          <w:sz w:val="24"/>
          <w:szCs w:val="24"/>
          <w:lang w:eastAsia="zh-TW"/>
        </w:rPr>
        <w:t xml:space="preserve"> adapted ICNPO is the basis for statistics presented within NCVO’s Civil Society Almanac (for example, Kane </w:t>
      </w:r>
      <w:r w:rsidR="002F0B83" w:rsidRPr="00182C3A">
        <w:rPr>
          <w:rFonts w:asciiTheme="majorBidi" w:eastAsia="PMingLiU" w:hAnsiTheme="majorBidi" w:cstheme="majorBidi"/>
          <w:i/>
          <w:iCs/>
          <w:sz w:val="24"/>
          <w:szCs w:val="24"/>
          <w:lang w:eastAsia="zh-TW"/>
        </w:rPr>
        <w:t>et</w:t>
      </w:r>
      <w:r w:rsidR="002F0B83">
        <w:rPr>
          <w:rFonts w:asciiTheme="majorBidi" w:eastAsia="PMingLiU" w:hAnsiTheme="majorBidi" w:cstheme="majorBidi"/>
          <w:i/>
          <w:iCs/>
          <w:sz w:val="24"/>
          <w:szCs w:val="24"/>
          <w:lang w:eastAsia="zh-TW"/>
        </w:rPr>
        <w:t xml:space="preserve"> al.</w:t>
      </w:r>
      <w:r w:rsidR="002F0B83">
        <w:rPr>
          <w:rFonts w:asciiTheme="majorBidi" w:eastAsia="PMingLiU" w:hAnsiTheme="majorBidi" w:cstheme="majorBidi"/>
          <w:sz w:val="24"/>
          <w:szCs w:val="24"/>
          <w:lang w:eastAsia="zh-TW"/>
        </w:rPr>
        <w:t xml:space="preserve">, 2014).  We list here </w:t>
      </w:r>
      <w:r w:rsidR="009210DF">
        <w:rPr>
          <w:rFonts w:asciiTheme="majorBidi" w:eastAsia="PMingLiU" w:hAnsiTheme="majorBidi" w:cstheme="majorBidi"/>
          <w:sz w:val="24"/>
          <w:szCs w:val="24"/>
          <w:lang w:eastAsia="zh-TW"/>
        </w:rPr>
        <w:t>the</w:t>
      </w:r>
      <w:r w:rsidR="002F0B83">
        <w:rPr>
          <w:rFonts w:asciiTheme="majorBidi" w:eastAsia="PMingLiU" w:hAnsiTheme="majorBidi" w:cstheme="majorBidi"/>
          <w:sz w:val="24"/>
          <w:szCs w:val="24"/>
          <w:lang w:eastAsia="zh-TW"/>
        </w:rPr>
        <w:t xml:space="preserve"> specific conventions that have been used:</w:t>
      </w:r>
    </w:p>
    <w:p w:rsidR="009210DF" w:rsidRPr="009210DF" w:rsidRDefault="009210DF" w:rsidP="0008251C">
      <w:pPr>
        <w:pStyle w:val="EndnoteText"/>
        <w:numPr>
          <w:ilvl w:val="0"/>
          <w:numId w:val="9"/>
        </w:num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i/>
          <w:iCs/>
          <w:sz w:val="24"/>
          <w:szCs w:val="24"/>
          <w:lang w:eastAsia="zh-TW"/>
        </w:rPr>
        <w:t xml:space="preserve">Parent Teacher Associations.  </w:t>
      </w:r>
      <w:r>
        <w:rPr>
          <w:rFonts w:asciiTheme="majorBidi" w:eastAsia="PMingLiU" w:hAnsiTheme="majorBidi" w:cstheme="majorBidi"/>
          <w:sz w:val="24"/>
          <w:szCs w:val="24"/>
          <w:lang w:eastAsia="zh-TW"/>
        </w:rPr>
        <w:t>These have been identified separately (NCVO category 2.1) rather than included under ICNPO</w:t>
      </w:r>
      <w:r w:rsidR="00381713">
        <w:rPr>
          <w:rFonts w:asciiTheme="majorBidi" w:eastAsia="PMingLiU" w:hAnsiTheme="majorBidi" w:cstheme="majorBidi" w:hint="eastAsia"/>
          <w:sz w:val="24"/>
          <w:szCs w:val="24"/>
          <w:lang w:eastAsia="zh-TW"/>
        </w:rPr>
        <w:t xml:space="preserve"> </w:t>
      </w:r>
      <w:r>
        <w:rPr>
          <w:rFonts w:asciiTheme="majorBidi" w:eastAsia="PMingLiU" w:hAnsiTheme="majorBidi" w:cstheme="majorBidi"/>
          <w:sz w:val="24"/>
          <w:szCs w:val="24"/>
          <w:lang w:eastAsia="zh-TW"/>
        </w:rPr>
        <w:t>2100 (Primary or Secondary Education).</w:t>
      </w:r>
    </w:p>
    <w:p w:rsidR="009210DF" w:rsidRDefault="009210DF" w:rsidP="0008251C">
      <w:pPr>
        <w:pStyle w:val="EndnoteText"/>
        <w:numPr>
          <w:ilvl w:val="0"/>
          <w:numId w:val="9"/>
        </w:num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i/>
          <w:iCs/>
          <w:sz w:val="24"/>
          <w:szCs w:val="24"/>
          <w:lang w:eastAsia="zh-TW"/>
        </w:rPr>
        <w:t xml:space="preserve">Preschools. </w:t>
      </w:r>
      <w:r>
        <w:rPr>
          <w:rFonts w:asciiTheme="majorBidi" w:eastAsia="PMingLiU" w:hAnsiTheme="majorBidi" w:cstheme="majorBidi"/>
          <w:sz w:val="24"/>
          <w:szCs w:val="24"/>
          <w:lang w:eastAsia="zh-TW"/>
        </w:rPr>
        <w:t>These have been identified separately (NCVO category 2.2) rather than included under ICNPO2100 (Primary or Secondary Education) or 4100 (Social Services).</w:t>
      </w:r>
    </w:p>
    <w:p w:rsidR="00030B46" w:rsidRDefault="00030B46" w:rsidP="0008251C">
      <w:pPr>
        <w:pStyle w:val="EndnoteText"/>
        <w:numPr>
          <w:ilvl w:val="0"/>
          <w:numId w:val="9"/>
        </w:num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i/>
          <w:iCs/>
          <w:sz w:val="24"/>
          <w:szCs w:val="24"/>
          <w:lang w:eastAsia="zh-TW"/>
        </w:rPr>
        <w:t>Hospices</w:t>
      </w:r>
      <w:r>
        <w:rPr>
          <w:rFonts w:asciiTheme="majorBidi" w:eastAsia="PMingLiU" w:hAnsiTheme="majorBidi" w:cstheme="majorBidi" w:hint="eastAsia"/>
          <w:sz w:val="24"/>
          <w:szCs w:val="24"/>
          <w:lang w:eastAsia="zh-TW"/>
        </w:rPr>
        <w:t>.  These are included under ICNPO 3200 (Nursing Homes) rather than ICNPO 3400 (Other Health Services).</w:t>
      </w:r>
      <w:r w:rsidR="007334BD">
        <w:rPr>
          <w:rFonts w:asciiTheme="majorBidi" w:eastAsia="PMingLiU" w:hAnsiTheme="majorBidi" w:cstheme="majorBidi" w:hint="eastAsia"/>
          <w:sz w:val="24"/>
          <w:szCs w:val="24"/>
          <w:lang w:eastAsia="zh-TW"/>
        </w:rPr>
        <w:t xml:space="preserve">  Most of the organisations in category 3200 are hospices.</w:t>
      </w:r>
    </w:p>
    <w:p w:rsidR="009210DF" w:rsidRDefault="009210DF" w:rsidP="006248D7">
      <w:pPr>
        <w:pStyle w:val="EndnoteText"/>
        <w:numPr>
          <w:ilvl w:val="0"/>
          <w:numId w:val="9"/>
        </w:num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i/>
          <w:iCs/>
          <w:sz w:val="24"/>
          <w:szCs w:val="24"/>
          <w:lang w:eastAsia="zh-TW"/>
        </w:rPr>
        <w:t>Youth groups</w:t>
      </w:r>
      <w:r>
        <w:rPr>
          <w:rFonts w:asciiTheme="majorBidi" w:eastAsia="PMingLiU" w:hAnsiTheme="majorBidi" w:cstheme="majorBidi"/>
          <w:sz w:val="24"/>
          <w:szCs w:val="24"/>
          <w:lang w:eastAsia="zh-TW"/>
        </w:rPr>
        <w:t>.  These have been identified separately (NCVO category 4.1) rather than included under ICNPO category 4100 (Social Services).</w:t>
      </w:r>
      <w:r w:rsidR="006248D7">
        <w:rPr>
          <w:rFonts w:asciiTheme="majorBidi" w:eastAsia="PMingLiU" w:hAnsiTheme="majorBidi" w:cstheme="majorBidi"/>
          <w:sz w:val="24"/>
          <w:szCs w:val="24"/>
          <w:lang w:eastAsia="zh-TW"/>
        </w:rPr>
        <w:t xml:space="preserve">  </w:t>
      </w:r>
      <w:r w:rsidR="006248D7">
        <w:rPr>
          <w:rFonts w:asciiTheme="majorBidi" w:hAnsiTheme="majorBidi" w:cstheme="majorBidi"/>
          <w:sz w:val="24"/>
          <w:szCs w:val="24"/>
        </w:rPr>
        <w:t>They</w:t>
      </w:r>
      <w:r w:rsidR="006248D7" w:rsidRPr="00761C5E">
        <w:rPr>
          <w:rFonts w:asciiTheme="majorBidi" w:hAnsiTheme="majorBidi" w:cstheme="majorBidi"/>
          <w:sz w:val="24"/>
          <w:szCs w:val="24"/>
        </w:rPr>
        <w:t xml:space="preserve"> include </w:t>
      </w:r>
      <w:r w:rsidR="006248D7">
        <w:rPr>
          <w:rFonts w:asciiTheme="majorBidi" w:hAnsiTheme="majorBidi" w:cstheme="majorBidi"/>
          <w:sz w:val="24"/>
          <w:szCs w:val="24"/>
        </w:rPr>
        <w:t>independent groups</w:t>
      </w:r>
      <w:r w:rsidR="006248D7" w:rsidRPr="00761C5E">
        <w:rPr>
          <w:rFonts w:asciiTheme="majorBidi" w:hAnsiTheme="majorBidi" w:cstheme="majorBidi"/>
          <w:sz w:val="24"/>
          <w:szCs w:val="24"/>
        </w:rPr>
        <w:t xml:space="preserve"> as well as affiliated groups of uniformed organisations like the scouts, guides, and sea cadets.</w:t>
      </w:r>
    </w:p>
    <w:p w:rsidR="002F0B83" w:rsidRDefault="002F0B83" w:rsidP="0008251C">
      <w:pPr>
        <w:pStyle w:val="EndnoteText"/>
        <w:numPr>
          <w:ilvl w:val="0"/>
          <w:numId w:val="9"/>
        </w:numPr>
        <w:spacing w:line="480" w:lineRule="auto"/>
        <w:contextualSpacing/>
        <w:jc w:val="both"/>
        <w:rPr>
          <w:rFonts w:asciiTheme="majorBidi" w:eastAsia="PMingLiU" w:hAnsiTheme="majorBidi" w:cstheme="majorBidi"/>
          <w:sz w:val="24"/>
          <w:szCs w:val="24"/>
          <w:lang w:eastAsia="zh-TW"/>
        </w:rPr>
      </w:pPr>
      <w:r w:rsidRPr="002F0B83">
        <w:rPr>
          <w:rFonts w:asciiTheme="majorBidi" w:eastAsia="PMingLiU" w:hAnsiTheme="majorBidi" w:cstheme="majorBidi"/>
          <w:i/>
          <w:iCs/>
          <w:sz w:val="24"/>
          <w:szCs w:val="24"/>
          <w:lang w:eastAsia="zh-TW"/>
        </w:rPr>
        <w:lastRenderedPageBreak/>
        <w:t>Village Halls</w:t>
      </w:r>
      <w:r w:rsidR="009210DF">
        <w:rPr>
          <w:rFonts w:asciiTheme="majorBidi" w:eastAsia="PMingLiU" w:hAnsiTheme="majorBidi" w:cstheme="majorBidi"/>
          <w:i/>
          <w:iCs/>
          <w:sz w:val="24"/>
          <w:szCs w:val="24"/>
          <w:lang w:eastAsia="zh-TW"/>
        </w:rPr>
        <w:t>.</w:t>
      </w:r>
      <w:r>
        <w:rPr>
          <w:rFonts w:asciiTheme="majorBidi" w:eastAsia="PMingLiU" w:hAnsiTheme="majorBidi" w:cstheme="majorBidi"/>
          <w:sz w:val="24"/>
          <w:szCs w:val="24"/>
          <w:lang w:eastAsia="zh-TW"/>
        </w:rPr>
        <w:tab/>
        <w:t>These have been identified separately (NCVO category 6.4) rather than included under ICNPO category 6100 (Economic/ Social / Community Development).</w:t>
      </w:r>
    </w:p>
    <w:p w:rsidR="003E0FAC" w:rsidRDefault="003E0FAC" w:rsidP="0008251C">
      <w:pPr>
        <w:pStyle w:val="EndnoteText"/>
        <w:spacing w:line="480" w:lineRule="auto"/>
        <w:ind w:left="720"/>
        <w:contextualSpacing/>
        <w:jc w:val="both"/>
        <w:rPr>
          <w:rFonts w:asciiTheme="majorBidi" w:eastAsia="PMingLiU" w:hAnsiTheme="majorBidi" w:cstheme="majorBidi"/>
          <w:sz w:val="24"/>
          <w:szCs w:val="24"/>
          <w:lang w:eastAsia="zh-TW"/>
        </w:rPr>
      </w:pPr>
    </w:p>
    <w:p w:rsidR="002F0B83" w:rsidRDefault="002F0B83" w:rsidP="0008251C">
      <w:pPr>
        <w:pStyle w:val="EndnoteText"/>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 xml:space="preserve">There are </w:t>
      </w:r>
      <w:r w:rsidR="00A10E88">
        <w:rPr>
          <w:rFonts w:asciiTheme="majorBidi" w:eastAsia="PMingLiU" w:hAnsiTheme="majorBidi" w:cstheme="majorBidi" w:hint="eastAsia"/>
          <w:sz w:val="24"/>
          <w:szCs w:val="24"/>
          <w:lang w:eastAsia="zh-TW"/>
        </w:rPr>
        <w:t>important</w:t>
      </w:r>
      <w:r>
        <w:rPr>
          <w:rFonts w:asciiTheme="majorBidi" w:eastAsia="PMingLiU" w:hAnsiTheme="majorBidi" w:cstheme="majorBidi"/>
          <w:sz w:val="24"/>
          <w:szCs w:val="24"/>
          <w:lang w:eastAsia="zh-TW"/>
        </w:rPr>
        <w:t xml:space="preserve"> points to note</w:t>
      </w:r>
      <w:r w:rsidR="00A10E88">
        <w:rPr>
          <w:rFonts w:asciiTheme="majorBidi" w:eastAsia="PMingLiU" w:hAnsiTheme="majorBidi" w:cstheme="majorBidi" w:hint="eastAsia"/>
          <w:sz w:val="24"/>
          <w:szCs w:val="24"/>
          <w:lang w:eastAsia="zh-TW"/>
        </w:rPr>
        <w:t xml:space="preserve">, </w:t>
      </w:r>
      <w:r>
        <w:rPr>
          <w:rFonts w:asciiTheme="majorBidi" w:eastAsia="PMingLiU" w:hAnsiTheme="majorBidi" w:cstheme="majorBidi"/>
          <w:sz w:val="24"/>
          <w:szCs w:val="24"/>
          <w:lang w:eastAsia="zh-TW"/>
        </w:rPr>
        <w:t>about</w:t>
      </w:r>
      <w:r w:rsidR="00A6020B">
        <w:rPr>
          <w:rFonts w:asciiTheme="majorBidi" w:eastAsia="PMingLiU" w:hAnsiTheme="majorBidi" w:cstheme="majorBidi" w:hint="eastAsia"/>
          <w:sz w:val="24"/>
          <w:szCs w:val="24"/>
          <w:lang w:eastAsia="zh-TW"/>
        </w:rPr>
        <w:t xml:space="preserve"> </w:t>
      </w:r>
      <w:r w:rsidR="00A6020B">
        <w:rPr>
          <w:rFonts w:asciiTheme="majorBidi" w:eastAsia="PMingLiU" w:hAnsiTheme="majorBidi" w:cstheme="majorBidi"/>
          <w:sz w:val="24"/>
          <w:szCs w:val="24"/>
          <w:lang w:eastAsia="zh-TW"/>
        </w:rPr>
        <w:t>charitable status</w:t>
      </w:r>
      <w:r w:rsidR="00381713">
        <w:rPr>
          <w:rFonts w:asciiTheme="majorBidi" w:eastAsia="PMingLiU" w:hAnsiTheme="majorBidi" w:cstheme="majorBidi" w:hint="eastAsia"/>
          <w:sz w:val="24"/>
          <w:szCs w:val="24"/>
          <w:lang w:eastAsia="zh-TW"/>
        </w:rPr>
        <w:t xml:space="preserve"> and charitable </w:t>
      </w:r>
      <w:r w:rsidR="00A6020B">
        <w:rPr>
          <w:rFonts w:asciiTheme="majorBidi" w:eastAsia="PMingLiU" w:hAnsiTheme="majorBidi" w:cstheme="majorBidi"/>
          <w:sz w:val="24"/>
          <w:szCs w:val="24"/>
          <w:lang w:eastAsia="zh-TW"/>
        </w:rPr>
        <w:t>registration in England and Wales</w:t>
      </w:r>
      <w:r w:rsidR="00A10E88">
        <w:rPr>
          <w:rFonts w:asciiTheme="majorBidi" w:eastAsia="PMingLiU" w:hAnsiTheme="majorBidi" w:cstheme="majorBidi" w:hint="eastAsia"/>
          <w:sz w:val="24"/>
          <w:szCs w:val="24"/>
          <w:lang w:eastAsia="zh-TW"/>
        </w:rPr>
        <w:t>, for organisations in particular ICNPO categories</w:t>
      </w:r>
      <w:r w:rsidR="00A6020B">
        <w:rPr>
          <w:rFonts w:asciiTheme="majorBidi" w:eastAsia="PMingLiU" w:hAnsiTheme="majorBidi" w:cstheme="majorBidi" w:hint="eastAsia"/>
          <w:sz w:val="24"/>
          <w:szCs w:val="24"/>
          <w:lang w:eastAsia="zh-TW"/>
        </w:rPr>
        <w:t>:</w:t>
      </w:r>
    </w:p>
    <w:p w:rsidR="00381713" w:rsidRDefault="002F0B83" w:rsidP="0008251C">
      <w:pPr>
        <w:pStyle w:val="EndnoteText"/>
        <w:numPr>
          <w:ilvl w:val="0"/>
          <w:numId w:val="10"/>
        </w:numPr>
        <w:spacing w:line="480" w:lineRule="auto"/>
        <w:contextualSpacing/>
        <w:jc w:val="both"/>
        <w:rPr>
          <w:rFonts w:asciiTheme="majorBidi" w:eastAsia="PMingLiU" w:hAnsiTheme="majorBidi" w:cstheme="majorBidi"/>
          <w:sz w:val="24"/>
          <w:szCs w:val="24"/>
          <w:lang w:eastAsia="zh-TW"/>
        </w:rPr>
      </w:pPr>
      <w:r w:rsidRPr="00381713">
        <w:rPr>
          <w:rFonts w:asciiTheme="majorBidi" w:eastAsia="PMingLiU" w:hAnsiTheme="majorBidi" w:cstheme="majorBidi"/>
          <w:i/>
          <w:iCs/>
          <w:sz w:val="24"/>
          <w:szCs w:val="24"/>
          <w:lang w:eastAsia="zh-TW"/>
        </w:rPr>
        <w:t>2200: Higher Education</w:t>
      </w:r>
      <w:r w:rsidRPr="00381713">
        <w:rPr>
          <w:rFonts w:asciiTheme="majorBidi" w:eastAsia="PMingLiU" w:hAnsiTheme="majorBidi" w:cstheme="majorBidi"/>
          <w:sz w:val="24"/>
          <w:szCs w:val="24"/>
          <w:lang w:eastAsia="zh-TW"/>
        </w:rPr>
        <w:t xml:space="preserve">. Most English universities and Higher Education Institutions are exempted from charitable registration.  </w:t>
      </w:r>
    </w:p>
    <w:p w:rsidR="009210DF" w:rsidRPr="00381713" w:rsidRDefault="009210DF" w:rsidP="0008251C">
      <w:pPr>
        <w:pStyle w:val="EndnoteText"/>
        <w:numPr>
          <w:ilvl w:val="0"/>
          <w:numId w:val="10"/>
        </w:numPr>
        <w:spacing w:line="480" w:lineRule="auto"/>
        <w:contextualSpacing/>
        <w:jc w:val="both"/>
        <w:rPr>
          <w:rFonts w:asciiTheme="majorBidi" w:eastAsia="PMingLiU" w:hAnsiTheme="majorBidi" w:cstheme="majorBidi"/>
          <w:sz w:val="24"/>
          <w:szCs w:val="24"/>
          <w:lang w:eastAsia="zh-TW"/>
        </w:rPr>
      </w:pPr>
      <w:r w:rsidRPr="00381713">
        <w:rPr>
          <w:rFonts w:asciiTheme="majorBidi" w:eastAsia="PMingLiU" w:hAnsiTheme="majorBidi" w:cstheme="majorBidi"/>
          <w:i/>
          <w:iCs/>
          <w:sz w:val="24"/>
          <w:szCs w:val="24"/>
          <w:lang w:eastAsia="zh-TW"/>
        </w:rPr>
        <w:t>6200: Housing</w:t>
      </w:r>
      <w:r w:rsidRPr="00381713">
        <w:rPr>
          <w:rFonts w:asciiTheme="majorBidi" w:eastAsia="PMingLiU" w:hAnsiTheme="majorBidi" w:cstheme="majorBidi"/>
          <w:sz w:val="24"/>
          <w:szCs w:val="24"/>
          <w:lang w:eastAsia="zh-TW"/>
        </w:rPr>
        <w:t xml:space="preserve">.  Voluntary sector housing providers are often exempt from charitable registration.  </w:t>
      </w:r>
    </w:p>
    <w:p w:rsidR="00163DC3" w:rsidRDefault="00163DC3" w:rsidP="0008251C">
      <w:pPr>
        <w:pStyle w:val="EndnoteText"/>
        <w:numPr>
          <w:ilvl w:val="0"/>
          <w:numId w:val="10"/>
        </w:num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i/>
          <w:iCs/>
          <w:sz w:val="24"/>
          <w:szCs w:val="24"/>
          <w:lang w:eastAsia="zh-TW"/>
        </w:rPr>
        <w:t>7300</w:t>
      </w:r>
      <w:r>
        <w:rPr>
          <w:rFonts w:asciiTheme="majorBidi" w:eastAsia="PMingLiU" w:hAnsiTheme="majorBidi" w:cstheme="majorBidi" w:hint="eastAsia"/>
          <w:sz w:val="24"/>
          <w:szCs w:val="24"/>
          <w:lang w:eastAsia="zh-TW"/>
        </w:rPr>
        <w:t xml:space="preserve">: </w:t>
      </w:r>
      <w:r>
        <w:rPr>
          <w:rFonts w:asciiTheme="majorBidi" w:eastAsia="PMingLiU" w:hAnsiTheme="majorBidi" w:cstheme="majorBidi" w:hint="eastAsia"/>
          <w:i/>
          <w:iCs/>
          <w:sz w:val="24"/>
          <w:szCs w:val="24"/>
          <w:lang w:eastAsia="zh-TW"/>
        </w:rPr>
        <w:t>Political organisations</w:t>
      </w:r>
      <w:r>
        <w:rPr>
          <w:rFonts w:asciiTheme="majorBidi" w:eastAsia="PMingLiU" w:hAnsiTheme="majorBidi" w:cstheme="majorBidi" w:hint="eastAsia"/>
          <w:sz w:val="24"/>
          <w:szCs w:val="24"/>
          <w:lang w:eastAsia="zh-TW"/>
        </w:rPr>
        <w:t xml:space="preserve">.  Charitable organisations are required to be free of party politics.  </w:t>
      </w:r>
    </w:p>
    <w:p w:rsidR="002F0B83" w:rsidRDefault="002F0B83" w:rsidP="0008251C">
      <w:pPr>
        <w:pStyle w:val="EndnoteText"/>
        <w:numPr>
          <w:ilvl w:val="0"/>
          <w:numId w:val="10"/>
        </w:num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i/>
          <w:iCs/>
          <w:sz w:val="24"/>
          <w:szCs w:val="24"/>
          <w:lang w:eastAsia="zh-TW"/>
        </w:rPr>
        <w:t>10: Religion</w:t>
      </w:r>
      <w:r>
        <w:rPr>
          <w:rFonts w:asciiTheme="majorBidi" w:eastAsia="PMingLiU" w:hAnsiTheme="majorBidi" w:cstheme="majorBidi"/>
          <w:sz w:val="24"/>
          <w:szCs w:val="24"/>
          <w:lang w:eastAsia="zh-TW"/>
        </w:rPr>
        <w:t xml:space="preserve">.  Many places of worship, though charitable in law, are excepted from charitable registration.  </w:t>
      </w:r>
    </w:p>
    <w:p w:rsidR="00381713" w:rsidRDefault="002F0B83" w:rsidP="0008251C">
      <w:pPr>
        <w:pStyle w:val="EndnoteText"/>
        <w:numPr>
          <w:ilvl w:val="0"/>
          <w:numId w:val="10"/>
        </w:numPr>
        <w:spacing w:line="480" w:lineRule="auto"/>
        <w:contextualSpacing/>
        <w:jc w:val="both"/>
        <w:rPr>
          <w:rFonts w:asciiTheme="majorBidi" w:eastAsia="PMingLiU" w:hAnsiTheme="majorBidi" w:cstheme="majorBidi"/>
          <w:sz w:val="24"/>
          <w:szCs w:val="24"/>
          <w:lang w:eastAsia="zh-TW"/>
        </w:rPr>
      </w:pPr>
      <w:r w:rsidRPr="00381713">
        <w:rPr>
          <w:rFonts w:asciiTheme="majorBidi" w:eastAsia="PMingLiU" w:hAnsiTheme="majorBidi" w:cstheme="majorBidi"/>
          <w:i/>
          <w:iCs/>
          <w:sz w:val="24"/>
          <w:szCs w:val="24"/>
          <w:lang w:eastAsia="zh-TW"/>
        </w:rPr>
        <w:t>11: Business &amp; Professional Associations, Unions</w:t>
      </w:r>
      <w:r w:rsidRPr="00381713">
        <w:rPr>
          <w:rFonts w:asciiTheme="majorBidi" w:eastAsia="PMingLiU" w:hAnsiTheme="majorBidi" w:cstheme="majorBidi"/>
          <w:sz w:val="24"/>
          <w:szCs w:val="24"/>
          <w:lang w:eastAsia="zh-TW"/>
        </w:rPr>
        <w:t xml:space="preserve">.  Most of these organisations are not charitable.  </w:t>
      </w:r>
    </w:p>
    <w:p w:rsidR="00381713" w:rsidRPr="00381713" w:rsidRDefault="00381713" w:rsidP="0008251C">
      <w:pPr>
        <w:pStyle w:val="EndnoteText"/>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Therefore w</w:t>
      </w:r>
      <w:r w:rsidRPr="00381713">
        <w:rPr>
          <w:rFonts w:asciiTheme="majorBidi" w:eastAsia="PMingLiU" w:hAnsiTheme="majorBidi" w:cstheme="majorBidi" w:hint="eastAsia"/>
          <w:sz w:val="24"/>
          <w:szCs w:val="24"/>
          <w:lang w:eastAsia="zh-TW"/>
        </w:rPr>
        <w:t>e do not consider the ICNPO categories above</w:t>
      </w:r>
      <w:r>
        <w:rPr>
          <w:rFonts w:asciiTheme="majorBidi" w:eastAsia="PMingLiU" w:hAnsiTheme="majorBidi" w:cstheme="majorBidi" w:hint="eastAsia"/>
          <w:sz w:val="24"/>
          <w:szCs w:val="24"/>
          <w:lang w:eastAsia="zh-TW"/>
        </w:rPr>
        <w:t xml:space="preserve"> in our analysis</w:t>
      </w:r>
      <w:r w:rsidR="00A10E88">
        <w:rPr>
          <w:rFonts w:asciiTheme="majorBidi" w:eastAsia="PMingLiU" w:hAnsiTheme="majorBidi" w:cstheme="majorBidi" w:hint="eastAsia"/>
          <w:sz w:val="24"/>
          <w:szCs w:val="24"/>
          <w:lang w:eastAsia="zh-TW"/>
        </w:rPr>
        <w:t>,</w:t>
      </w:r>
      <w:r>
        <w:rPr>
          <w:rFonts w:asciiTheme="majorBidi" w:eastAsia="PMingLiU" w:hAnsiTheme="majorBidi" w:cstheme="majorBidi" w:hint="eastAsia"/>
          <w:sz w:val="24"/>
          <w:szCs w:val="24"/>
          <w:lang w:eastAsia="zh-TW"/>
        </w:rPr>
        <w:t xml:space="preserve"> which is based on data on registered charities</w:t>
      </w:r>
      <w:r w:rsidRPr="00381713">
        <w:rPr>
          <w:rFonts w:asciiTheme="majorBidi" w:eastAsia="PMingLiU" w:hAnsiTheme="majorBidi" w:cstheme="majorBidi" w:hint="eastAsia"/>
          <w:sz w:val="24"/>
          <w:szCs w:val="24"/>
          <w:lang w:eastAsia="zh-TW"/>
        </w:rPr>
        <w:t>.</w:t>
      </w:r>
      <w:r>
        <w:rPr>
          <w:rFonts w:asciiTheme="majorBidi" w:eastAsia="PMingLiU" w:hAnsiTheme="majorBidi" w:cstheme="majorBidi" w:hint="eastAsia"/>
          <w:sz w:val="24"/>
          <w:szCs w:val="24"/>
          <w:lang w:eastAsia="zh-TW"/>
        </w:rPr>
        <w:t xml:space="preserve">  Note too that many recreation and social clubs (ICNPO code 1300) are not charitable organisations.</w:t>
      </w:r>
    </w:p>
    <w:p w:rsidR="002F0B83" w:rsidRDefault="002F0B83" w:rsidP="0008251C">
      <w:pPr>
        <w:pStyle w:val="EndnoteText"/>
        <w:spacing w:line="480" w:lineRule="auto"/>
        <w:contextualSpacing/>
        <w:jc w:val="both"/>
        <w:rPr>
          <w:rFonts w:asciiTheme="majorBidi" w:eastAsia="PMingLiU" w:hAnsiTheme="majorBidi" w:cstheme="majorBidi"/>
          <w:b/>
          <w:bCs/>
          <w:sz w:val="24"/>
          <w:szCs w:val="24"/>
          <w:lang w:eastAsia="zh-TW"/>
        </w:rPr>
      </w:pPr>
    </w:p>
    <w:p w:rsidR="00381713" w:rsidRDefault="00381713" w:rsidP="0008251C">
      <w:pPr>
        <w:pStyle w:val="EndnoteText"/>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Finally, we choose to:</w:t>
      </w:r>
    </w:p>
    <w:p w:rsidR="00381713" w:rsidRDefault="00381713" w:rsidP="009954D4">
      <w:pPr>
        <w:pStyle w:val="EndnoteText"/>
        <w:numPr>
          <w:ilvl w:val="0"/>
          <w:numId w:val="12"/>
        </w:num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 xml:space="preserve">combine subgroups 1100, 1200 and 1300 (in Figure </w:t>
      </w:r>
      <w:r w:rsidR="009954D4">
        <w:rPr>
          <w:rFonts w:asciiTheme="majorBidi" w:eastAsia="PMingLiU" w:hAnsiTheme="majorBidi" w:cstheme="majorBidi" w:hint="eastAsia"/>
          <w:sz w:val="24"/>
          <w:szCs w:val="24"/>
          <w:lang w:eastAsia="zh-TW"/>
        </w:rPr>
        <w:t>4</w:t>
      </w:r>
      <w:r>
        <w:rPr>
          <w:rFonts w:asciiTheme="majorBidi" w:eastAsia="PMingLiU" w:hAnsiTheme="majorBidi" w:cstheme="majorBidi" w:hint="eastAsia"/>
          <w:sz w:val="24"/>
          <w:szCs w:val="24"/>
          <w:lang w:eastAsia="zh-TW"/>
        </w:rPr>
        <w:t xml:space="preserve">); subgroups 4100 and 4200 (in Figure </w:t>
      </w:r>
      <w:r w:rsidR="009954D4">
        <w:rPr>
          <w:rFonts w:asciiTheme="majorBidi" w:eastAsia="PMingLiU" w:hAnsiTheme="majorBidi" w:cstheme="majorBidi" w:hint="eastAsia"/>
          <w:sz w:val="24"/>
          <w:szCs w:val="24"/>
          <w:lang w:eastAsia="zh-TW"/>
        </w:rPr>
        <w:t>5</w:t>
      </w:r>
      <w:r>
        <w:rPr>
          <w:rFonts w:asciiTheme="majorBidi" w:eastAsia="PMingLiU" w:hAnsiTheme="majorBidi" w:cstheme="majorBidi" w:hint="eastAsia"/>
          <w:sz w:val="24"/>
          <w:szCs w:val="24"/>
          <w:lang w:eastAsia="zh-TW"/>
        </w:rPr>
        <w:t xml:space="preserve">); and subgroups 7100 &amp; 7200 (in Figure </w:t>
      </w:r>
      <w:r w:rsidR="009954D4">
        <w:rPr>
          <w:rFonts w:asciiTheme="majorBidi" w:eastAsia="PMingLiU" w:hAnsiTheme="majorBidi" w:cstheme="majorBidi" w:hint="eastAsia"/>
          <w:sz w:val="24"/>
          <w:szCs w:val="24"/>
          <w:lang w:eastAsia="zh-TW"/>
        </w:rPr>
        <w:t>4</w:t>
      </w:r>
      <w:r>
        <w:rPr>
          <w:rFonts w:asciiTheme="majorBidi" w:eastAsia="PMingLiU" w:hAnsiTheme="majorBidi" w:cstheme="majorBidi" w:hint="eastAsia"/>
          <w:sz w:val="24"/>
          <w:szCs w:val="24"/>
          <w:lang w:eastAsia="zh-TW"/>
        </w:rPr>
        <w:t>).</w:t>
      </w:r>
    </w:p>
    <w:p w:rsidR="00381713" w:rsidRDefault="00381713" w:rsidP="0008251C">
      <w:pPr>
        <w:pStyle w:val="EndnoteText"/>
        <w:numPr>
          <w:ilvl w:val="0"/>
          <w:numId w:val="11"/>
        </w:numPr>
        <w:spacing w:line="480" w:lineRule="auto"/>
        <w:contextualSpacing/>
        <w:jc w:val="both"/>
        <w:rPr>
          <w:rFonts w:asciiTheme="majorBidi" w:eastAsia="PMingLiU" w:hAnsiTheme="majorBidi" w:cstheme="majorBidi"/>
          <w:sz w:val="24"/>
          <w:szCs w:val="24"/>
          <w:lang w:eastAsia="zh-TW"/>
        </w:rPr>
      </w:pPr>
      <w:r w:rsidRPr="00381713">
        <w:rPr>
          <w:rFonts w:asciiTheme="majorBidi" w:eastAsia="PMingLiU" w:hAnsiTheme="majorBidi" w:cstheme="majorBidi"/>
          <w:sz w:val="24"/>
          <w:szCs w:val="24"/>
          <w:lang w:eastAsia="zh-TW"/>
        </w:rPr>
        <w:t>N</w:t>
      </w:r>
      <w:r w:rsidRPr="00381713">
        <w:rPr>
          <w:rFonts w:asciiTheme="majorBidi" w:eastAsia="PMingLiU" w:hAnsiTheme="majorBidi" w:cstheme="majorBidi" w:hint="eastAsia"/>
          <w:sz w:val="24"/>
          <w:szCs w:val="24"/>
          <w:lang w:eastAsia="zh-TW"/>
        </w:rPr>
        <w:t xml:space="preserve">ot </w:t>
      </w:r>
      <w:r w:rsidR="00A10E88">
        <w:rPr>
          <w:rFonts w:asciiTheme="majorBidi" w:eastAsia="PMingLiU" w:hAnsiTheme="majorBidi" w:cstheme="majorBidi" w:hint="eastAsia"/>
          <w:sz w:val="24"/>
          <w:szCs w:val="24"/>
          <w:lang w:eastAsia="zh-TW"/>
        </w:rPr>
        <w:t>include</w:t>
      </w:r>
      <w:r w:rsidRPr="00381713">
        <w:rPr>
          <w:rFonts w:asciiTheme="majorBidi" w:eastAsia="PMingLiU" w:hAnsiTheme="majorBidi" w:cstheme="majorBidi" w:hint="eastAsia"/>
          <w:sz w:val="24"/>
          <w:szCs w:val="24"/>
          <w:lang w:eastAsia="zh-TW"/>
        </w:rPr>
        <w:t xml:space="preserve"> </w:t>
      </w:r>
      <w:r w:rsidRPr="00381713">
        <w:rPr>
          <w:rFonts w:asciiTheme="majorBidi" w:eastAsia="PMingLiU" w:hAnsiTheme="majorBidi" w:cstheme="majorBidi"/>
          <w:sz w:val="24"/>
          <w:szCs w:val="24"/>
          <w:lang w:eastAsia="zh-TW"/>
        </w:rPr>
        <w:t>the</w:t>
      </w:r>
      <w:r w:rsidRPr="00381713">
        <w:rPr>
          <w:rFonts w:asciiTheme="majorBidi" w:eastAsia="PMingLiU" w:hAnsiTheme="majorBidi" w:cstheme="majorBidi" w:hint="eastAsia"/>
          <w:sz w:val="24"/>
          <w:szCs w:val="24"/>
          <w:lang w:eastAsia="zh-TW"/>
        </w:rPr>
        <w:t xml:space="preserve"> following categories</w:t>
      </w:r>
      <w:r w:rsidR="00A10E88">
        <w:rPr>
          <w:rFonts w:asciiTheme="majorBidi" w:eastAsia="PMingLiU" w:hAnsiTheme="majorBidi" w:cstheme="majorBidi" w:hint="eastAsia"/>
          <w:sz w:val="24"/>
          <w:szCs w:val="24"/>
          <w:lang w:eastAsia="zh-TW"/>
        </w:rPr>
        <w:t xml:space="preserve"> in the results, for reasons of space</w:t>
      </w:r>
      <w:r w:rsidRPr="00381713">
        <w:rPr>
          <w:rFonts w:asciiTheme="majorBidi" w:eastAsia="PMingLiU" w:hAnsiTheme="majorBidi" w:cstheme="majorBidi" w:hint="eastAsia"/>
          <w:sz w:val="24"/>
          <w:szCs w:val="24"/>
          <w:lang w:eastAsia="zh-TW"/>
        </w:rPr>
        <w:t xml:space="preserve">: </w:t>
      </w:r>
    </w:p>
    <w:p w:rsidR="00381713" w:rsidRPr="00381713" w:rsidRDefault="00381713" w:rsidP="0008251C">
      <w:pPr>
        <w:pStyle w:val="EndnoteText"/>
        <w:numPr>
          <w:ilvl w:val="1"/>
          <w:numId w:val="11"/>
        </w:numPr>
        <w:spacing w:line="480" w:lineRule="auto"/>
        <w:contextualSpacing/>
        <w:jc w:val="both"/>
        <w:rPr>
          <w:rFonts w:asciiTheme="majorBidi" w:eastAsia="PMingLiU" w:hAnsiTheme="majorBidi" w:cstheme="majorBidi"/>
          <w:sz w:val="24"/>
          <w:szCs w:val="24"/>
          <w:lang w:eastAsia="zh-TW"/>
        </w:rPr>
      </w:pPr>
      <w:r w:rsidRPr="00381713">
        <w:rPr>
          <w:rFonts w:asciiTheme="majorBidi" w:eastAsia="PMingLiU" w:hAnsiTheme="majorBidi" w:cstheme="majorBidi"/>
          <w:i/>
          <w:iCs/>
          <w:sz w:val="24"/>
          <w:szCs w:val="24"/>
          <w:lang w:eastAsia="zh-TW"/>
        </w:rPr>
        <w:t>2100: Primary and Secondary Education</w:t>
      </w:r>
      <w:r w:rsidRPr="00381713">
        <w:rPr>
          <w:rFonts w:asciiTheme="majorBidi" w:eastAsia="PMingLiU" w:hAnsiTheme="majorBidi" w:cstheme="majorBidi"/>
          <w:sz w:val="24"/>
          <w:szCs w:val="24"/>
          <w:lang w:eastAsia="zh-TW"/>
        </w:rPr>
        <w:t>.  This category includes independent schools</w:t>
      </w:r>
      <w:r w:rsidRPr="00381713">
        <w:rPr>
          <w:rFonts w:asciiTheme="majorBidi" w:eastAsia="PMingLiU" w:hAnsiTheme="majorBidi" w:cstheme="majorBidi" w:hint="eastAsia"/>
          <w:sz w:val="24"/>
          <w:szCs w:val="24"/>
          <w:lang w:eastAsia="zh-TW"/>
        </w:rPr>
        <w:t>,</w:t>
      </w:r>
      <w:r w:rsidRPr="00381713">
        <w:rPr>
          <w:rFonts w:asciiTheme="majorBidi" w:eastAsia="PMingLiU" w:hAnsiTheme="majorBidi" w:cstheme="majorBidi"/>
          <w:sz w:val="24"/>
          <w:szCs w:val="24"/>
          <w:lang w:eastAsia="zh-TW"/>
        </w:rPr>
        <w:t xml:space="preserve"> and charitable funds/foundations linked to schools.  </w:t>
      </w:r>
    </w:p>
    <w:p w:rsidR="00381713" w:rsidRPr="00381713" w:rsidRDefault="00381713" w:rsidP="0008251C">
      <w:pPr>
        <w:pStyle w:val="EndnoteText"/>
        <w:numPr>
          <w:ilvl w:val="1"/>
          <w:numId w:val="11"/>
        </w:num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i/>
          <w:iCs/>
          <w:sz w:val="24"/>
          <w:szCs w:val="24"/>
          <w:lang w:eastAsia="zh-TW"/>
        </w:rPr>
        <w:lastRenderedPageBreak/>
        <w:t>2400</w:t>
      </w:r>
      <w:r w:rsidRPr="00381713">
        <w:rPr>
          <w:rFonts w:asciiTheme="majorBidi" w:eastAsia="PMingLiU" w:hAnsiTheme="majorBidi" w:cstheme="majorBidi" w:hint="eastAsia"/>
          <w:sz w:val="24"/>
          <w:szCs w:val="24"/>
          <w:lang w:eastAsia="zh-TW"/>
        </w:rPr>
        <w:t>:</w:t>
      </w:r>
      <w:r>
        <w:rPr>
          <w:rFonts w:asciiTheme="majorBidi" w:eastAsia="PMingLiU" w:hAnsiTheme="majorBidi" w:cstheme="majorBidi" w:hint="eastAsia"/>
          <w:sz w:val="24"/>
          <w:szCs w:val="24"/>
          <w:lang w:eastAsia="zh-TW"/>
        </w:rPr>
        <w:t xml:space="preserve"> </w:t>
      </w:r>
      <w:r>
        <w:rPr>
          <w:rFonts w:asciiTheme="majorBidi" w:eastAsia="PMingLiU" w:hAnsiTheme="majorBidi" w:cstheme="majorBidi" w:hint="eastAsia"/>
          <w:i/>
          <w:iCs/>
          <w:sz w:val="24"/>
          <w:szCs w:val="24"/>
          <w:lang w:eastAsia="zh-TW"/>
        </w:rPr>
        <w:t>Research</w:t>
      </w:r>
      <w:r w:rsidR="003E0FAC">
        <w:rPr>
          <w:rFonts w:asciiTheme="majorBidi" w:eastAsia="PMingLiU" w:hAnsiTheme="majorBidi" w:cstheme="majorBidi" w:hint="eastAsia"/>
          <w:i/>
          <w:iCs/>
          <w:sz w:val="24"/>
          <w:szCs w:val="24"/>
          <w:lang w:eastAsia="zh-TW"/>
        </w:rPr>
        <w:t>.</w:t>
      </w:r>
    </w:p>
    <w:p w:rsidR="00381713" w:rsidRDefault="00381713" w:rsidP="0008251C">
      <w:pPr>
        <w:pStyle w:val="EndnoteText"/>
        <w:numPr>
          <w:ilvl w:val="1"/>
          <w:numId w:val="11"/>
        </w:num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i/>
          <w:iCs/>
          <w:sz w:val="24"/>
          <w:szCs w:val="24"/>
          <w:lang w:eastAsia="zh-TW"/>
        </w:rPr>
        <w:t xml:space="preserve">5100: Environment </w:t>
      </w:r>
      <w:r w:rsidRPr="00381713">
        <w:rPr>
          <w:rFonts w:asciiTheme="majorBidi" w:eastAsia="PMingLiU" w:hAnsiTheme="majorBidi" w:cstheme="majorBidi" w:hint="eastAsia"/>
          <w:sz w:val="24"/>
          <w:szCs w:val="24"/>
          <w:lang w:eastAsia="zh-TW"/>
        </w:rPr>
        <w:t>and</w:t>
      </w:r>
      <w:r>
        <w:rPr>
          <w:rFonts w:asciiTheme="majorBidi" w:eastAsia="PMingLiU" w:hAnsiTheme="majorBidi" w:cstheme="majorBidi" w:hint="eastAsia"/>
          <w:i/>
          <w:iCs/>
          <w:sz w:val="24"/>
          <w:szCs w:val="24"/>
          <w:lang w:eastAsia="zh-TW"/>
        </w:rPr>
        <w:t xml:space="preserve"> 5200: Animal Protection</w:t>
      </w:r>
      <w:r>
        <w:rPr>
          <w:rFonts w:asciiTheme="majorBidi" w:eastAsia="PMingLiU" w:hAnsiTheme="majorBidi" w:cstheme="majorBidi" w:hint="eastAsia"/>
          <w:sz w:val="24"/>
          <w:szCs w:val="24"/>
          <w:lang w:eastAsia="zh-TW"/>
        </w:rPr>
        <w:t xml:space="preserve">.  </w:t>
      </w:r>
    </w:p>
    <w:p w:rsidR="00381713" w:rsidRPr="00381713" w:rsidRDefault="003E0FAC" w:rsidP="0008251C">
      <w:pPr>
        <w:pStyle w:val="EndnoteText"/>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Not</w:t>
      </w:r>
      <w:r w:rsidR="00A10E88">
        <w:rPr>
          <w:rFonts w:asciiTheme="majorBidi" w:eastAsia="PMingLiU" w:hAnsiTheme="majorBidi" w:cstheme="majorBidi" w:hint="eastAsia"/>
          <w:sz w:val="24"/>
          <w:szCs w:val="24"/>
          <w:lang w:eastAsia="zh-TW"/>
        </w:rPr>
        <w:t>e</w:t>
      </w:r>
      <w:r>
        <w:rPr>
          <w:rFonts w:asciiTheme="majorBidi" w:eastAsia="PMingLiU" w:hAnsiTheme="majorBidi" w:cstheme="majorBidi" w:hint="eastAsia"/>
          <w:sz w:val="24"/>
          <w:szCs w:val="24"/>
          <w:lang w:eastAsia="zh-TW"/>
        </w:rPr>
        <w:t xml:space="preserve"> that </w:t>
      </w:r>
      <w:r>
        <w:rPr>
          <w:rFonts w:asciiTheme="majorBidi" w:eastAsia="PMingLiU" w:hAnsiTheme="majorBidi" w:cstheme="majorBidi"/>
          <w:sz w:val="24"/>
          <w:szCs w:val="24"/>
          <w:lang w:eastAsia="zh-TW"/>
        </w:rPr>
        <w:t>the</w:t>
      </w:r>
      <w:r>
        <w:rPr>
          <w:rFonts w:asciiTheme="majorBidi" w:eastAsia="PMingLiU" w:hAnsiTheme="majorBidi" w:cstheme="majorBidi" w:hint="eastAsia"/>
          <w:sz w:val="24"/>
          <w:szCs w:val="24"/>
          <w:lang w:eastAsia="zh-TW"/>
        </w:rPr>
        <w:t xml:space="preserve"> analysis has been performed for these categories </w:t>
      </w:r>
      <w:r w:rsidR="00A10E88">
        <w:rPr>
          <w:rFonts w:asciiTheme="majorBidi" w:eastAsia="PMingLiU" w:hAnsiTheme="majorBidi" w:cstheme="majorBidi" w:hint="eastAsia"/>
          <w:sz w:val="24"/>
          <w:szCs w:val="24"/>
          <w:lang w:eastAsia="zh-TW"/>
        </w:rPr>
        <w:t xml:space="preserve">and </w:t>
      </w:r>
      <w:r>
        <w:rPr>
          <w:rFonts w:asciiTheme="majorBidi" w:eastAsia="PMingLiU" w:hAnsiTheme="majorBidi" w:cstheme="majorBidi" w:hint="eastAsia"/>
          <w:sz w:val="24"/>
          <w:szCs w:val="24"/>
          <w:lang w:eastAsia="zh-TW"/>
        </w:rPr>
        <w:t>the results are available on request.</w:t>
      </w:r>
    </w:p>
    <w:p w:rsidR="00A6020B" w:rsidRDefault="00A6020B" w:rsidP="0008251C">
      <w:pPr>
        <w:pStyle w:val="EndnoteText"/>
        <w:spacing w:line="480" w:lineRule="auto"/>
        <w:contextualSpacing/>
        <w:jc w:val="both"/>
        <w:rPr>
          <w:rFonts w:asciiTheme="majorBidi" w:eastAsia="PMingLiU" w:hAnsiTheme="majorBidi" w:cstheme="majorBidi"/>
          <w:i/>
          <w:iCs/>
          <w:sz w:val="24"/>
          <w:szCs w:val="24"/>
          <w:lang w:eastAsia="zh-TW"/>
        </w:rPr>
      </w:pPr>
    </w:p>
    <w:p w:rsidR="00A10E88" w:rsidRDefault="00A10E88" w:rsidP="00C75BBC">
      <w:p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 xml:space="preserve">When presenting the results we considered organising the Figures by </w:t>
      </w:r>
      <w:r w:rsidR="00390A0C">
        <w:rPr>
          <w:rFonts w:asciiTheme="majorBidi" w:eastAsia="PMingLiU" w:hAnsiTheme="majorBidi" w:cstheme="majorBidi"/>
          <w:sz w:val="24"/>
          <w:szCs w:val="24"/>
          <w:lang w:eastAsia="zh-TW"/>
        </w:rPr>
        <w:t>‘</w:t>
      </w:r>
      <w:r>
        <w:rPr>
          <w:rFonts w:asciiTheme="majorBidi" w:eastAsia="PMingLiU" w:hAnsiTheme="majorBidi" w:cstheme="majorBidi" w:hint="eastAsia"/>
          <w:sz w:val="24"/>
          <w:szCs w:val="24"/>
          <w:lang w:eastAsia="zh-TW"/>
        </w:rPr>
        <w:t>major</w:t>
      </w:r>
      <w:r w:rsidR="00390A0C">
        <w:rPr>
          <w:rFonts w:asciiTheme="majorBidi" w:eastAsia="PMingLiU" w:hAnsiTheme="majorBidi" w:cstheme="majorBidi"/>
          <w:sz w:val="24"/>
          <w:szCs w:val="24"/>
          <w:lang w:eastAsia="zh-TW"/>
        </w:rPr>
        <w:t>’</w:t>
      </w:r>
      <w:r>
        <w:rPr>
          <w:rFonts w:asciiTheme="majorBidi" w:eastAsia="PMingLiU" w:hAnsiTheme="majorBidi" w:cstheme="majorBidi" w:hint="eastAsia"/>
          <w:sz w:val="24"/>
          <w:szCs w:val="24"/>
          <w:lang w:eastAsia="zh-TW"/>
        </w:rPr>
        <w:t xml:space="preserve"> ICNPO group, such that categories that belong to the same </w:t>
      </w:r>
      <w:r w:rsidR="00390A0C">
        <w:rPr>
          <w:rFonts w:asciiTheme="majorBidi" w:eastAsia="PMingLiU" w:hAnsiTheme="majorBidi" w:cstheme="majorBidi" w:hint="eastAsia"/>
          <w:sz w:val="24"/>
          <w:szCs w:val="24"/>
          <w:lang w:eastAsia="zh-TW"/>
        </w:rPr>
        <w:t>major</w:t>
      </w:r>
      <w:r>
        <w:rPr>
          <w:rFonts w:asciiTheme="majorBidi" w:eastAsia="PMingLiU" w:hAnsiTheme="majorBidi" w:cstheme="majorBidi"/>
          <w:sz w:val="24"/>
          <w:szCs w:val="24"/>
          <w:lang w:eastAsia="zh-TW"/>
        </w:rPr>
        <w:t xml:space="preserve"> group</w:t>
      </w:r>
      <w:r>
        <w:rPr>
          <w:rFonts w:asciiTheme="majorBidi" w:eastAsia="PMingLiU" w:hAnsiTheme="majorBidi" w:cstheme="majorBidi" w:hint="eastAsia"/>
          <w:sz w:val="24"/>
          <w:szCs w:val="24"/>
          <w:lang w:eastAsia="zh-TW"/>
        </w:rPr>
        <w:t xml:space="preserve"> should be included in the same Figure.  However, given the marked difference in income trends between categories within the major ICNPO groups (e.g. between PTAs and preschools within ICNPO group 2, </w:t>
      </w:r>
      <w:r>
        <w:rPr>
          <w:rFonts w:asciiTheme="majorBidi" w:eastAsia="PMingLiU" w:hAnsiTheme="majorBidi" w:cstheme="majorBidi"/>
          <w:sz w:val="24"/>
          <w:szCs w:val="24"/>
          <w:lang w:eastAsia="zh-TW"/>
        </w:rPr>
        <w:t>‘</w:t>
      </w:r>
      <w:r>
        <w:rPr>
          <w:rFonts w:asciiTheme="majorBidi" w:eastAsia="PMingLiU" w:hAnsiTheme="majorBidi" w:cstheme="majorBidi" w:hint="eastAsia"/>
          <w:sz w:val="24"/>
          <w:szCs w:val="24"/>
          <w:lang w:eastAsia="zh-TW"/>
        </w:rPr>
        <w:t>Education and Research</w:t>
      </w:r>
      <w:r>
        <w:rPr>
          <w:rFonts w:asciiTheme="majorBidi" w:eastAsia="PMingLiU" w:hAnsiTheme="majorBidi" w:cstheme="majorBidi"/>
          <w:sz w:val="24"/>
          <w:szCs w:val="24"/>
          <w:lang w:eastAsia="zh-TW"/>
        </w:rPr>
        <w:t>’</w:t>
      </w:r>
      <w:r>
        <w:rPr>
          <w:rFonts w:asciiTheme="majorBidi" w:eastAsia="PMingLiU" w:hAnsiTheme="majorBidi" w:cstheme="majorBidi" w:hint="eastAsia"/>
          <w:sz w:val="24"/>
          <w:szCs w:val="24"/>
          <w:lang w:eastAsia="zh-TW"/>
        </w:rPr>
        <w:t>), we ch</w:t>
      </w:r>
      <w:r w:rsidR="006A33B9">
        <w:rPr>
          <w:rFonts w:asciiTheme="majorBidi" w:eastAsia="PMingLiU" w:hAnsiTheme="majorBidi" w:cstheme="majorBidi"/>
          <w:sz w:val="24"/>
          <w:szCs w:val="24"/>
          <w:lang w:eastAsia="zh-TW"/>
        </w:rPr>
        <w:t>o</w:t>
      </w:r>
      <w:r>
        <w:rPr>
          <w:rFonts w:asciiTheme="majorBidi" w:eastAsia="PMingLiU" w:hAnsiTheme="majorBidi" w:cstheme="majorBidi" w:hint="eastAsia"/>
          <w:sz w:val="24"/>
          <w:szCs w:val="24"/>
          <w:lang w:eastAsia="zh-TW"/>
        </w:rPr>
        <w:t xml:space="preserve">ose not to enforce this rule.  Instead we include together in the same Figures categories that experienced a certain similarity in their income trends.  </w:t>
      </w:r>
      <w:r w:rsidR="00770489">
        <w:rPr>
          <w:rFonts w:asciiTheme="majorBidi" w:eastAsia="PMingLiU" w:hAnsiTheme="majorBidi" w:cstheme="majorBidi" w:hint="eastAsia"/>
          <w:sz w:val="24"/>
          <w:szCs w:val="24"/>
          <w:lang w:eastAsia="zh-TW"/>
        </w:rPr>
        <w:t xml:space="preserve">We include </w:t>
      </w:r>
      <w:r>
        <w:rPr>
          <w:rFonts w:asciiTheme="majorBidi" w:eastAsia="PMingLiU" w:hAnsiTheme="majorBidi" w:cstheme="majorBidi" w:hint="eastAsia"/>
          <w:sz w:val="24"/>
          <w:szCs w:val="24"/>
          <w:lang w:eastAsia="zh-TW"/>
        </w:rPr>
        <w:t xml:space="preserve">Table </w:t>
      </w:r>
      <w:r w:rsidR="009954D4">
        <w:rPr>
          <w:rFonts w:asciiTheme="majorBidi" w:eastAsia="PMingLiU" w:hAnsiTheme="majorBidi" w:cstheme="majorBidi" w:hint="eastAsia"/>
          <w:sz w:val="24"/>
          <w:szCs w:val="24"/>
          <w:lang w:eastAsia="zh-TW"/>
        </w:rPr>
        <w:t>1</w:t>
      </w:r>
      <w:r>
        <w:rPr>
          <w:rFonts w:asciiTheme="majorBidi" w:eastAsia="PMingLiU" w:hAnsiTheme="majorBidi" w:cstheme="majorBidi" w:hint="eastAsia"/>
          <w:sz w:val="24"/>
          <w:szCs w:val="24"/>
          <w:lang w:eastAsia="zh-TW"/>
        </w:rPr>
        <w:t xml:space="preserve"> to show </w:t>
      </w:r>
      <w:r>
        <w:rPr>
          <w:rFonts w:asciiTheme="majorBidi" w:eastAsia="PMingLiU" w:hAnsiTheme="majorBidi" w:cstheme="majorBidi"/>
          <w:sz w:val="24"/>
          <w:szCs w:val="24"/>
          <w:lang w:eastAsia="zh-TW"/>
        </w:rPr>
        <w:t xml:space="preserve">how </w:t>
      </w:r>
      <w:r w:rsidR="00770489">
        <w:rPr>
          <w:rFonts w:asciiTheme="majorBidi" w:eastAsia="PMingLiU" w:hAnsiTheme="majorBidi" w:cstheme="majorBidi" w:hint="eastAsia"/>
          <w:sz w:val="24"/>
          <w:szCs w:val="24"/>
          <w:lang w:eastAsia="zh-TW"/>
        </w:rPr>
        <w:t xml:space="preserve">each of </w:t>
      </w:r>
      <w:r>
        <w:rPr>
          <w:rFonts w:asciiTheme="majorBidi" w:eastAsia="PMingLiU" w:hAnsiTheme="majorBidi" w:cstheme="majorBidi"/>
          <w:sz w:val="24"/>
          <w:szCs w:val="24"/>
          <w:lang w:eastAsia="zh-TW"/>
        </w:rPr>
        <w:t xml:space="preserve">the </w:t>
      </w:r>
      <w:r>
        <w:rPr>
          <w:rFonts w:asciiTheme="majorBidi" w:eastAsia="PMingLiU" w:hAnsiTheme="majorBidi" w:cstheme="majorBidi" w:hint="eastAsia"/>
          <w:sz w:val="24"/>
          <w:szCs w:val="24"/>
          <w:lang w:eastAsia="zh-TW"/>
        </w:rPr>
        <w:t>categories</w:t>
      </w:r>
      <w:r>
        <w:rPr>
          <w:rFonts w:asciiTheme="majorBidi" w:eastAsia="PMingLiU" w:hAnsiTheme="majorBidi" w:cstheme="majorBidi"/>
          <w:sz w:val="24"/>
          <w:szCs w:val="24"/>
          <w:lang w:eastAsia="zh-TW"/>
        </w:rPr>
        <w:t xml:space="preserve"> in Figures </w:t>
      </w:r>
      <w:r w:rsidR="00C75BBC">
        <w:rPr>
          <w:rFonts w:asciiTheme="majorBidi" w:eastAsia="PMingLiU" w:hAnsiTheme="majorBidi" w:cstheme="majorBidi"/>
          <w:sz w:val="24"/>
          <w:szCs w:val="24"/>
          <w:lang w:eastAsia="zh-TW"/>
        </w:rPr>
        <w:t>4</w:t>
      </w:r>
      <w:r w:rsidR="009954D4">
        <w:rPr>
          <w:rFonts w:asciiTheme="majorBidi" w:eastAsia="PMingLiU" w:hAnsiTheme="majorBidi" w:cstheme="majorBidi"/>
          <w:sz w:val="24"/>
          <w:szCs w:val="24"/>
          <w:lang w:eastAsia="zh-TW"/>
        </w:rPr>
        <w:t>-</w:t>
      </w:r>
      <w:r w:rsidR="00C75BBC">
        <w:rPr>
          <w:rFonts w:asciiTheme="majorBidi" w:eastAsia="PMingLiU" w:hAnsiTheme="majorBidi" w:cstheme="majorBidi"/>
          <w:sz w:val="24"/>
          <w:szCs w:val="24"/>
          <w:lang w:eastAsia="zh-TW"/>
        </w:rPr>
        <w:t>8</w:t>
      </w:r>
      <w:bookmarkStart w:id="0" w:name="_GoBack"/>
      <w:bookmarkEnd w:id="0"/>
      <w:r>
        <w:rPr>
          <w:rFonts w:asciiTheme="majorBidi" w:eastAsia="PMingLiU" w:hAnsiTheme="majorBidi" w:cstheme="majorBidi"/>
          <w:sz w:val="24"/>
          <w:szCs w:val="24"/>
          <w:lang w:eastAsia="zh-TW"/>
        </w:rPr>
        <w:t xml:space="preserve"> relate to the</w:t>
      </w:r>
      <w:r w:rsidR="00770489">
        <w:rPr>
          <w:rFonts w:asciiTheme="majorBidi" w:eastAsia="PMingLiU" w:hAnsiTheme="majorBidi" w:cstheme="majorBidi" w:hint="eastAsia"/>
          <w:sz w:val="24"/>
          <w:szCs w:val="24"/>
          <w:lang w:eastAsia="zh-TW"/>
        </w:rPr>
        <w:t xml:space="preserve"> underlying</w:t>
      </w:r>
      <w:r w:rsidR="00536A96">
        <w:rPr>
          <w:rFonts w:asciiTheme="majorBidi" w:eastAsia="PMingLiU" w:hAnsiTheme="majorBidi" w:cstheme="majorBidi" w:hint="eastAsia"/>
          <w:sz w:val="24"/>
          <w:szCs w:val="24"/>
          <w:lang w:eastAsia="zh-TW"/>
        </w:rPr>
        <w:t xml:space="preserve"> I</w:t>
      </w:r>
      <w:r>
        <w:rPr>
          <w:rFonts w:asciiTheme="majorBidi" w:eastAsia="PMingLiU" w:hAnsiTheme="majorBidi" w:cstheme="majorBidi" w:hint="eastAsia"/>
          <w:sz w:val="24"/>
          <w:szCs w:val="24"/>
          <w:lang w:eastAsia="zh-TW"/>
        </w:rPr>
        <w:t>C</w:t>
      </w:r>
      <w:r w:rsidR="00536A96">
        <w:rPr>
          <w:rFonts w:asciiTheme="majorBidi" w:eastAsia="PMingLiU" w:hAnsiTheme="majorBidi" w:cstheme="majorBidi" w:hint="eastAsia"/>
          <w:sz w:val="24"/>
          <w:szCs w:val="24"/>
          <w:lang w:eastAsia="zh-TW"/>
        </w:rPr>
        <w:t>N</w:t>
      </w:r>
      <w:r>
        <w:rPr>
          <w:rFonts w:asciiTheme="majorBidi" w:eastAsia="PMingLiU" w:hAnsiTheme="majorBidi" w:cstheme="majorBidi" w:hint="eastAsia"/>
          <w:sz w:val="24"/>
          <w:szCs w:val="24"/>
          <w:lang w:eastAsia="zh-TW"/>
        </w:rPr>
        <w:t>PO/ NCVO</w:t>
      </w:r>
      <w:r>
        <w:rPr>
          <w:rFonts w:asciiTheme="majorBidi" w:eastAsia="PMingLiU" w:hAnsiTheme="majorBidi" w:cstheme="majorBidi"/>
          <w:sz w:val="24"/>
          <w:szCs w:val="24"/>
          <w:lang w:eastAsia="zh-TW"/>
        </w:rPr>
        <w:t xml:space="preserve"> </w:t>
      </w:r>
      <w:r w:rsidR="00770489">
        <w:rPr>
          <w:rFonts w:asciiTheme="majorBidi" w:eastAsia="PMingLiU" w:hAnsiTheme="majorBidi" w:cstheme="majorBidi" w:hint="eastAsia"/>
          <w:sz w:val="24"/>
          <w:szCs w:val="24"/>
          <w:lang w:eastAsia="zh-TW"/>
        </w:rPr>
        <w:t>classifications</w:t>
      </w:r>
      <w:r>
        <w:rPr>
          <w:rFonts w:asciiTheme="majorBidi" w:eastAsia="PMingLiU" w:hAnsiTheme="majorBidi" w:cstheme="majorBidi"/>
          <w:sz w:val="24"/>
          <w:szCs w:val="24"/>
          <w:lang w:eastAsia="zh-TW"/>
        </w:rPr>
        <w:t>.</w:t>
      </w:r>
    </w:p>
    <w:p w:rsidR="00A10E88" w:rsidRDefault="00A10E88" w:rsidP="0008251C">
      <w:pPr>
        <w:pStyle w:val="EndnoteText"/>
        <w:spacing w:line="480" w:lineRule="auto"/>
        <w:contextualSpacing/>
        <w:jc w:val="both"/>
        <w:rPr>
          <w:rFonts w:asciiTheme="majorBidi" w:eastAsia="PMingLiU" w:hAnsiTheme="majorBidi" w:cstheme="majorBidi"/>
          <w:i/>
          <w:iCs/>
          <w:sz w:val="24"/>
          <w:szCs w:val="24"/>
          <w:lang w:eastAsia="zh-TW"/>
        </w:rPr>
      </w:pPr>
    </w:p>
    <w:p w:rsidR="00A823D5" w:rsidRPr="00A841AD" w:rsidRDefault="00A823D5" w:rsidP="0008251C">
      <w:pPr>
        <w:pStyle w:val="EndnoteText"/>
        <w:spacing w:line="480" w:lineRule="auto"/>
        <w:contextualSpacing/>
        <w:jc w:val="both"/>
        <w:rPr>
          <w:rFonts w:asciiTheme="majorBidi" w:eastAsia="PMingLiU" w:hAnsiTheme="majorBidi" w:cstheme="majorBidi"/>
          <w:i/>
          <w:iCs/>
          <w:sz w:val="24"/>
          <w:szCs w:val="24"/>
          <w:lang w:eastAsia="zh-TW"/>
        </w:rPr>
      </w:pPr>
      <w:r w:rsidRPr="00A841AD">
        <w:rPr>
          <w:rFonts w:asciiTheme="majorBidi" w:eastAsia="PMingLiU" w:hAnsiTheme="majorBidi" w:cstheme="majorBidi"/>
          <w:i/>
          <w:iCs/>
          <w:sz w:val="24"/>
          <w:szCs w:val="24"/>
          <w:lang w:eastAsia="zh-TW"/>
        </w:rPr>
        <w:t>Means of classification</w:t>
      </w:r>
    </w:p>
    <w:p w:rsidR="00127398" w:rsidRDefault="00127398" w:rsidP="0008251C">
      <w:pPr>
        <w:pStyle w:val="EndnoteText"/>
        <w:spacing w:line="480" w:lineRule="auto"/>
        <w:contextualSpacing/>
        <w:jc w:val="both"/>
        <w:rPr>
          <w:rFonts w:asciiTheme="majorBidi" w:eastAsia="PMingLiU" w:hAnsiTheme="majorBidi" w:cstheme="majorBidi"/>
          <w:sz w:val="24"/>
          <w:szCs w:val="24"/>
          <w:lang w:eastAsia="zh-TW"/>
        </w:rPr>
      </w:pPr>
    </w:p>
    <w:p w:rsidR="00BE285C" w:rsidRDefault="00A537A7" w:rsidP="0008251C">
      <w:pPr>
        <w:pStyle w:val="EndnoteText"/>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 xml:space="preserve">We make use of </w:t>
      </w:r>
      <w:r w:rsidR="00A90C1B">
        <w:rPr>
          <w:rFonts w:asciiTheme="majorBidi" w:eastAsia="PMingLiU" w:hAnsiTheme="majorBidi" w:cstheme="majorBidi" w:hint="eastAsia"/>
          <w:sz w:val="24"/>
          <w:szCs w:val="24"/>
          <w:lang w:eastAsia="zh-TW"/>
        </w:rPr>
        <w:t xml:space="preserve">data, on </w:t>
      </w:r>
      <w:r>
        <w:rPr>
          <w:rFonts w:asciiTheme="majorBidi" w:eastAsia="PMingLiU" w:hAnsiTheme="majorBidi" w:cstheme="majorBidi"/>
          <w:sz w:val="24"/>
          <w:szCs w:val="24"/>
          <w:lang w:eastAsia="zh-TW"/>
        </w:rPr>
        <w:t>the classification of English and Welsh charities according to the ICNPO</w:t>
      </w:r>
      <w:r w:rsidR="00A90C1B">
        <w:rPr>
          <w:rFonts w:asciiTheme="majorBidi" w:eastAsia="PMingLiU" w:hAnsiTheme="majorBidi" w:cstheme="majorBidi" w:hint="eastAsia"/>
          <w:sz w:val="24"/>
          <w:szCs w:val="24"/>
          <w:lang w:eastAsia="zh-TW"/>
        </w:rPr>
        <w:t>,</w:t>
      </w:r>
      <w:r>
        <w:rPr>
          <w:rFonts w:asciiTheme="majorBidi" w:eastAsia="PMingLiU" w:hAnsiTheme="majorBidi" w:cstheme="majorBidi"/>
          <w:sz w:val="24"/>
          <w:szCs w:val="24"/>
          <w:lang w:eastAsia="zh-TW"/>
        </w:rPr>
        <w:t xml:space="preserve"> </w:t>
      </w:r>
      <w:r w:rsidR="00A90C1B">
        <w:rPr>
          <w:rFonts w:asciiTheme="majorBidi" w:eastAsia="PMingLiU" w:hAnsiTheme="majorBidi" w:cstheme="majorBidi" w:hint="eastAsia"/>
          <w:sz w:val="24"/>
          <w:szCs w:val="24"/>
          <w:lang w:eastAsia="zh-TW"/>
        </w:rPr>
        <w:t xml:space="preserve">provided </w:t>
      </w:r>
      <w:r>
        <w:rPr>
          <w:rFonts w:asciiTheme="majorBidi" w:eastAsia="PMingLiU" w:hAnsiTheme="majorBidi" w:cstheme="majorBidi"/>
          <w:sz w:val="24"/>
          <w:szCs w:val="24"/>
          <w:lang w:eastAsia="zh-TW"/>
        </w:rPr>
        <w:t>by</w:t>
      </w:r>
      <w:r w:rsidR="00A90C1B">
        <w:rPr>
          <w:rFonts w:asciiTheme="majorBidi" w:eastAsia="PMingLiU" w:hAnsiTheme="majorBidi" w:cstheme="majorBidi" w:hint="eastAsia"/>
          <w:sz w:val="24"/>
          <w:szCs w:val="24"/>
          <w:lang w:eastAsia="zh-TW"/>
        </w:rPr>
        <w:t xml:space="preserve"> the</w:t>
      </w:r>
      <w:r w:rsidR="00FB6CA1" w:rsidRPr="00FB6CA1">
        <w:rPr>
          <w:rFonts w:asciiTheme="majorBidi" w:eastAsia="PMingLiU" w:hAnsiTheme="majorBidi" w:cstheme="majorBidi"/>
          <w:sz w:val="24"/>
          <w:szCs w:val="24"/>
          <w:lang w:eastAsia="zh-TW"/>
        </w:rPr>
        <w:t xml:space="preserve"> National Council of Voluntary Organisations (NCVO).</w:t>
      </w:r>
      <w:r w:rsidR="00AD15D0">
        <w:rPr>
          <w:rFonts w:asciiTheme="majorBidi" w:eastAsia="PMingLiU" w:hAnsiTheme="majorBidi" w:cstheme="majorBidi" w:hint="eastAsia"/>
          <w:sz w:val="24"/>
          <w:szCs w:val="24"/>
          <w:lang w:eastAsia="zh-TW"/>
        </w:rPr>
        <w:t xml:space="preserve">  These data include classification information on formerly registered, as well as currently registered, organisations.</w:t>
      </w:r>
      <w:r w:rsidR="00FB6CA1" w:rsidRPr="00FB6CA1">
        <w:rPr>
          <w:rFonts w:asciiTheme="majorBidi" w:eastAsia="PMingLiU" w:hAnsiTheme="majorBidi" w:cstheme="majorBidi"/>
          <w:sz w:val="24"/>
          <w:szCs w:val="24"/>
          <w:lang w:eastAsia="zh-TW"/>
        </w:rPr>
        <w:t xml:space="preserve"> </w:t>
      </w:r>
      <w:r w:rsidR="00B8373F">
        <w:rPr>
          <w:rFonts w:asciiTheme="majorBidi" w:eastAsia="PMingLiU" w:hAnsiTheme="majorBidi" w:cstheme="majorBidi"/>
          <w:sz w:val="24"/>
          <w:szCs w:val="24"/>
          <w:lang w:eastAsia="zh-TW"/>
        </w:rPr>
        <w:t xml:space="preserve"> </w:t>
      </w:r>
      <w:r w:rsidR="003B6461">
        <w:rPr>
          <w:rFonts w:asciiTheme="majorBidi" w:eastAsia="PMingLiU" w:hAnsiTheme="majorBidi" w:cstheme="majorBidi"/>
          <w:sz w:val="24"/>
          <w:szCs w:val="24"/>
          <w:lang w:eastAsia="zh-TW"/>
        </w:rPr>
        <w:t>We are</w:t>
      </w:r>
      <w:r w:rsidR="001D5439">
        <w:rPr>
          <w:rFonts w:asciiTheme="majorBidi" w:eastAsia="PMingLiU" w:hAnsiTheme="majorBidi" w:cstheme="majorBidi"/>
          <w:sz w:val="24"/>
          <w:szCs w:val="24"/>
          <w:lang w:eastAsia="zh-TW"/>
        </w:rPr>
        <w:t xml:space="preserve"> </w:t>
      </w:r>
      <w:r w:rsidR="00A841AD">
        <w:rPr>
          <w:rFonts w:asciiTheme="majorBidi" w:eastAsia="PMingLiU" w:hAnsiTheme="majorBidi" w:cstheme="majorBidi"/>
          <w:sz w:val="24"/>
          <w:szCs w:val="24"/>
          <w:lang w:eastAsia="zh-TW"/>
        </w:rPr>
        <w:t xml:space="preserve">grateful to the NCVO for sharing these classification data for research purposes.  </w:t>
      </w:r>
      <w:r w:rsidR="00FB6CA1">
        <w:rPr>
          <w:rFonts w:asciiTheme="majorBidi" w:eastAsia="PMingLiU" w:hAnsiTheme="majorBidi" w:cstheme="majorBidi"/>
          <w:sz w:val="24"/>
          <w:szCs w:val="24"/>
          <w:lang w:eastAsia="zh-TW"/>
        </w:rPr>
        <w:t xml:space="preserve">Kane (2009) describes </w:t>
      </w:r>
      <w:r w:rsidR="00950BDC">
        <w:rPr>
          <w:rFonts w:asciiTheme="majorBidi" w:eastAsia="PMingLiU" w:hAnsiTheme="majorBidi" w:cstheme="majorBidi"/>
          <w:sz w:val="24"/>
          <w:szCs w:val="24"/>
          <w:lang w:eastAsia="zh-TW"/>
        </w:rPr>
        <w:t xml:space="preserve">the range of different methods that </w:t>
      </w:r>
      <w:r w:rsidR="00A841AD">
        <w:rPr>
          <w:rFonts w:asciiTheme="majorBidi" w:eastAsia="PMingLiU" w:hAnsiTheme="majorBidi" w:cstheme="majorBidi"/>
          <w:sz w:val="24"/>
          <w:szCs w:val="24"/>
          <w:lang w:eastAsia="zh-TW"/>
        </w:rPr>
        <w:t>were</w:t>
      </w:r>
      <w:r w:rsidR="00950BDC">
        <w:rPr>
          <w:rFonts w:asciiTheme="majorBidi" w:eastAsia="PMingLiU" w:hAnsiTheme="majorBidi" w:cstheme="majorBidi"/>
          <w:sz w:val="24"/>
          <w:szCs w:val="24"/>
          <w:lang w:eastAsia="zh-TW"/>
        </w:rPr>
        <w:t xml:space="preserve"> used to allocate charities t</w:t>
      </w:r>
      <w:r w:rsidR="0061450F">
        <w:rPr>
          <w:rFonts w:asciiTheme="majorBidi" w:eastAsia="PMingLiU" w:hAnsiTheme="majorBidi" w:cstheme="majorBidi"/>
          <w:sz w:val="24"/>
          <w:szCs w:val="24"/>
          <w:lang w:eastAsia="zh-TW"/>
        </w:rPr>
        <w:t>o</w:t>
      </w:r>
      <w:r w:rsidR="00950BDC">
        <w:rPr>
          <w:rFonts w:asciiTheme="majorBidi" w:eastAsia="PMingLiU" w:hAnsiTheme="majorBidi" w:cstheme="majorBidi"/>
          <w:sz w:val="24"/>
          <w:szCs w:val="24"/>
          <w:lang w:eastAsia="zh-TW"/>
        </w:rPr>
        <w:t xml:space="preserve"> the ICNPO categories</w:t>
      </w:r>
      <w:r w:rsidR="00537502">
        <w:rPr>
          <w:rFonts w:asciiTheme="majorBidi" w:eastAsia="PMingLiU" w:hAnsiTheme="majorBidi" w:cstheme="majorBidi"/>
          <w:sz w:val="24"/>
          <w:szCs w:val="24"/>
          <w:lang w:eastAsia="zh-TW"/>
        </w:rPr>
        <w:t xml:space="preserve"> -</w:t>
      </w:r>
      <w:r w:rsidR="00950BDC">
        <w:rPr>
          <w:rFonts w:asciiTheme="majorBidi" w:eastAsia="PMingLiU" w:hAnsiTheme="majorBidi" w:cstheme="majorBidi"/>
          <w:sz w:val="24"/>
          <w:szCs w:val="24"/>
          <w:lang w:eastAsia="zh-TW"/>
        </w:rPr>
        <w:t xml:space="preserve"> </w:t>
      </w:r>
      <w:r w:rsidR="00C27E61" w:rsidRPr="00FB6CA1">
        <w:rPr>
          <w:rFonts w:asciiTheme="majorBidi" w:eastAsia="PMingLiU" w:hAnsiTheme="majorBidi" w:cstheme="majorBidi"/>
          <w:sz w:val="24"/>
          <w:szCs w:val="24"/>
          <w:lang w:eastAsia="zh-TW"/>
        </w:rPr>
        <w:t>with a hierarchy running from</w:t>
      </w:r>
      <w:r w:rsidR="00FB6CA1" w:rsidRPr="00FB6CA1">
        <w:rPr>
          <w:rFonts w:asciiTheme="majorBidi" w:eastAsia="PMingLiU" w:hAnsiTheme="majorBidi" w:cstheme="majorBidi"/>
          <w:sz w:val="24"/>
          <w:szCs w:val="24"/>
          <w:lang w:eastAsia="zh-TW"/>
        </w:rPr>
        <w:t xml:space="preserve"> manual</w:t>
      </w:r>
      <w:r w:rsidR="00FB6CA1">
        <w:rPr>
          <w:rFonts w:asciiTheme="majorBidi" w:eastAsia="PMingLiU" w:hAnsiTheme="majorBidi" w:cstheme="majorBidi"/>
          <w:sz w:val="24"/>
          <w:szCs w:val="24"/>
          <w:lang w:eastAsia="zh-TW"/>
        </w:rPr>
        <w:t xml:space="preserve"> </w:t>
      </w:r>
      <w:r w:rsidR="00FB6CA1" w:rsidRPr="00FB6CA1">
        <w:rPr>
          <w:rFonts w:asciiTheme="majorBidi" w:eastAsia="PMingLiU" w:hAnsiTheme="majorBidi" w:cstheme="majorBidi"/>
          <w:sz w:val="24"/>
          <w:szCs w:val="24"/>
          <w:lang w:eastAsia="zh-TW"/>
        </w:rPr>
        <w:t>classi</w:t>
      </w:r>
      <w:r w:rsidR="00B8373F">
        <w:rPr>
          <w:rFonts w:asciiTheme="majorBidi" w:eastAsia="PMingLiU" w:hAnsiTheme="majorBidi" w:cstheme="majorBidi"/>
          <w:sz w:val="24"/>
          <w:szCs w:val="24"/>
          <w:lang w:eastAsia="zh-TW"/>
        </w:rPr>
        <w:t>fic</w:t>
      </w:r>
      <w:r w:rsidR="00FB6CA1" w:rsidRPr="00FB6CA1">
        <w:rPr>
          <w:rFonts w:asciiTheme="majorBidi" w:eastAsia="PMingLiU" w:hAnsiTheme="majorBidi" w:cstheme="majorBidi"/>
          <w:sz w:val="24"/>
          <w:szCs w:val="24"/>
          <w:lang w:eastAsia="zh-TW"/>
        </w:rPr>
        <w:t>ation based on information in charity reports and websites, used for the</w:t>
      </w:r>
      <w:r w:rsidR="00FB6CA1">
        <w:rPr>
          <w:rFonts w:asciiTheme="majorBidi" w:eastAsia="PMingLiU" w:hAnsiTheme="majorBidi" w:cstheme="majorBidi"/>
          <w:sz w:val="24"/>
          <w:szCs w:val="24"/>
          <w:lang w:eastAsia="zh-TW"/>
        </w:rPr>
        <w:t xml:space="preserve"> </w:t>
      </w:r>
      <w:r w:rsidR="00FB6CA1" w:rsidRPr="00FB6CA1">
        <w:rPr>
          <w:rFonts w:asciiTheme="majorBidi" w:eastAsia="PMingLiU" w:hAnsiTheme="majorBidi" w:cstheme="majorBidi"/>
          <w:sz w:val="24"/>
          <w:szCs w:val="24"/>
          <w:lang w:eastAsia="zh-TW"/>
        </w:rPr>
        <w:t xml:space="preserve">largest charities, </w:t>
      </w:r>
      <w:r w:rsidR="00A8435B">
        <w:rPr>
          <w:rFonts w:asciiTheme="majorBidi" w:eastAsia="PMingLiU" w:hAnsiTheme="majorBidi" w:cstheme="majorBidi" w:hint="eastAsia"/>
          <w:sz w:val="24"/>
          <w:szCs w:val="24"/>
          <w:lang w:eastAsia="zh-TW"/>
        </w:rPr>
        <w:t xml:space="preserve">to less </w:t>
      </w:r>
      <w:r w:rsidR="00C27E61">
        <w:rPr>
          <w:rFonts w:asciiTheme="majorBidi" w:eastAsia="PMingLiU" w:hAnsiTheme="majorBidi" w:cstheme="majorBidi" w:hint="eastAsia"/>
          <w:sz w:val="24"/>
          <w:szCs w:val="24"/>
          <w:lang w:eastAsia="zh-TW"/>
        </w:rPr>
        <w:t xml:space="preserve">labour intensive matching procedures based on information on the Charity Commission Register, for smaller organisations.  The final step was to allocate hitherto unassigned charities, after each </w:t>
      </w:r>
      <w:r w:rsidR="00C27E61">
        <w:rPr>
          <w:rFonts w:asciiTheme="majorBidi" w:eastAsia="PMingLiU" w:hAnsiTheme="majorBidi" w:cstheme="majorBidi" w:hint="eastAsia"/>
          <w:sz w:val="24"/>
          <w:szCs w:val="24"/>
          <w:lang w:eastAsia="zh-TW"/>
        </w:rPr>
        <w:lastRenderedPageBreak/>
        <w:t xml:space="preserve">of the methods had been applied, to an ICNPO category using automatic classification software. </w:t>
      </w:r>
      <w:r w:rsidR="00BE285C">
        <w:rPr>
          <w:rFonts w:asciiTheme="majorBidi" w:eastAsia="PMingLiU" w:hAnsiTheme="majorBidi" w:cstheme="majorBidi" w:hint="eastAsia"/>
          <w:sz w:val="24"/>
          <w:szCs w:val="24"/>
          <w:lang w:eastAsia="zh-TW"/>
        </w:rPr>
        <w:t xml:space="preserve"> </w:t>
      </w:r>
      <w:r w:rsidR="00FA0ED4" w:rsidRPr="00FA0ED4">
        <w:rPr>
          <w:rFonts w:asciiTheme="majorBidi" w:eastAsia="PMingLiU" w:hAnsiTheme="majorBidi" w:cstheme="majorBidi"/>
          <w:sz w:val="24"/>
          <w:szCs w:val="24"/>
          <w:lang w:eastAsia="zh-TW"/>
        </w:rPr>
        <w:t>For the purposes of this paper’s analysis, when disaggregating by ICNPO we do not consider charities that were allocated to an ICNPO category in the final ‘automatic classification’ step, which was less reliable than other classification methods.  This promotes the coherence of the ICNPO categories and minimises the likelihood of considering organisations that have been classified in the wrong category.</w:t>
      </w:r>
    </w:p>
    <w:p w:rsidR="00E02B32" w:rsidRDefault="00E02B32" w:rsidP="0008251C">
      <w:pPr>
        <w:pStyle w:val="EndnoteText"/>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br w:type="page"/>
      </w:r>
    </w:p>
    <w:p w:rsidR="00E02B32" w:rsidRDefault="00E02B32" w:rsidP="00E02B32">
      <w:pPr>
        <w:spacing w:line="480" w:lineRule="auto"/>
        <w:contextualSpacing/>
        <w:rPr>
          <w:rFonts w:asciiTheme="majorBidi" w:eastAsia="PMingLiU" w:hAnsiTheme="majorBidi" w:cstheme="majorBidi"/>
          <w:b/>
          <w:bCs/>
          <w:sz w:val="24"/>
          <w:szCs w:val="24"/>
          <w:lang w:eastAsia="zh-TW"/>
        </w:rPr>
      </w:pPr>
      <w:bookmarkStart w:id="1" w:name="_ENREF_48"/>
      <w:r w:rsidRPr="00073BBA">
        <w:rPr>
          <w:rFonts w:asciiTheme="majorBidi" w:hAnsiTheme="majorBidi" w:cstheme="majorBidi"/>
          <w:b/>
          <w:bCs/>
          <w:sz w:val="24"/>
          <w:szCs w:val="24"/>
        </w:rPr>
        <w:lastRenderedPageBreak/>
        <w:t>References</w:t>
      </w:r>
    </w:p>
    <w:p w:rsidR="00833A74" w:rsidRPr="00833A74" w:rsidRDefault="00833A74" w:rsidP="00E02B32">
      <w:pPr>
        <w:spacing w:line="480" w:lineRule="auto"/>
        <w:contextualSpacing/>
        <w:rPr>
          <w:rFonts w:asciiTheme="majorBidi" w:eastAsia="PMingLiU" w:hAnsiTheme="majorBidi" w:cstheme="majorBidi"/>
          <w:b/>
          <w:bCs/>
          <w:sz w:val="24"/>
          <w:szCs w:val="24"/>
          <w:lang w:eastAsia="zh-TW"/>
        </w:rPr>
      </w:pPr>
    </w:p>
    <w:p w:rsidR="008F4F25" w:rsidRPr="00073BBA" w:rsidRDefault="008F4F25" w:rsidP="008F4F25">
      <w:pPr>
        <w:spacing w:after="0" w:line="480" w:lineRule="auto"/>
        <w:ind w:left="720" w:hanging="720"/>
        <w:contextualSpacing/>
        <w:jc w:val="both"/>
        <w:rPr>
          <w:rFonts w:asciiTheme="majorBidi" w:hAnsiTheme="majorBidi" w:cstheme="majorBidi"/>
          <w:noProof/>
          <w:sz w:val="24"/>
          <w:szCs w:val="24"/>
        </w:rPr>
      </w:pPr>
      <w:bookmarkStart w:id="2" w:name="_ENREF_14"/>
      <w:r w:rsidRPr="00073BBA">
        <w:rPr>
          <w:rFonts w:asciiTheme="majorBidi" w:hAnsiTheme="majorBidi" w:cstheme="majorBidi"/>
          <w:noProof/>
          <w:sz w:val="24"/>
          <w:szCs w:val="24"/>
        </w:rPr>
        <w:t xml:space="preserve">Cribb, J., Hood, A. and Joyce, R. (2015), </w:t>
      </w:r>
      <w:r w:rsidRPr="00073BBA">
        <w:rPr>
          <w:rFonts w:asciiTheme="majorBidi" w:hAnsiTheme="majorBidi" w:cstheme="majorBidi"/>
          <w:i/>
          <w:noProof/>
          <w:sz w:val="24"/>
          <w:szCs w:val="24"/>
        </w:rPr>
        <w:t>Living Standards: Recent Trends and Future Challenges.  IFS Briefing Note Bn165</w:t>
      </w:r>
      <w:r w:rsidRPr="00073BBA">
        <w:rPr>
          <w:rFonts w:asciiTheme="majorBidi" w:hAnsiTheme="majorBidi" w:cstheme="majorBidi"/>
          <w:noProof/>
          <w:sz w:val="24"/>
          <w:szCs w:val="24"/>
        </w:rPr>
        <w:t>, London: Institute for Fiscal Studies.</w:t>
      </w:r>
      <w:bookmarkEnd w:id="2"/>
    </w:p>
    <w:p w:rsidR="00E02B32" w:rsidRDefault="00E02B32" w:rsidP="00E02B32">
      <w:pPr>
        <w:spacing w:after="0" w:line="480" w:lineRule="auto"/>
        <w:ind w:left="720" w:hanging="720"/>
        <w:contextualSpacing/>
        <w:jc w:val="both"/>
        <w:rPr>
          <w:rFonts w:asciiTheme="majorBidi" w:eastAsia="PMingLiU" w:hAnsiTheme="majorBidi" w:cstheme="majorBidi"/>
          <w:noProof/>
          <w:sz w:val="24"/>
          <w:szCs w:val="24"/>
          <w:lang w:eastAsia="zh-TW"/>
        </w:rPr>
      </w:pPr>
      <w:bookmarkStart w:id="3" w:name="_ENREF_23"/>
      <w:r w:rsidRPr="00073BBA">
        <w:rPr>
          <w:rFonts w:asciiTheme="majorBidi" w:hAnsiTheme="majorBidi" w:cstheme="majorBidi"/>
          <w:noProof/>
          <w:sz w:val="24"/>
          <w:szCs w:val="24"/>
        </w:rPr>
        <w:t xml:space="preserve">Jenkins, S.P., Brandolini, A., Micklewright, J. and Nolan, B. (2012), </w:t>
      </w:r>
      <w:r w:rsidRPr="00073BBA">
        <w:rPr>
          <w:rFonts w:asciiTheme="majorBidi" w:hAnsiTheme="majorBidi" w:cstheme="majorBidi"/>
          <w:i/>
          <w:noProof/>
          <w:sz w:val="24"/>
          <w:szCs w:val="24"/>
        </w:rPr>
        <w:t>The Great Recession and the Distribution of Household Income</w:t>
      </w:r>
      <w:r w:rsidRPr="00073BBA">
        <w:rPr>
          <w:rFonts w:asciiTheme="majorBidi" w:hAnsiTheme="majorBidi" w:cstheme="majorBidi"/>
          <w:noProof/>
          <w:sz w:val="24"/>
          <w:szCs w:val="24"/>
        </w:rPr>
        <w:t>, Oxford: Oxford University Press.</w:t>
      </w:r>
      <w:bookmarkEnd w:id="3"/>
    </w:p>
    <w:p w:rsidR="00833A74" w:rsidRPr="00833A74" w:rsidRDefault="00833A74" w:rsidP="00833A74">
      <w:pPr>
        <w:spacing w:after="0" w:line="480" w:lineRule="auto"/>
        <w:ind w:left="720" w:hanging="720"/>
        <w:contextualSpacing/>
        <w:rPr>
          <w:rFonts w:asciiTheme="majorBidi" w:eastAsia="PMingLiU" w:hAnsiTheme="majorBidi" w:cstheme="majorBidi"/>
          <w:noProof/>
          <w:sz w:val="24"/>
          <w:szCs w:val="24"/>
          <w:lang w:eastAsia="zh-TW"/>
        </w:rPr>
      </w:pPr>
      <w:r w:rsidRPr="00833A74">
        <w:rPr>
          <w:rFonts w:asciiTheme="majorBidi" w:eastAsia="PMingLiU" w:hAnsiTheme="majorBidi" w:cstheme="majorBidi"/>
          <w:noProof/>
          <w:sz w:val="24"/>
          <w:szCs w:val="24"/>
          <w:lang w:eastAsia="zh-TW"/>
        </w:rPr>
        <w:t xml:space="preserve">Kane, D. (2009), </w:t>
      </w:r>
      <w:r w:rsidRPr="00833A74">
        <w:rPr>
          <w:rFonts w:asciiTheme="majorBidi" w:eastAsia="PMingLiU" w:hAnsiTheme="majorBidi" w:cstheme="majorBidi"/>
          <w:i/>
          <w:iCs/>
          <w:noProof/>
          <w:sz w:val="24"/>
          <w:szCs w:val="24"/>
          <w:lang w:eastAsia="zh-TW"/>
        </w:rPr>
        <w:t>Classification of Charities in England and Wales</w:t>
      </w:r>
      <w:r>
        <w:rPr>
          <w:rFonts w:asciiTheme="majorBidi" w:eastAsia="PMingLiU" w:hAnsiTheme="majorBidi" w:cstheme="majorBidi" w:hint="eastAsia"/>
          <w:noProof/>
          <w:sz w:val="24"/>
          <w:szCs w:val="24"/>
          <w:lang w:eastAsia="zh-TW"/>
        </w:rPr>
        <w:t>, London:</w:t>
      </w:r>
      <w:r w:rsidRPr="00833A74">
        <w:rPr>
          <w:rFonts w:asciiTheme="majorBidi" w:eastAsia="PMingLiU" w:hAnsiTheme="majorBidi" w:cstheme="majorBidi"/>
          <w:noProof/>
          <w:sz w:val="24"/>
          <w:szCs w:val="24"/>
          <w:lang w:eastAsia="zh-TW"/>
        </w:rPr>
        <w:t xml:space="preserve"> National Council of Voluntary Organisations.</w:t>
      </w:r>
    </w:p>
    <w:p w:rsidR="005B3533" w:rsidRDefault="005B3533" w:rsidP="005B3533">
      <w:pPr>
        <w:spacing w:after="0" w:line="480" w:lineRule="auto"/>
        <w:ind w:left="720" w:hanging="720"/>
        <w:contextualSpacing/>
        <w:jc w:val="both"/>
        <w:rPr>
          <w:rFonts w:asciiTheme="majorBidi" w:eastAsia="PMingLiU" w:hAnsiTheme="majorBidi" w:cstheme="majorBidi"/>
          <w:noProof/>
          <w:sz w:val="24"/>
          <w:szCs w:val="24"/>
          <w:lang w:eastAsia="zh-TW"/>
        </w:rPr>
      </w:pPr>
      <w:bookmarkStart w:id="4" w:name="_ENREF_26"/>
      <w:r w:rsidRPr="00073BBA">
        <w:rPr>
          <w:rFonts w:asciiTheme="majorBidi" w:hAnsiTheme="majorBidi" w:cstheme="majorBidi"/>
          <w:noProof/>
          <w:sz w:val="24"/>
          <w:szCs w:val="24"/>
        </w:rPr>
        <w:t xml:space="preserve">Kane, D., Heywood, J. and Bass, P. (2014), </w:t>
      </w:r>
      <w:r w:rsidRPr="00073BBA">
        <w:rPr>
          <w:rFonts w:asciiTheme="majorBidi" w:hAnsiTheme="majorBidi" w:cstheme="majorBidi"/>
          <w:i/>
          <w:noProof/>
          <w:sz w:val="24"/>
          <w:szCs w:val="24"/>
        </w:rPr>
        <w:t>The UK Civil Society Almanac</w:t>
      </w:r>
      <w:r w:rsidRPr="00073BBA">
        <w:rPr>
          <w:rFonts w:asciiTheme="majorBidi" w:hAnsiTheme="majorBidi" w:cstheme="majorBidi"/>
          <w:noProof/>
          <w:sz w:val="24"/>
          <w:szCs w:val="24"/>
        </w:rPr>
        <w:t>, London: National Council of Voluntary Organisations.</w:t>
      </w:r>
      <w:bookmarkEnd w:id="4"/>
    </w:p>
    <w:p w:rsidR="008F4F25" w:rsidRDefault="008F4F25" w:rsidP="008F4F25">
      <w:pPr>
        <w:spacing w:after="0" w:line="480" w:lineRule="auto"/>
        <w:ind w:left="720" w:hanging="720"/>
        <w:contextualSpacing/>
        <w:jc w:val="both"/>
        <w:rPr>
          <w:rFonts w:asciiTheme="majorBidi" w:eastAsia="PMingLiU" w:hAnsiTheme="majorBidi" w:cstheme="majorBidi"/>
          <w:noProof/>
          <w:sz w:val="24"/>
          <w:szCs w:val="24"/>
          <w:lang w:eastAsia="zh-TW"/>
        </w:rPr>
      </w:pPr>
      <w:bookmarkStart w:id="5" w:name="_ENREF_28"/>
      <w:r w:rsidRPr="00073BBA">
        <w:rPr>
          <w:rFonts w:asciiTheme="majorBidi" w:hAnsiTheme="majorBidi" w:cstheme="majorBidi"/>
          <w:noProof/>
          <w:sz w:val="24"/>
          <w:szCs w:val="24"/>
        </w:rPr>
        <w:t xml:space="preserve">Kendall, J. (2003), </w:t>
      </w:r>
      <w:r w:rsidRPr="00073BBA">
        <w:rPr>
          <w:rFonts w:asciiTheme="majorBidi" w:hAnsiTheme="majorBidi" w:cstheme="majorBidi"/>
          <w:i/>
          <w:noProof/>
          <w:sz w:val="24"/>
          <w:szCs w:val="24"/>
        </w:rPr>
        <w:t>The Voluntary Sector: Comparative Perspectives in the UK</w:t>
      </w:r>
      <w:r w:rsidRPr="00073BBA">
        <w:rPr>
          <w:rFonts w:asciiTheme="majorBidi" w:hAnsiTheme="majorBidi" w:cstheme="majorBidi"/>
          <w:noProof/>
          <w:sz w:val="24"/>
          <w:szCs w:val="24"/>
        </w:rPr>
        <w:t>, London; New York: Routledge.</w:t>
      </w:r>
      <w:bookmarkEnd w:id="5"/>
    </w:p>
    <w:p w:rsidR="00DD0F81" w:rsidRDefault="00DD0F81" w:rsidP="00753529">
      <w:pPr>
        <w:spacing w:after="0" w:line="480" w:lineRule="auto"/>
        <w:ind w:left="720" w:hanging="720"/>
        <w:contextualSpacing/>
        <w:jc w:val="both"/>
        <w:rPr>
          <w:rFonts w:asciiTheme="majorBidi" w:eastAsia="PMingLiU" w:hAnsiTheme="majorBidi" w:cstheme="majorBidi"/>
          <w:noProof/>
          <w:sz w:val="24"/>
          <w:szCs w:val="24"/>
          <w:lang w:eastAsia="zh-TW"/>
        </w:rPr>
      </w:pPr>
      <w:r w:rsidRPr="00DD0F81">
        <w:rPr>
          <w:rFonts w:asciiTheme="majorBidi" w:eastAsia="PMingLiU" w:hAnsiTheme="majorBidi" w:cstheme="majorBidi"/>
          <w:noProof/>
          <w:sz w:val="24"/>
          <w:szCs w:val="24"/>
          <w:lang w:eastAsia="zh-TW"/>
        </w:rPr>
        <w:t xml:space="preserve">Salamon, L. and Anheier, H. (1992), </w:t>
      </w:r>
      <w:r w:rsidRPr="00753529">
        <w:rPr>
          <w:rFonts w:asciiTheme="majorBidi" w:eastAsia="PMingLiU" w:hAnsiTheme="majorBidi" w:cstheme="majorBidi"/>
          <w:i/>
          <w:iCs/>
          <w:noProof/>
          <w:sz w:val="24"/>
          <w:szCs w:val="24"/>
          <w:lang w:eastAsia="zh-TW"/>
        </w:rPr>
        <w:t>In Search of the Nonprofit Sector I</w:t>
      </w:r>
      <w:r w:rsidRPr="00753529">
        <w:rPr>
          <w:rFonts w:asciiTheme="majorBidi" w:eastAsia="PMingLiU" w:hAnsiTheme="majorBidi" w:cstheme="majorBidi" w:hint="eastAsia"/>
          <w:i/>
          <w:iCs/>
          <w:noProof/>
          <w:sz w:val="24"/>
          <w:szCs w:val="24"/>
          <w:lang w:eastAsia="zh-TW"/>
        </w:rPr>
        <w:t>I</w:t>
      </w:r>
      <w:r w:rsidRPr="00753529">
        <w:rPr>
          <w:rFonts w:asciiTheme="majorBidi" w:eastAsia="PMingLiU" w:hAnsiTheme="majorBidi" w:cstheme="majorBidi"/>
          <w:i/>
          <w:iCs/>
          <w:noProof/>
          <w:sz w:val="24"/>
          <w:szCs w:val="24"/>
          <w:lang w:eastAsia="zh-TW"/>
        </w:rPr>
        <w:t>: The Problem of Classification. Working Papers of the Johns Hopkins Comparative Nonprofit Sector Project, No. 3</w:t>
      </w:r>
      <w:r w:rsidRPr="00DD0F81">
        <w:rPr>
          <w:rFonts w:asciiTheme="majorBidi" w:eastAsia="PMingLiU" w:hAnsiTheme="majorBidi" w:cstheme="majorBidi"/>
          <w:noProof/>
          <w:sz w:val="24"/>
          <w:szCs w:val="24"/>
          <w:lang w:eastAsia="zh-TW"/>
        </w:rPr>
        <w:t>, Baltimore: Johns Hopkins University Institute for Policy Studies.</w:t>
      </w:r>
    </w:p>
    <w:p w:rsidR="00833A74" w:rsidRDefault="00833A74" w:rsidP="00833A74">
      <w:pPr>
        <w:spacing w:after="0" w:line="480" w:lineRule="auto"/>
        <w:ind w:left="720" w:hanging="720"/>
        <w:contextualSpacing/>
        <w:jc w:val="both"/>
        <w:rPr>
          <w:rFonts w:asciiTheme="majorBidi" w:eastAsia="PMingLiU" w:hAnsiTheme="majorBidi" w:cstheme="majorBidi"/>
          <w:noProof/>
          <w:sz w:val="24"/>
          <w:szCs w:val="24"/>
          <w:lang w:eastAsia="zh-TW"/>
        </w:rPr>
      </w:pPr>
      <w:r w:rsidRPr="00833A74">
        <w:rPr>
          <w:rFonts w:asciiTheme="majorBidi" w:eastAsia="PMingLiU" w:hAnsiTheme="majorBidi" w:cstheme="majorBidi"/>
          <w:noProof/>
          <w:sz w:val="24"/>
          <w:szCs w:val="24"/>
          <w:lang w:eastAsia="zh-TW"/>
        </w:rPr>
        <w:t xml:space="preserve">Salamon, L. and Anheier, H. (1996), </w:t>
      </w:r>
      <w:r w:rsidRPr="00833A74">
        <w:rPr>
          <w:rFonts w:asciiTheme="majorBidi" w:eastAsia="PMingLiU" w:hAnsiTheme="majorBidi" w:cstheme="majorBidi"/>
          <w:i/>
          <w:iCs/>
          <w:noProof/>
          <w:sz w:val="24"/>
          <w:szCs w:val="24"/>
          <w:lang w:eastAsia="zh-TW"/>
        </w:rPr>
        <w:t>The International Classification of Nonprofit Organizations: Revision 1, 1996.  Working Papers of the Johns Hopkins Comparative Nonprofit Sector Project, No. 19</w:t>
      </w:r>
      <w:r w:rsidRPr="00833A74">
        <w:rPr>
          <w:rFonts w:asciiTheme="majorBidi" w:eastAsia="PMingLiU" w:hAnsiTheme="majorBidi" w:cstheme="majorBidi"/>
          <w:noProof/>
          <w:sz w:val="24"/>
          <w:szCs w:val="24"/>
          <w:lang w:eastAsia="zh-TW"/>
        </w:rPr>
        <w:t>, Baltimore: The Johns Hopkins Institute for Policy Studies.</w:t>
      </w:r>
    </w:p>
    <w:p w:rsidR="00833A74" w:rsidRPr="00DD0F81" w:rsidRDefault="00833A74" w:rsidP="00833A74">
      <w:pPr>
        <w:spacing w:after="0" w:line="480" w:lineRule="auto"/>
        <w:ind w:left="720" w:hanging="720"/>
        <w:contextualSpacing/>
        <w:jc w:val="both"/>
        <w:rPr>
          <w:rFonts w:asciiTheme="majorBidi" w:eastAsia="PMingLiU" w:hAnsiTheme="majorBidi" w:cstheme="majorBidi"/>
          <w:noProof/>
          <w:sz w:val="24"/>
          <w:szCs w:val="24"/>
          <w:lang w:eastAsia="zh-TW"/>
        </w:rPr>
      </w:pPr>
      <w:r w:rsidRPr="00833A74">
        <w:rPr>
          <w:rFonts w:asciiTheme="majorBidi" w:eastAsia="PMingLiU" w:hAnsiTheme="majorBidi" w:cstheme="majorBidi"/>
          <w:noProof/>
          <w:sz w:val="24"/>
          <w:szCs w:val="24"/>
          <w:lang w:eastAsia="zh-TW"/>
        </w:rPr>
        <w:t xml:space="preserve">Teasdale, S., Lyon, F. and Baldock, R. (2013), 'Playing with Numbers: A Methodological Critique of the Social Enterprise Growth Myth', </w:t>
      </w:r>
      <w:r w:rsidRPr="00833A74">
        <w:rPr>
          <w:rFonts w:asciiTheme="majorBidi" w:eastAsia="PMingLiU" w:hAnsiTheme="majorBidi" w:cstheme="majorBidi"/>
          <w:i/>
          <w:iCs/>
          <w:noProof/>
          <w:sz w:val="24"/>
          <w:szCs w:val="24"/>
          <w:lang w:eastAsia="zh-TW"/>
        </w:rPr>
        <w:t>Journal of Social Entrepreneurship</w:t>
      </w:r>
      <w:r w:rsidRPr="00833A74">
        <w:rPr>
          <w:rFonts w:asciiTheme="majorBidi" w:eastAsia="PMingLiU" w:hAnsiTheme="majorBidi" w:cstheme="majorBidi"/>
          <w:noProof/>
          <w:sz w:val="24"/>
          <w:szCs w:val="24"/>
          <w:lang w:eastAsia="zh-TW"/>
        </w:rPr>
        <w:t>, 4:2, 113-131.</w:t>
      </w:r>
    </w:p>
    <w:p w:rsidR="007F003D" w:rsidRPr="00306031" w:rsidRDefault="00E02B32" w:rsidP="00312B2F">
      <w:pPr>
        <w:spacing w:after="0" w:line="480" w:lineRule="auto"/>
        <w:ind w:left="720" w:hanging="720"/>
        <w:contextualSpacing/>
        <w:jc w:val="both"/>
        <w:rPr>
          <w:rFonts w:asciiTheme="majorBidi" w:eastAsia="PMingLiU" w:hAnsiTheme="majorBidi" w:cstheme="majorBidi"/>
          <w:sz w:val="24"/>
          <w:szCs w:val="24"/>
          <w:lang w:eastAsia="zh-TW"/>
        </w:rPr>
      </w:pPr>
      <w:r w:rsidRPr="00073BBA">
        <w:rPr>
          <w:rFonts w:asciiTheme="majorBidi" w:hAnsiTheme="majorBidi" w:cstheme="majorBidi"/>
          <w:noProof/>
          <w:sz w:val="24"/>
          <w:szCs w:val="24"/>
        </w:rPr>
        <w:t xml:space="preserve">UK Statistics Authority (2012), </w:t>
      </w:r>
      <w:r w:rsidRPr="00073BBA">
        <w:rPr>
          <w:rFonts w:asciiTheme="majorBidi" w:hAnsiTheme="majorBidi" w:cstheme="majorBidi"/>
          <w:i/>
          <w:noProof/>
          <w:sz w:val="24"/>
          <w:szCs w:val="24"/>
        </w:rPr>
        <w:t>Official Statistics and the Voluntary Sector. Monitoring Brief 5</w:t>
      </w:r>
      <w:r w:rsidRPr="00073BBA">
        <w:rPr>
          <w:rFonts w:asciiTheme="majorBidi" w:hAnsiTheme="majorBidi" w:cstheme="majorBidi"/>
          <w:noProof/>
          <w:sz w:val="24"/>
          <w:szCs w:val="24"/>
        </w:rPr>
        <w:t>, London: UK Statistics Authority.</w:t>
      </w:r>
      <w:bookmarkEnd w:id="1"/>
    </w:p>
    <w:p w:rsidR="007F003D" w:rsidRPr="00306031" w:rsidRDefault="007F003D" w:rsidP="0008251C">
      <w:pPr>
        <w:spacing w:line="480" w:lineRule="auto"/>
        <w:contextualSpacing/>
        <w:jc w:val="both"/>
        <w:rPr>
          <w:rFonts w:asciiTheme="majorBidi" w:eastAsia="PMingLiU" w:hAnsiTheme="majorBidi" w:cstheme="majorBidi"/>
          <w:b/>
          <w:bCs/>
          <w:sz w:val="24"/>
          <w:szCs w:val="24"/>
          <w:lang w:eastAsia="zh-TW"/>
        </w:rPr>
        <w:sectPr w:rsidR="007F003D" w:rsidRPr="00306031" w:rsidSect="000220A6">
          <w:pgSz w:w="11906" w:h="16838"/>
          <w:pgMar w:top="1440" w:right="1440" w:bottom="1440" w:left="1440" w:header="708" w:footer="708" w:gutter="0"/>
          <w:cols w:space="708"/>
          <w:docGrid w:linePitch="360"/>
        </w:sectPr>
      </w:pPr>
    </w:p>
    <w:p w:rsidR="000220A6" w:rsidRPr="00306031" w:rsidRDefault="000220A6" w:rsidP="0008251C">
      <w:pPr>
        <w:spacing w:line="480" w:lineRule="auto"/>
        <w:contextualSpacing/>
        <w:jc w:val="both"/>
        <w:rPr>
          <w:rFonts w:asciiTheme="majorBidi" w:hAnsiTheme="majorBidi" w:cstheme="majorBidi"/>
          <w:sz w:val="24"/>
          <w:szCs w:val="24"/>
        </w:rPr>
      </w:pPr>
    </w:p>
    <w:sectPr w:rsidR="000220A6" w:rsidRPr="00306031" w:rsidSect="000220A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68" w:rsidRDefault="00EB4768" w:rsidP="00FC0AE7">
      <w:pPr>
        <w:spacing w:after="0" w:line="240" w:lineRule="auto"/>
      </w:pPr>
      <w:r>
        <w:separator/>
      </w:r>
    </w:p>
  </w:endnote>
  <w:endnote w:type="continuationSeparator" w:id="0">
    <w:p w:rsidR="00EB4768" w:rsidRDefault="00EB4768" w:rsidP="00FC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68" w:rsidRDefault="00EB4768" w:rsidP="00FC0AE7">
      <w:pPr>
        <w:spacing w:after="0" w:line="240" w:lineRule="auto"/>
      </w:pPr>
      <w:r>
        <w:separator/>
      </w:r>
    </w:p>
  </w:footnote>
  <w:footnote w:type="continuationSeparator" w:id="0">
    <w:p w:rsidR="00EB4768" w:rsidRDefault="00EB4768" w:rsidP="00FC0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CEB"/>
    <w:multiLevelType w:val="hybridMultilevel"/>
    <w:tmpl w:val="CD4216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E02F3D"/>
    <w:multiLevelType w:val="hybridMultilevel"/>
    <w:tmpl w:val="58FE6194"/>
    <w:lvl w:ilvl="0" w:tplc="C6565D94">
      <w:start w:val="1"/>
      <w:numFmt w:val="decimal"/>
      <w:lvlText w:val="%1."/>
      <w:lvlJc w:val="left"/>
      <w:pPr>
        <w:ind w:left="360" w:hanging="360"/>
      </w:pPr>
      <w:rPr>
        <w:rFonts w:eastAsia="PMingLiU"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AEE2BCE"/>
    <w:multiLevelType w:val="hybridMultilevel"/>
    <w:tmpl w:val="1FA4250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116C39"/>
    <w:multiLevelType w:val="hybridMultilevel"/>
    <w:tmpl w:val="1426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7042E0"/>
    <w:multiLevelType w:val="hybridMultilevel"/>
    <w:tmpl w:val="F46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BD5AA7"/>
    <w:multiLevelType w:val="hybridMultilevel"/>
    <w:tmpl w:val="C86C4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4742C1"/>
    <w:multiLevelType w:val="hybridMultilevel"/>
    <w:tmpl w:val="8700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B13A24"/>
    <w:multiLevelType w:val="hybridMultilevel"/>
    <w:tmpl w:val="82F0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2E2E26"/>
    <w:multiLevelType w:val="hybridMultilevel"/>
    <w:tmpl w:val="EFF4E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D626E8"/>
    <w:multiLevelType w:val="hybridMultilevel"/>
    <w:tmpl w:val="B38C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47477B"/>
    <w:multiLevelType w:val="hybridMultilevel"/>
    <w:tmpl w:val="1FA425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372E01"/>
    <w:multiLevelType w:val="hybridMultilevel"/>
    <w:tmpl w:val="792AB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F51987"/>
    <w:multiLevelType w:val="hybridMultilevel"/>
    <w:tmpl w:val="AF364BD0"/>
    <w:lvl w:ilvl="0" w:tplc="AFEEE50C">
      <w:start w:val="1"/>
      <w:numFmt w:val="decimal"/>
      <w:lvlText w:val="%1."/>
      <w:lvlJc w:val="left"/>
      <w:pPr>
        <w:ind w:left="720" w:hanging="360"/>
      </w:pPr>
      <w:rPr>
        <w:rFonts w:eastAsia="PMingLi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742439"/>
    <w:multiLevelType w:val="hybridMultilevel"/>
    <w:tmpl w:val="8D4A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7"/>
  </w:num>
  <w:num w:numId="5">
    <w:abstractNumId w:val="12"/>
  </w:num>
  <w:num w:numId="6">
    <w:abstractNumId w:val="5"/>
  </w:num>
  <w:num w:numId="7">
    <w:abstractNumId w:val="0"/>
  </w:num>
  <w:num w:numId="8">
    <w:abstractNumId w:val="10"/>
  </w:num>
  <w:num w:numId="9">
    <w:abstractNumId w:val="4"/>
  </w:num>
  <w:num w:numId="10">
    <w:abstractNumId w:val="6"/>
  </w:num>
  <w:num w:numId="11">
    <w:abstractNumId w:val="11"/>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3D"/>
    <w:rsid w:val="00011B07"/>
    <w:rsid w:val="000220A6"/>
    <w:rsid w:val="00030B46"/>
    <w:rsid w:val="00034D45"/>
    <w:rsid w:val="0008251C"/>
    <w:rsid w:val="000858A6"/>
    <w:rsid w:val="000B2246"/>
    <w:rsid w:val="000C438C"/>
    <w:rsid w:val="000C59D0"/>
    <w:rsid w:val="000D24D3"/>
    <w:rsid w:val="000D4F76"/>
    <w:rsid w:val="000F454E"/>
    <w:rsid w:val="000F5DE7"/>
    <w:rsid w:val="001110B0"/>
    <w:rsid w:val="0011587A"/>
    <w:rsid w:val="00123CB8"/>
    <w:rsid w:val="00127398"/>
    <w:rsid w:val="00130EA9"/>
    <w:rsid w:val="00163DC3"/>
    <w:rsid w:val="00182C3A"/>
    <w:rsid w:val="00190077"/>
    <w:rsid w:val="001D5439"/>
    <w:rsid w:val="001D5F55"/>
    <w:rsid w:val="001E2342"/>
    <w:rsid w:val="001E51C4"/>
    <w:rsid w:val="001F3C1A"/>
    <w:rsid w:val="002412D7"/>
    <w:rsid w:val="00250777"/>
    <w:rsid w:val="00253353"/>
    <w:rsid w:val="00270568"/>
    <w:rsid w:val="002762F9"/>
    <w:rsid w:val="002775A4"/>
    <w:rsid w:val="00293712"/>
    <w:rsid w:val="002A7807"/>
    <w:rsid w:val="002C3097"/>
    <w:rsid w:val="002D53A3"/>
    <w:rsid w:val="002E489E"/>
    <w:rsid w:val="002F0B83"/>
    <w:rsid w:val="00301BDC"/>
    <w:rsid w:val="00306031"/>
    <w:rsid w:val="00312B2F"/>
    <w:rsid w:val="00313EDA"/>
    <w:rsid w:val="003222D4"/>
    <w:rsid w:val="003229C9"/>
    <w:rsid w:val="00324A9B"/>
    <w:rsid w:val="00333882"/>
    <w:rsid w:val="00333E7B"/>
    <w:rsid w:val="00374091"/>
    <w:rsid w:val="00374DFB"/>
    <w:rsid w:val="00381713"/>
    <w:rsid w:val="00390A0C"/>
    <w:rsid w:val="003B0F3F"/>
    <w:rsid w:val="003B6461"/>
    <w:rsid w:val="003E0E7A"/>
    <w:rsid w:val="003E0FAC"/>
    <w:rsid w:val="003F6A7A"/>
    <w:rsid w:val="004068E4"/>
    <w:rsid w:val="00414AD3"/>
    <w:rsid w:val="00434955"/>
    <w:rsid w:val="004467C1"/>
    <w:rsid w:val="00463733"/>
    <w:rsid w:val="00496172"/>
    <w:rsid w:val="004B7C6B"/>
    <w:rsid w:val="004D27F3"/>
    <w:rsid w:val="004E6192"/>
    <w:rsid w:val="00502EEB"/>
    <w:rsid w:val="00536A96"/>
    <w:rsid w:val="00537502"/>
    <w:rsid w:val="00546DEE"/>
    <w:rsid w:val="00570AFB"/>
    <w:rsid w:val="005A3DD5"/>
    <w:rsid w:val="005B3533"/>
    <w:rsid w:val="005C1671"/>
    <w:rsid w:val="005C72F7"/>
    <w:rsid w:val="005F4D68"/>
    <w:rsid w:val="0061450F"/>
    <w:rsid w:val="0061643D"/>
    <w:rsid w:val="006175FC"/>
    <w:rsid w:val="006248D7"/>
    <w:rsid w:val="00640F25"/>
    <w:rsid w:val="0066793C"/>
    <w:rsid w:val="00681CA3"/>
    <w:rsid w:val="006A0C46"/>
    <w:rsid w:val="006A1F04"/>
    <w:rsid w:val="006A33B9"/>
    <w:rsid w:val="006A5273"/>
    <w:rsid w:val="006B7036"/>
    <w:rsid w:val="006E371F"/>
    <w:rsid w:val="006E6A0D"/>
    <w:rsid w:val="007334BD"/>
    <w:rsid w:val="007504BF"/>
    <w:rsid w:val="00753529"/>
    <w:rsid w:val="00770489"/>
    <w:rsid w:val="0078562F"/>
    <w:rsid w:val="0079375D"/>
    <w:rsid w:val="007A14BA"/>
    <w:rsid w:val="007B1EF7"/>
    <w:rsid w:val="007F003D"/>
    <w:rsid w:val="008045EC"/>
    <w:rsid w:val="008174E6"/>
    <w:rsid w:val="00824315"/>
    <w:rsid w:val="00832B35"/>
    <w:rsid w:val="00833A74"/>
    <w:rsid w:val="00840C15"/>
    <w:rsid w:val="008436D4"/>
    <w:rsid w:val="008B15B9"/>
    <w:rsid w:val="008C72C2"/>
    <w:rsid w:val="008E0BF1"/>
    <w:rsid w:val="008E66A7"/>
    <w:rsid w:val="008F4F25"/>
    <w:rsid w:val="008F5653"/>
    <w:rsid w:val="0090451B"/>
    <w:rsid w:val="00907176"/>
    <w:rsid w:val="009210DF"/>
    <w:rsid w:val="009503C9"/>
    <w:rsid w:val="009504A0"/>
    <w:rsid w:val="00950BDC"/>
    <w:rsid w:val="00963AB2"/>
    <w:rsid w:val="00983A92"/>
    <w:rsid w:val="0099156E"/>
    <w:rsid w:val="0099518A"/>
    <w:rsid w:val="009954D4"/>
    <w:rsid w:val="009B32DC"/>
    <w:rsid w:val="009C295D"/>
    <w:rsid w:val="009D5D3A"/>
    <w:rsid w:val="00A0155B"/>
    <w:rsid w:val="00A10E88"/>
    <w:rsid w:val="00A17C7F"/>
    <w:rsid w:val="00A17C9D"/>
    <w:rsid w:val="00A215D6"/>
    <w:rsid w:val="00A26091"/>
    <w:rsid w:val="00A43E81"/>
    <w:rsid w:val="00A52F0D"/>
    <w:rsid w:val="00A537A7"/>
    <w:rsid w:val="00A6020B"/>
    <w:rsid w:val="00A66A4E"/>
    <w:rsid w:val="00A823D5"/>
    <w:rsid w:val="00A841AD"/>
    <w:rsid w:val="00A8435B"/>
    <w:rsid w:val="00A86E9A"/>
    <w:rsid w:val="00A904F0"/>
    <w:rsid w:val="00A90C1B"/>
    <w:rsid w:val="00AC65D8"/>
    <w:rsid w:val="00AD0610"/>
    <w:rsid w:val="00AD15D0"/>
    <w:rsid w:val="00AD3E9E"/>
    <w:rsid w:val="00AD47AE"/>
    <w:rsid w:val="00AE765B"/>
    <w:rsid w:val="00AF5146"/>
    <w:rsid w:val="00B25548"/>
    <w:rsid w:val="00B60AF0"/>
    <w:rsid w:val="00B64A5D"/>
    <w:rsid w:val="00B663CA"/>
    <w:rsid w:val="00B752B8"/>
    <w:rsid w:val="00B8373F"/>
    <w:rsid w:val="00BA6610"/>
    <w:rsid w:val="00BE0DAC"/>
    <w:rsid w:val="00BE285C"/>
    <w:rsid w:val="00BF4869"/>
    <w:rsid w:val="00BF573A"/>
    <w:rsid w:val="00BF6DAB"/>
    <w:rsid w:val="00C017CA"/>
    <w:rsid w:val="00C101C6"/>
    <w:rsid w:val="00C175E1"/>
    <w:rsid w:val="00C27E08"/>
    <w:rsid w:val="00C27E61"/>
    <w:rsid w:val="00C35884"/>
    <w:rsid w:val="00C477AB"/>
    <w:rsid w:val="00C63F6A"/>
    <w:rsid w:val="00C75BBC"/>
    <w:rsid w:val="00CA0CA8"/>
    <w:rsid w:val="00CA1252"/>
    <w:rsid w:val="00CC2EB1"/>
    <w:rsid w:val="00CC5681"/>
    <w:rsid w:val="00CD246D"/>
    <w:rsid w:val="00CD7B26"/>
    <w:rsid w:val="00CF3325"/>
    <w:rsid w:val="00D603D7"/>
    <w:rsid w:val="00D62A1B"/>
    <w:rsid w:val="00DA3150"/>
    <w:rsid w:val="00DD0F81"/>
    <w:rsid w:val="00DE2E44"/>
    <w:rsid w:val="00DE57E3"/>
    <w:rsid w:val="00DF1F5B"/>
    <w:rsid w:val="00DF2AC3"/>
    <w:rsid w:val="00E01068"/>
    <w:rsid w:val="00E02B32"/>
    <w:rsid w:val="00E13AC3"/>
    <w:rsid w:val="00E4104C"/>
    <w:rsid w:val="00E608DD"/>
    <w:rsid w:val="00E77160"/>
    <w:rsid w:val="00E95B49"/>
    <w:rsid w:val="00EA1710"/>
    <w:rsid w:val="00EA3BBC"/>
    <w:rsid w:val="00EB4768"/>
    <w:rsid w:val="00EE1291"/>
    <w:rsid w:val="00F03891"/>
    <w:rsid w:val="00F136FF"/>
    <w:rsid w:val="00F30CCE"/>
    <w:rsid w:val="00F528C5"/>
    <w:rsid w:val="00F60C09"/>
    <w:rsid w:val="00F9420C"/>
    <w:rsid w:val="00FA0ED4"/>
    <w:rsid w:val="00FA4D4C"/>
    <w:rsid w:val="00FB0FF5"/>
    <w:rsid w:val="00FB6CA1"/>
    <w:rsid w:val="00FC0AE7"/>
    <w:rsid w:val="00FE2F40"/>
    <w:rsid w:val="00FE45AD"/>
    <w:rsid w:val="00FE5ECE"/>
    <w:rsid w:val="00FE6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3D"/>
    <w:pPr>
      <w:ind w:left="720"/>
      <w:contextualSpacing/>
    </w:pPr>
  </w:style>
  <w:style w:type="table" w:styleId="TableGrid">
    <w:name w:val="Table Grid"/>
    <w:basedOn w:val="TableNormal"/>
    <w:uiPriority w:val="59"/>
    <w:rsid w:val="007F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220A6"/>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rsid w:val="000220A6"/>
    <w:rPr>
      <w:rFonts w:ascii="Times New Roman" w:eastAsia="SimSun" w:hAnsi="Times New Roman" w:cs="Times New Roman"/>
      <w:sz w:val="20"/>
      <w:szCs w:val="20"/>
    </w:rPr>
  </w:style>
  <w:style w:type="character" w:styleId="EndnoteReference">
    <w:name w:val="endnote reference"/>
    <w:basedOn w:val="DefaultParagraphFont"/>
    <w:uiPriority w:val="99"/>
    <w:unhideWhenUsed/>
    <w:rsid w:val="00FC0AE7"/>
    <w:rPr>
      <w:vertAlign w:val="superscript"/>
    </w:rPr>
  </w:style>
  <w:style w:type="paragraph" w:styleId="BalloonText">
    <w:name w:val="Balloon Text"/>
    <w:basedOn w:val="Normal"/>
    <w:link w:val="BalloonTextChar"/>
    <w:uiPriority w:val="99"/>
    <w:semiHidden/>
    <w:unhideWhenUsed/>
    <w:rsid w:val="00A1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9D"/>
    <w:rPr>
      <w:rFonts w:ascii="Tahoma" w:hAnsi="Tahoma" w:cs="Tahoma"/>
      <w:sz w:val="16"/>
      <w:szCs w:val="16"/>
    </w:rPr>
  </w:style>
  <w:style w:type="paragraph" w:styleId="NormalWeb">
    <w:name w:val="Normal (Web)"/>
    <w:basedOn w:val="Normal"/>
    <w:uiPriority w:val="99"/>
    <w:unhideWhenUsed/>
    <w:rsid w:val="00EA3BB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B1E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3D"/>
    <w:pPr>
      <w:ind w:left="720"/>
      <w:contextualSpacing/>
    </w:pPr>
  </w:style>
  <w:style w:type="table" w:styleId="TableGrid">
    <w:name w:val="Table Grid"/>
    <w:basedOn w:val="TableNormal"/>
    <w:uiPriority w:val="59"/>
    <w:rsid w:val="007F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220A6"/>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rsid w:val="000220A6"/>
    <w:rPr>
      <w:rFonts w:ascii="Times New Roman" w:eastAsia="SimSun" w:hAnsi="Times New Roman" w:cs="Times New Roman"/>
      <w:sz w:val="20"/>
      <w:szCs w:val="20"/>
    </w:rPr>
  </w:style>
  <w:style w:type="character" w:styleId="EndnoteReference">
    <w:name w:val="endnote reference"/>
    <w:basedOn w:val="DefaultParagraphFont"/>
    <w:uiPriority w:val="99"/>
    <w:unhideWhenUsed/>
    <w:rsid w:val="00FC0AE7"/>
    <w:rPr>
      <w:vertAlign w:val="superscript"/>
    </w:rPr>
  </w:style>
  <w:style w:type="paragraph" w:styleId="BalloonText">
    <w:name w:val="Balloon Text"/>
    <w:basedOn w:val="Normal"/>
    <w:link w:val="BalloonTextChar"/>
    <w:uiPriority w:val="99"/>
    <w:semiHidden/>
    <w:unhideWhenUsed/>
    <w:rsid w:val="00A1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9D"/>
    <w:rPr>
      <w:rFonts w:ascii="Tahoma" w:hAnsi="Tahoma" w:cs="Tahoma"/>
      <w:sz w:val="16"/>
      <w:szCs w:val="16"/>
    </w:rPr>
  </w:style>
  <w:style w:type="paragraph" w:styleId="NormalWeb">
    <w:name w:val="Normal (Web)"/>
    <w:basedOn w:val="Normal"/>
    <w:uiPriority w:val="99"/>
    <w:unhideWhenUsed/>
    <w:rsid w:val="00EA3BB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B1E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3257</Words>
  <Characters>17165</Characters>
  <Application>Microsoft Office Word</Application>
  <DocSecurity>0</DocSecurity>
  <Lines>2452</Lines>
  <Paragraphs>2042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D.M.</dc:creator>
  <cp:lastModifiedBy>Clifford D.M.</cp:lastModifiedBy>
  <cp:revision>9</cp:revision>
  <cp:lastPrinted>2016-01-30T13:51:00Z</cp:lastPrinted>
  <dcterms:created xsi:type="dcterms:W3CDTF">2016-01-30T19:42:00Z</dcterms:created>
  <dcterms:modified xsi:type="dcterms:W3CDTF">2016-01-30T21:45:00Z</dcterms:modified>
</cp:coreProperties>
</file>