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3C" w:rsidRDefault="00177B3C" w:rsidP="00177B3C">
      <w:pPr>
        <w:pStyle w:val="Heading1"/>
      </w:pPr>
      <w:r>
        <w:t>Web Appendices</w:t>
      </w:r>
    </w:p>
    <w:p w:rsidR="00177B3C" w:rsidRDefault="00177B3C" w:rsidP="00177B3C">
      <w:bookmarkStart w:id="0" w:name="_GoBack"/>
      <w:bookmarkEnd w:id="0"/>
      <w:r>
        <w:t>This document contains the Web Appendices, intended to be available electronically either from the journal website or my own website. These are for additional transparency for parts of the analysis that would previously not be publicly available (e.g. to avoid the situation of stating ‘details available on request’).</w:t>
      </w:r>
    </w:p>
    <w:p w:rsidR="00177B3C" w:rsidRDefault="00177B3C" w:rsidP="00177B3C"/>
    <w:p w:rsidR="00177B3C" w:rsidRDefault="00177B3C" w:rsidP="00177B3C">
      <w:pPr>
        <w:pStyle w:val="Heading3"/>
      </w:pPr>
      <w:r>
        <w:t>Table of Contents</w:t>
      </w:r>
    </w:p>
    <w:p w:rsidR="000E6626" w:rsidRDefault="00177B3C">
      <w:pPr>
        <w:pStyle w:val="TOC1"/>
        <w:tabs>
          <w:tab w:val="left" w:pos="1920"/>
          <w:tab w:val="right" w:leader="dot" w:pos="9016"/>
        </w:tabs>
        <w:rPr>
          <w:rFonts w:asciiTheme="minorHAnsi" w:eastAsiaTheme="minorEastAsia" w:hAnsiTheme="minorHAnsi"/>
          <w:i w:val="0"/>
          <w:noProof/>
          <w:lang w:eastAsia="en-GB"/>
        </w:rPr>
      </w:pPr>
      <w:r>
        <w:fldChar w:fldCharType="begin"/>
      </w:r>
      <w:r>
        <w:instrText xml:space="preserve"> TOC \h \z \u \t "Heading 2,1" </w:instrText>
      </w:r>
      <w:r>
        <w:fldChar w:fldCharType="separate"/>
      </w:r>
      <w:hyperlink w:anchor="_Toc360900310" w:history="1">
        <w:r w:rsidR="000E6626" w:rsidRPr="00FC413C">
          <w:rPr>
            <w:rStyle w:val="Hyperlink"/>
            <w:noProof/>
          </w:rPr>
          <w:t>Web Appendix 1.</w:t>
        </w:r>
        <w:r w:rsidR="000E6626">
          <w:rPr>
            <w:rFonts w:asciiTheme="minorHAnsi" w:eastAsiaTheme="minorEastAsia" w:hAnsiTheme="minorHAnsi"/>
            <w:i w:val="0"/>
            <w:noProof/>
            <w:lang w:eastAsia="en-GB"/>
          </w:rPr>
          <w:tab/>
        </w:r>
        <w:r w:rsidR="000E6626" w:rsidRPr="00FC413C">
          <w:rPr>
            <w:rStyle w:val="Hyperlink"/>
            <w:noProof/>
          </w:rPr>
          <w:t>Additional references</w:t>
        </w:r>
        <w:r w:rsidR="000E6626">
          <w:rPr>
            <w:noProof/>
            <w:webHidden/>
          </w:rPr>
          <w:tab/>
        </w:r>
        <w:r w:rsidR="000E6626">
          <w:rPr>
            <w:noProof/>
            <w:webHidden/>
          </w:rPr>
          <w:fldChar w:fldCharType="begin"/>
        </w:r>
        <w:r w:rsidR="000E6626">
          <w:rPr>
            <w:noProof/>
            <w:webHidden/>
          </w:rPr>
          <w:instrText xml:space="preserve"> PAGEREF _Toc360900310 \h </w:instrText>
        </w:r>
        <w:r w:rsidR="000E6626">
          <w:rPr>
            <w:noProof/>
            <w:webHidden/>
          </w:rPr>
        </w:r>
        <w:r w:rsidR="000E6626">
          <w:rPr>
            <w:noProof/>
            <w:webHidden/>
          </w:rPr>
          <w:fldChar w:fldCharType="separate"/>
        </w:r>
        <w:r w:rsidR="000E6626">
          <w:rPr>
            <w:noProof/>
            <w:webHidden/>
          </w:rPr>
          <w:t>1</w:t>
        </w:r>
        <w:r w:rsidR="000E6626">
          <w:rPr>
            <w:noProof/>
            <w:webHidden/>
          </w:rPr>
          <w:fldChar w:fldCharType="end"/>
        </w:r>
      </w:hyperlink>
    </w:p>
    <w:p w:rsidR="000E6626" w:rsidRDefault="000E6626">
      <w:pPr>
        <w:pStyle w:val="TOC1"/>
        <w:tabs>
          <w:tab w:val="left" w:pos="1920"/>
          <w:tab w:val="right" w:leader="dot" w:pos="9016"/>
        </w:tabs>
        <w:rPr>
          <w:rFonts w:asciiTheme="minorHAnsi" w:eastAsiaTheme="minorEastAsia" w:hAnsiTheme="minorHAnsi"/>
          <w:i w:val="0"/>
          <w:noProof/>
          <w:lang w:eastAsia="en-GB"/>
        </w:rPr>
      </w:pPr>
      <w:hyperlink w:anchor="_Toc360900311" w:history="1">
        <w:r w:rsidRPr="00FC413C">
          <w:rPr>
            <w:rStyle w:val="Hyperlink"/>
            <w:noProof/>
          </w:rPr>
          <w:t>Web Appendix 2.</w:t>
        </w:r>
        <w:r>
          <w:rPr>
            <w:rFonts w:asciiTheme="minorHAnsi" w:eastAsiaTheme="minorEastAsia" w:hAnsiTheme="minorHAnsi"/>
            <w:i w:val="0"/>
            <w:noProof/>
            <w:lang w:eastAsia="en-GB"/>
          </w:rPr>
          <w:tab/>
        </w:r>
        <w:r w:rsidRPr="00FC413C">
          <w:rPr>
            <w:rStyle w:val="Hyperlink"/>
            <w:noProof/>
          </w:rPr>
          <w:t>Creation of demands/control/physicality scales</w:t>
        </w:r>
        <w:r>
          <w:rPr>
            <w:noProof/>
            <w:webHidden/>
          </w:rPr>
          <w:tab/>
        </w:r>
        <w:r>
          <w:rPr>
            <w:noProof/>
            <w:webHidden/>
          </w:rPr>
          <w:fldChar w:fldCharType="begin"/>
        </w:r>
        <w:r>
          <w:rPr>
            <w:noProof/>
            <w:webHidden/>
          </w:rPr>
          <w:instrText xml:space="preserve"> PAGEREF _Toc360900311 \h </w:instrText>
        </w:r>
        <w:r>
          <w:rPr>
            <w:noProof/>
            <w:webHidden/>
          </w:rPr>
        </w:r>
        <w:r>
          <w:rPr>
            <w:noProof/>
            <w:webHidden/>
          </w:rPr>
          <w:fldChar w:fldCharType="separate"/>
        </w:r>
        <w:r>
          <w:rPr>
            <w:noProof/>
            <w:webHidden/>
          </w:rPr>
          <w:t>2</w:t>
        </w:r>
        <w:r>
          <w:rPr>
            <w:noProof/>
            <w:webHidden/>
          </w:rPr>
          <w:fldChar w:fldCharType="end"/>
        </w:r>
      </w:hyperlink>
    </w:p>
    <w:p w:rsidR="000E6626" w:rsidRDefault="000E6626">
      <w:pPr>
        <w:pStyle w:val="TOC1"/>
        <w:tabs>
          <w:tab w:val="left" w:pos="1920"/>
          <w:tab w:val="right" w:leader="dot" w:pos="9016"/>
        </w:tabs>
        <w:rPr>
          <w:rFonts w:asciiTheme="minorHAnsi" w:eastAsiaTheme="minorEastAsia" w:hAnsiTheme="minorHAnsi"/>
          <w:i w:val="0"/>
          <w:noProof/>
          <w:lang w:eastAsia="en-GB"/>
        </w:rPr>
      </w:pPr>
      <w:hyperlink w:anchor="_Toc360900312" w:history="1">
        <w:r w:rsidRPr="00FC413C">
          <w:rPr>
            <w:rStyle w:val="Hyperlink"/>
            <w:noProof/>
          </w:rPr>
          <w:t>Web Appendix 3.</w:t>
        </w:r>
        <w:r>
          <w:rPr>
            <w:rFonts w:asciiTheme="minorHAnsi" w:eastAsiaTheme="minorEastAsia" w:hAnsiTheme="minorHAnsi"/>
            <w:i w:val="0"/>
            <w:noProof/>
            <w:lang w:eastAsia="en-GB"/>
          </w:rPr>
          <w:tab/>
        </w:r>
        <w:r w:rsidRPr="00FC413C">
          <w:rPr>
            <w:rStyle w:val="Hyperlink"/>
            <w:noProof/>
          </w:rPr>
          <w:t>The bespoke occupational classification</w:t>
        </w:r>
        <w:r>
          <w:rPr>
            <w:noProof/>
            <w:webHidden/>
          </w:rPr>
          <w:tab/>
        </w:r>
        <w:r>
          <w:rPr>
            <w:noProof/>
            <w:webHidden/>
          </w:rPr>
          <w:fldChar w:fldCharType="begin"/>
        </w:r>
        <w:r>
          <w:rPr>
            <w:noProof/>
            <w:webHidden/>
          </w:rPr>
          <w:instrText xml:space="preserve"> PAGEREF _Toc360900312 \h </w:instrText>
        </w:r>
        <w:r>
          <w:rPr>
            <w:noProof/>
            <w:webHidden/>
          </w:rPr>
        </w:r>
        <w:r>
          <w:rPr>
            <w:noProof/>
            <w:webHidden/>
          </w:rPr>
          <w:fldChar w:fldCharType="separate"/>
        </w:r>
        <w:r>
          <w:rPr>
            <w:noProof/>
            <w:webHidden/>
          </w:rPr>
          <w:t>7</w:t>
        </w:r>
        <w:r>
          <w:rPr>
            <w:noProof/>
            <w:webHidden/>
          </w:rPr>
          <w:fldChar w:fldCharType="end"/>
        </w:r>
      </w:hyperlink>
    </w:p>
    <w:p w:rsidR="000E6626" w:rsidRDefault="000E6626">
      <w:pPr>
        <w:pStyle w:val="TOC1"/>
        <w:tabs>
          <w:tab w:val="left" w:pos="1920"/>
          <w:tab w:val="right" w:leader="dot" w:pos="9016"/>
        </w:tabs>
        <w:rPr>
          <w:rFonts w:asciiTheme="minorHAnsi" w:eastAsiaTheme="minorEastAsia" w:hAnsiTheme="minorHAnsi"/>
          <w:i w:val="0"/>
          <w:noProof/>
          <w:lang w:eastAsia="en-GB"/>
        </w:rPr>
      </w:pPr>
      <w:hyperlink w:anchor="_Toc360900313" w:history="1">
        <w:r w:rsidRPr="00FC413C">
          <w:rPr>
            <w:rStyle w:val="Hyperlink"/>
            <w:noProof/>
          </w:rPr>
          <w:t>Web Appendix 4.</w:t>
        </w:r>
        <w:r>
          <w:rPr>
            <w:rFonts w:asciiTheme="minorHAnsi" w:eastAsiaTheme="minorEastAsia" w:hAnsiTheme="minorHAnsi"/>
            <w:i w:val="0"/>
            <w:noProof/>
            <w:lang w:eastAsia="en-GB"/>
          </w:rPr>
          <w:tab/>
        </w:r>
        <w:r w:rsidRPr="00FC413C">
          <w:rPr>
            <w:rStyle w:val="Hyperlink"/>
            <w:noProof/>
          </w:rPr>
          <w:t>Creating consistent classifications</w:t>
        </w:r>
        <w:r>
          <w:rPr>
            <w:noProof/>
            <w:webHidden/>
          </w:rPr>
          <w:tab/>
        </w:r>
        <w:r>
          <w:rPr>
            <w:noProof/>
            <w:webHidden/>
          </w:rPr>
          <w:fldChar w:fldCharType="begin"/>
        </w:r>
        <w:r>
          <w:rPr>
            <w:noProof/>
            <w:webHidden/>
          </w:rPr>
          <w:instrText xml:space="preserve"> PAGEREF _Toc360900313 \h </w:instrText>
        </w:r>
        <w:r>
          <w:rPr>
            <w:noProof/>
            <w:webHidden/>
          </w:rPr>
        </w:r>
        <w:r>
          <w:rPr>
            <w:noProof/>
            <w:webHidden/>
          </w:rPr>
          <w:fldChar w:fldCharType="separate"/>
        </w:r>
        <w:r>
          <w:rPr>
            <w:noProof/>
            <w:webHidden/>
          </w:rPr>
          <w:t>12</w:t>
        </w:r>
        <w:r>
          <w:rPr>
            <w:noProof/>
            <w:webHidden/>
          </w:rPr>
          <w:fldChar w:fldCharType="end"/>
        </w:r>
      </w:hyperlink>
    </w:p>
    <w:p w:rsidR="000E6626" w:rsidRDefault="000E6626">
      <w:pPr>
        <w:pStyle w:val="TOC1"/>
        <w:tabs>
          <w:tab w:val="left" w:pos="1920"/>
          <w:tab w:val="right" w:leader="dot" w:pos="9016"/>
        </w:tabs>
        <w:rPr>
          <w:rFonts w:asciiTheme="minorHAnsi" w:eastAsiaTheme="minorEastAsia" w:hAnsiTheme="minorHAnsi"/>
          <w:i w:val="0"/>
          <w:noProof/>
          <w:lang w:eastAsia="en-GB"/>
        </w:rPr>
      </w:pPr>
      <w:hyperlink w:anchor="_Toc360900314" w:history="1">
        <w:r w:rsidRPr="00FC413C">
          <w:rPr>
            <w:rStyle w:val="Hyperlink"/>
            <w:noProof/>
          </w:rPr>
          <w:t>Web Appendix 5.</w:t>
        </w:r>
        <w:r>
          <w:rPr>
            <w:rFonts w:asciiTheme="minorHAnsi" w:eastAsiaTheme="minorEastAsia" w:hAnsiTheme="minorHAnsi"/>
            <w:i w:val="0"/>
            <w:noProof/>
            <w:lang w:eastAsia="en-GB"/>
          </w:rPr>
          <w:tab/>
        </w:r>
        <w:r w:rsidRPr="00FC413C">
          <w:rPr>
            <w:rStyle w:val="Hyperlink"/>
            <w:noProof/>
          </w:rPr>
          <w:t>Control variables &amp; secondary outcome variables</w:t>
        </w:r>
        <w:r>
          <w:rPr>
            <w:noProof/>
            <w:webHidden/>
          </w:rPr>
          <w:tab/>
        </w:r>
        <w:r>
          <w:rPr>
            <w:noProof/>
            <w:webHidden/>
          </w:rPr>
          <w:fldChar w:fldCharType="begin"/>
        </w:r>
        <w:r>
          <w:rPr>
            <w:noProof/>
            <w:webHidden/>
          </w:rPr>
          <w:instrText xml:space="preserve"> PAGEREF _Toc360900314 \h </w:instrText>
        </w:r>
        <w:r>
          <w:rPr>
            <w:noProof/>
            <w:webHidden/>
          </w:rPr>
        </w:r>
        <w:r>
          <w:rPr>
            <w:noProof/>
            <w:webHidden/>
          </w:rPr>
          <w:fldChar w:fldCharType="separate"/>
        </w:r>
        <w:r>
          <w:rPr>
            <w:noProof/>
            <w:webHidden/>
          </w:rPr>
          <w:t>15</w:t>
        </w:r>
        <w:r>
          <w:rPr>
            <w:noProof/>
            <w:webHidden/>
          </w:rPr>
          <w:fldChar w:fldCharType="end"/>
        </w:r>
      </w:hyperlink>
    </w:p>
    <w:p w:rsidR="000E6626" w:rsidRDefault="000E6626">
      <w:pPr>
        <w:pStyle w:val="TOC1"/>
        <w:tabs>
          <w:tab w:val="left" w:pos="1920"/>
          <w:tab w:val="right" w:leader="dot" w:pos="9016"/>
        </w:tabs>
        <w:rPr>
          <w:rFonts w:asciiTheme="minorHAnsi" w:eastAsiaTheme="minorEastAsia" w:hAnsiTheme="minorHAnsi"/>
          <w:i w:val="0"/>
          <w:noProof/>
          <w:lang w:eastAsia="en-GB"/>
        </w:rPr>
      </w:pPr>
      <w:hyperlink w:anchor="_Toc360900315" w:history="1">
        <w:r w:rsidRPr="00FC413C">
          <w:rPr>
            <w:rStyle w:val="Hyperlink"/>
            <w:noProof/>
          </w:rPr>
          <w:t>Web Appendix 6.</w:t>
        </w:r>
        <w:r>
          <w:rPr>
            <w:rFonts w:asciiTheme="minorHAnsi" w:eastAsiaTheme="minorEastAsia" w:hAnsiTheme="minorHAnsi"/>
            <w:i w:val="0"/>
            <w:noProof/>
            <w:lang w:eastAsia="en-GB"/>
          </w:rPr>
          <w:tab/>
        </w:r>
        <w:r w:rsidRPr="00FC413C">
          <w:rPr>
            <w:rStyle w:val="Hyperlink"/>
            <w:noProof/>
          </w:rPr>
          <w:t>Sensitivity analyses</w:t>
        </w:r>
        <w:r>
          <w:rPr>
            <w:noProof/>
            <w:webHidden/>
          </w:rPr>
          <w:tab/>
        </w:r>
        <w:r>
          <w:rPr>
            <w:noProof/>
            <w:webHidden/>
          </w:rPr>
          <w:fldChar w:fldCharType="begin"/>
        </w:r>
        <w:r>
          <w:rPr>
            <w:noProof/>
            <w:webHidden/>
          </w:rPr>
          <w:instrText xml:space="preserve"> PAGEREF _Toc360900315 \h </w:instrText>
        </w:r>
        <w:r>
          <w:rPr>
            <w:noProof/>
            <w:webHidden/>
          </w:rPr>
        </w:r>
        <w:r>
          <w:rPr>
            <w:noProof/>
            <w:webHidden/>
          </w:rPr>
          <w:fldChar w:fldCharType="separate"/>
        </w:r>
        <w:r>
          <w:rPr>
            <w:noProof/>
            <w:webHidden/>
          </w:rPr>
          <w:t>26</w:t>
        </w:r>
        <w:r>
          <w:rPr>
            <w:noProof/>
            <w:webHidden/>
          </w:rPr>
          <w:fldChar w:fldCharType="end"/>
        </w:r>
      </w:hyperlink>
    </w:p>
    <w:p w:rsidR="000E6626" w:rsidRDefault="000E6626">
      <w:pPr>
        <w:pStyle w:val="TOC1"/>
        <w:tabs>
          <w:tab w:val="right" w:leader="dot" w:pos="9016"/>
        </w:tabs>
        <w:rPr>
          <w:rFonts w:asciiTheme="minorHAnsi" w:eastAsiaTheme="minorEastAsia" w:hAnsiTheme="minorHAnsi"/>
          <w:i w:val="0"/>
          <w:noProof/>
          <w:lang w:eastAsia="en-GB"/>
        </w:rPr>
      </w:pPr>
      <w:hyperlink w:anchor="_Toc360900316" w:history="1">
        <w:r w:rsidRPr="00FC413C">
          <w:rPr>
            <w:rStyle w:val="Hyperlink"/>
            <w:noProof/>
          </w:rPr>
          <w:t>Bibliography for Web Appendices</w:t>
        </w:r>
        <w:r>
          <w:rPr>
            <w:noProof/>
            <w:webHidden/>
          </w:rPr>
          <w:tab/>
        </w:r>
        <w:r>
          <w:rPr>
            <w:noProof/>
            <w:webHidden/>
          </w:rPr>
          <w:fldChar w:fldCharType="begin"/>
        </w:r>
        <w:r>
          <w:rPr>
            <w:noProof/>
            <w:webHidden/>
          </w:rPr>
          <w:instrText xml:space="preserve"> PAGEREF _Toc360900316 \h </w:instrText>
        </w:r>
        <w:r>
          <w:rPr>
            <w:noProof/>
            <w:webHidden/>
          </w:rPr>
        </w:r>
        <w:r>
          <w:rPr>
            <w:noProof/>
            <w:webHidden/>
          </w:rPr>
          <w:fldChar w:fldCharType="separate"/>
        </w:r>
        <w:r>
          <w:rPr>
            <w:noProof/>
            <w:webHidden/>
          </w:rPr>
          <w:t>29</w:t>
        </w:r>
        <w:r>
          <w:rPr>
            <w:noProof/>
            <w:webHidden/>
          </w:rPr>
          <w:fldChar w:fldCharType="end"/>
        </w:r>
      </w:hyperlink>
    </w:p>
    <w:p w:rsidR="00177B3C" w:rsidRDefault="00177B3C" w:rsidP="00177B3C">
      <w:r>
        <w:fldChar w:fldCharType="end"/>
      </w:r>
    </w:p>
    <w:p w:rsidR="00177B3C" w:rsidRPr="001156B5" w:rsidRDefault="00177B3C" w:rsidP="00177B3C">
      <w:r>
        <w:t xml:space="preserve"> </w:t>
      </w:r>
    </w:p>
    <w:p w:rsidR="00177B3C" w:rsidRDefault="00177B3C" w:rsidP="00177B3C">
      <w:pPr>
        <w:sectPr w:rsidR="00177B3C" w:rsidSect="00C977BA">
          <w:pgSz w:w="11906" w:h="16838"/>
          <w:pgMar w:top="1440" w:right="1440" w:bottom="1440" w:left="1440" w:header="708" w:footer="708" w:gutter="0"/>
          <w:cols w:space="708"/>
          <w:docGrid w:linePitch="360"/>
        </w:sectPr>
      </w:pPr>
    </w:p>
    <w:p w:rsidR="00177B3C" w:rsidRPr="002F41F0" w:rsidRDefault="00177B3C" w:rsidP="00177B3C">
      <w:pPr>
        <w:pStyle w:val="Heading2"/>
        <w:numPr>
          <w:ilvl w:val="0"/>
          <w:numId w:val="13"/>
        </w:numPr>
      </w:pPr>
      <w:bookmarkStart w:id="1" w:name="_Toc360900310"/>
      <w:r w:rsidRPr="002F41F0">
        <w:lastRenderedPageBreak/>
        <w:t>Additional references</w:t>
      </w:r>
      <w:bookmarkEnd w:id="1"/>
      <w:r w:rsidRPr="002F41F0">
        <w:t xml:space="preserve"> </w:t>
      </w:r>
    </w:p>
    <w:p w:rsidR="00177B3C" w:rsidRPr="009F6484" w:rsidRDefault="00177B3C" w:rsidP="00177B3C">
      <w:pPr>
        <w:pStyle w:val="Heading3"/>
      </w:pPr>
      <w:r>
        <w:t>Policy references</w:t>
      </w:r>
    </w:p>
    <w:p w:rsidR="00177B3C" w:rsidRDefault="00177B3C" w:rsidP="00177B3C">
      <w:r>
        <w:t xml:space="preserve">For further detail, see the PMSU report (PMSU, 2005); </w:t>
      </w:r>
      <w:r w:rsidRPr="00B71166">
        <w:t>Government Green Papers and White Papers reforming the incapacity benefits system</w:t>
      </w:r>
      <w:r>
        <w:t>: (DWP, 2010, DWP, 2006, DWP, 2008, DWP, 2008), and Coalition Government statements on incapacity benefits (DWP, 2010, Freud, 2010).</w:t>
      </w:r>
    </w:p>
    <w:p w:rsidR="00177B3C" w:rsidRDefault="00177B3C" w:rsidP="00177B3C">
      <w:pPr>
        <w:sectPr w:rsidR="00177B3C" w:rsidSect="00F5777F">
          <w:type w:val="continuous"/>
          <w:pgSz w:w="11906" w:h="16838"/>
          <w:pgMar w:top="1440" w:right="1440" w:bottom="1440" w:left="1440" w:header="708" w:footer="708" w:gutter="0"/>
          <w:cols w:space="708"/>
          <w:docGrid w:linePitch="360"/>
        </w:sectPr>
      </w:pPr>
      <w:r>
        <w:t>[Full bibliographic details are given in the bibliography at the end of the Web Appendices].</w:t>
      </w:r>
    </w:p>
    <w:p w:rsidR="00177B3C" w:rsidRDefault="00177B3C" w:rsidP="00177B3C">
      <w:pPr>
        <w:pStyle w:val="Heading2"/>
        <w:numPr>
          <w:ilvl w:val="0"/>
          <w:numId w:val="13"/>
        </w:numPr>
      </w:pPr>
      <w:bookmarkStart w:id="2" w:name="_Toc360900311"/>
      <w:r>
        <w:lastRenderedPageBreak/>
        <w:t>Creation of demands/control/physicality scales</w:t>
      </w:r>
      <w:bookmarkEnd w:id="2"/>
    </w:p>
    <w:p w:rsidR="00177B3C" w:rsidRPr="00E351D2" w:rsidRDefault="00177B3C" w:rsidP="00177B3C">
      <w:r w:rsidRPr="00E351D2">
        <w:t xml:space="preserve">Three questions on demands and five questions on control are available in all of the Employment in Britain </w:t>
      </w:r>
      <w:r>
        <w:t>(</w:t>
      </w:r>
      <w:proofErr w:type="spellStart"/>
      <w:r>
        <w:t>EiB</w:t>
      </w:r>
      <w:proofErr w:type="spellEnd"/>
      <w:r>
        <w:t xml:space="preserve">) </w:t>
      </w:r>
      <w:r w:rsidRPr="00E351D2">
        <w:t xml:space="preserve">survey 1992 and the Skills Surveys 2001/2006, from which we can construct scales of demands and control.  </w:t>
      </w:r>
      <w:r>
        <w:t xml:space="preserve">In addition to this, two questions on physicality are available from the 1997-2006 Skills Surveys. </w:t>
      </w:r>
      <w:r w:rsidRPr="00E351D2">
        <w:t>These are:</w:t>
      </w:r>
    </w:p>
    <w:p w:rsidR="00177B3C" w:rsidRPr="00E351D2" w:rsidRDefault="00177B3C" w:rsidP="00177B3C">
      <w:pPr>
        <w:spacing w:after="0"/>
        <w:rPr>
          <w:b/>
          <w:sz w:val="18"/>
        </w:rPr>
      </w:pPr>
      <w:r w:rsidRPr="00E351D2">
        <w:rPr>
          <w:b/>
          <w:sz w:val="18"/>
        </w:rPr>
        <w:t>Demands</w:t>
      </w:r>
    </w:p>
    <w:p w:rsidR="00177B3C" w:rsidRPr="00E351D2" w:rsidRDefault="00177B3C" w:rsidP="00177B3C">
      <w:pPr>
        <w:spacing w:after="0"/>
        <w:rPr>
          <w:sz w:val="18"/>
        </w:rPr>
      </w:pPr>
      <w:r w:rsidRPr="00E351D2">
        <w:rPr>
          <w:sz w:val="18"/>
        </w:rPr>
        <w:t>D1: My job requires that I work very hard</w:t>
      </w:r>
    </w:p>
    <w:p w:rsidR="00177B3C" w:rsidRPr="00E351D2" w:rsidRDefault="00177B3C" w:rsidP="00177B3C">
      <w:pPr>
        <w:spacing w:after="0"/>
        <w:ind w:firstLine="720"/>
        <w:rPr>
          <w:sz w:val="18"/>
        </w:rPr>
      </w:pPr>
      <w:r w:rsidRPr="00E351D2">
        <w:rPr>
          <w:sz w:val="18"/>
        </w:rPr>
        <w:t>1. Strongly agree 2. Agree 3. Disagree 4. Strongly disagree</w:t>
      </w:r>
    </w:p>
    <w:p w:rsidR="00177B3C" w:rsidRPr="00E351D2" w:rsidRDefault="00177B3C" w:rsidP="00177B3C">
      <w:pPr>
        <w:spacing w:after="0"/>
        <w:rPr>
          <w:sz w:val="18"/>
        </w:rPr>
      </w:pPr>
      <w:r w:rsidRPr="00E351D2">
        <w:rPr>
          <w:sz w:val="18"/>
        </w:rPr>
        <w:t xml:space="preserve">D4: How often does your work involve working at very high speed? </w:t>
      </w:r>
    </w:p>
    <w:p w:rsidR="00177B3C" w:rsidRPr="00E351D2" w:rsidRDefault="00177B3C" w:rsidP="00177B3C">
      <w:pPr>
        <w:spacing w:after="0"/>
        <w:ind w:left="720"/>
        <w:rPr>
          <w:sz w:val="18"/>
        </w:rPr>
      </w:pPr>
      <w:r w:rsidRPr="00E351D2">
        <w:rPr>
          <w:sz w:val="18"/>
        </w:rPr>
        <w:t xml:space="preserve">1. All the time 2. Almost all the time 3. Around three quarters of the time 4. Around half the </w:t>
      </w:r>
      <w:proofErr w:type="gramStart"/>
      <w:r w:rsidRPr="00E351D2">
        <w:rPr>
          <w:sz w:val="18"/>
        </w:rPr>
        <w:t>time  5</w:t>
      </w:r>
      <w:proofErr w:type="gramEnd"/>
      <w:r w:rsidRPr="00E351D2">
        <w:rPr>
          <w:sz w:val="18"/>
        </w:rPr>
        <w:t>. Around quarter of the time 6. Almost never 7. Never</w:t>
      </w:r>
    </w:p>
    <w:p w:rsidR="00177B3C" w:rsidRPr="00E351D2" w:rsidRDefault="00177B3C" w:rsidP="00177B3C">
      <w:pPr>
        <w:spacing w:after="0"/>
        <w:rPr>
          <w:sz w:val="18"/>
        </w:rPr>
      </w:pPr>
      <w:r w:rsidRPr="00E351D2">
        <w:rPr>
          <w:sz w:val="18"/>
        </w:rPr>
        <w:t>D12: I work under a great deal of tension</w:t>
      </w:r>
    </w:p>
    <w:p w:rsidR="00177B3C" w:rsidRPr="00E351D2" w:rsidRDefault="00177B3C" w:rsidP="00177B3C">
      <w:pPr>
        <w:spacing w:after="0"/>
        <w:ind w:firstLine="720"/>
        <w:rPr>
          <w:sz w:val="18"/>
        </w:rPr>
      </w:pPr>
      <w:r w:rsidRPr="00E351D2">
        <w:rPr>
          <w:sz w:val="18"/>
        </w:rPr>
        <w:t>1. Strongly agree 2. Agree 3. Disagree 4. Strongly disagree</w:t>
      </w:r>
    </w:p>
    <w:p w:rsidR="00177B3C" w:rsidRPr="00E351D2" w:rsidRDefault="00177B3C" w:rsidP="00177B3C">
      <w:pPr>
        <w:spacing w:after="0"/>
        <w:rPr>
          <w:sz w:val="18"/>
        </w:rPr>
      </w:pPr>
      <w:r w:rsidRPr="00E351D2">
        <w:rPr>
          <w:b/>
          <w:sz w:val="18"/>
        </w:rPr>
        <w:t>Control</w:t>
      </w:r>
    </w:p>
    <w:p w:rsidR="00177B3C" w:rsidRPr="00E351D2" w:rsidRDefault="00177B3C" w:rsidP="00177B3C">
      <w:pPr>
        <w:spacing w:after="0"/>
        <w:rPr>
          <w:sz w:val="18"/>
        </w:rPr>
      </w:pPr>
      <w:r w:rsidRPr="00E351D2">
        <w:rPr>
          <w:sz w:val="18"/>
        </w:rPr>
        <w:t>C1: How much influence do you personally have on how hard you work?</w:t>
      </w:r>
    </w:p>
    <w:p w:rsidR="00177B3C" w:rsidRPr="00E351D2" w:rsidRDefault="00177B3C" w:rsidP="00177B3C">
      <w:pPr>
        <w:spacing w:after="0"/>
        <w:ind w:firstLine="720"/>
        <w:rPr>
          <w:sz w:val="18"/>
        </w:rPr>
      </w:pPr>
      <w:r w:rsidRPr="00E351D2">
        <w:rPr>
          <w:sz w:val="18"/>
        </w:rPr>
        <w:t>1. Strongly agree 2. Agree 3. Disagree 4. Strongly disagree</w:t>
      </w:r>
    </w:p>
    <w:p w:rsidR="00177B3C" w:rsidRPr="00E351D2" w:rsidRDefault="00177B3C" w:rsidP="00177B3C">
      <w:pPr>
        <w:spacing w:after="0"/>
        <w:rPr>
          <w:sz w:val="18"/>
        </w:rPr>
      </w:pPr>
      <w:r w:rsidRPr="00E351D2">
        <w:rPr>
          <w:sz w:val="18"/>
        </w:rPr>
        <w:t xml:space="preserve">C2: Which, if any, of the things on this card are important in determining how hard you work in your job? </w:t>
      </w:r>
    </w:p>
    <w:p w:rsidR="00177B3C" w:rsidRPr="00E351D2" w:rsidRDefault="00177B3C" w:rsidP="00177B3C">
      <w:pPr>
        <w:spacing w:after="0"/>
        <w:ind w:firstLine="720"/>
        <w:rPr>
          <w:sz w:val="18"/>
        </w:rPr>
      </w:pPr>
      <w:r w:rsidRPr="00E351D2">
        <w:rPr>
          <w:sz w:val="18"/>
        </w:rPr>
        <w:t>...Your own discretion</w:t>
      </w:r>
    </w:p>
    <w:p w:rsidR="00177B3C" w:rsidRPr="00E351D2" w:rsidRDefault="00177B3C" w:rsidP="00177B3C">
      <w:pPr>
        <w:spacing w:after="0"/>
        <w:rPr>
          <w:sz w:val="18"/>
        </w:rPr>
      </w:pPr>
      <w:r w:rsidRPr="00E351D2">
        <w:rPr>
          <w:sz w:val="18"/>
        </w:rPr>
        <w:t xml:space="preserve">C25: (And how much influence do you personally have on … deciding how you are to do the task? </w:t>
      </w:r>
    </w:p>
    <w:p w:rsidR="00177B3C" w:rsidRPr="00E351D2" w:rsidRDefault="00177B3C" w:rsidP="00177B3C">
      <w:pPr>
        <w:spacing w:after="0"/>
        <w:rPr>
          <w:sz w:val="18"/>
        </w:rPr>
      </w:pPr>
      <w:r w:rsidRPr="00E351D2">
        <w:rPr>
          <w:sz w:val="18"/>
        </w:rPr>
        <w:tab/>
        <w:t>1. A great deal 2. A fair amount 3. Not much 4. None at all</w:t>
      </w:r>
    </w:p>
    <w:p w:rsidR="00177B3C" w:rsidRPr="00E351D2" w:rsidRDefault="00177B3C" w:rsidP="00177B3C">
      <w:pPr>
        <w:spacing w:after="0"/>
        <w:rPr>
          <w:sz w:val="18"/>
        </w:rPr>
      </w:pPr>
      <w:r w:rsidRPr="00E351D2">
        <w:rPr>
          <w:sz w:val="18"/>
        </w:rPr>
        <w:t>C33: And how much influence do you personally have on… deciding what tasks you are to do?</w:t>
      </w:r>
    </w:p>
    <w:p w:rsidR="00177B3C" w:rsidRPr="00E351D2" w:rsidRDefault="00177B3C" w:rsidP="00177B3C">
      <w:pPr>
        <w:spacing w:after="0"/>
        <w:ind w:firstLine="720"/>
        <w:rPr>
          <w:sz w:val="18"/>
        </w:rPr>
      </w:pPr>
      <w:r w:rsidRPr="00E351D2">
        <w:rPr>
          <w:sz w:val="18"/>
        </w:rPr>
        <w:t>1. A great deal 2. A fair amount 3. Not much 4. None at all</w:t>
      </w:r>
    </w:p>
    <w:p w:rsidR="00177B3C" w:rsidRPr="00E351D2" w:rsidRDefault="00177B3C" w:rsidP="00177B3C">
      <w:pPr>
        <w:spacing w:after="0"/>
        <w:rPr>
          <w:sz w:val="18"/>
        </w:rPr>
      </w:pPr>
      <w:r w:rsidRPr="00E351D2">
        <w:rPr>
          <w:sz w:val="18"/>
        </w:rPr>
        <w:t xml:space="preserve">C49: And how much influence do you personally have on … deciding the quality standards to which you work? </w:t>
      </w:r>
    </w:p>
    <w:p w:rsidR="00177B3C" w:rsidRPr="00E351D2" w:rsidRDefault="00177B3C" w:rsidP="00177B3C">
      <w:pPr>
        <w:ind w:firstLine="720"/>
        <w:rPr>
          <w:sz w:val="18"/>
        </w:rPr>
      </w:pPr>
      <w:r w:rsidRPr="00E351D2">
        <w:rPr>
          <w:sz w:val="18"/>
        </w:rPr>
        <w:t>1. A great deal 2. A fair amount 3. Not much 4. None at all</w:t>
      </w:r>
    </w:p>
    <w:p w:rsidR="00177B3C" w:rsidRPr="00E351D2" w:rsidRDefault="00177B3C" w:rsidP="00177B3C">
      <w:pPr>
        <w:spacing w:after="0"/>
        <w:rPr>
          <w:sz w:val="18"/>
        </w:rPr>
      </w:pPr>
      <w:r>
        <w:rPr>
          <w:b/>
          <w:sz w:val="18"/>
        </w:rPr>
        <w:t>Physicality</w:t>
      </w:r>
    </w:p>
    <w:p w:rsidR="00177B3C" w:rsidRDefault="00177B3C" w:rsidP="00177B3C">
      <w:pPr>
        <w:rPr>
          <w:sz w:val="18"/>
        </w:rPr>
      </w:pPr>
      <w:r w:rsidRPr="00E351D2">
        <w:rPr>
          <w:sz w:val="18"/>
        </w:rPr>
        <w:t xml:space="preserve">P6: [In your job, how important is…] physical strength (for example, to carry, push or pull heavy objects? </w:t>
      </w:r>
    </w:p>
    <w:p w:rsidR="00177B3C" w:rsidRPr="002D19B1" w:rsidRDefault="00177B3C" w:rsidP="00177B3C">
      <w:pPr>
        <w:ind w:left="720"/>
        <w:rPr>
          <w:sz w:val="18"/>
        </w:rPr>
      </w:pPr>
      <w:r w:rsidRPr="002D19B1">
        <w:rPr>
          <w:sz w:val="18"/>
        </w:rPr>
        <w:t xml:space="preserve">1. Essential 2. Very </w:t>
      </w:r>
      <w:proofErr w:type="gramStart"/>
      <w:r w:rsidRPr="002D19B1">
        <w:rPr>
          <w:sz w:val="18"/>
        </w:rPr>
        <w:t>important  3</w:t>
      </w:r>
      <w:proofErr w:type="gramEnd"/>
      <w:r w:rsidRPr="002D19B1">
        <w:rPr>
          <w:sz w:val="18"/>
        </w:rPr>
        <w:t xml:space="preserve">. Fairly </w:t>
      </w:r>
      <w:proofErr w:type="gramStart"/>
      <w:r w:rsidRPr="002D19B1">
        <w:rPr>
          <w:sz w:val="18"/>
        </w:rPr>
        <w:t>important  4</w:t>
      </w:r>
      <w:proofErr w:type="gramEnd"/>
      <w:r w:rsidRPr="002D19B1">
        <w:rPr>
          <w:sz w:val="18"/>
        </w:rPr>
        <w:t xml:space="preserve">. Not very </w:t>
      </w:r>
      <w:proofErr w:type="gramStart"/>
      <w:r w:rsidRPr="002D19B1">
        <w:rPr>
          <w:sz w:val="18"/>
        </w:rPr>
        <w:t>important  5</w:t>
      </w:r>
      <w:proofErr w:type="gramEnd"/>
      <w:r w:rsidRPr="002D19B1">
        <w:rPr>
          <w:sz w:val="18"/>
        </w:rPr>
        <w:t>. Not at all important/does not apply</w:t>
      </w:r>
    </w:p>
    <w:p w:rsidR="00177B3C" w:rsidRDefault="00177B3C" w:rsidP="00177B3C">
      <w:pPr>
        <w:rPr>
          <w:sz w:val="18"/>
        </w:rPr>
      </w:pPr>
      <w:r w:rsidRPr="00E351D2">
        <w:rPr>
          <w:sz w:val="18"/>
        </w:rPr>
        <w:t xml:space="preserve">P8: [In your job, how important is...] physical stamina (to work for long periods on physical activities)? </w:t>
      </w:r>
    </w:p>
    <w:p w:rsidR="00177B3C" w:rsidRPr="002D19B1" w:rsidRDefault="00177B3C" w:rsidP="00177B3C">
      <w:pPr>
        <w:ind w:left="720"/>
        <w:rPr>
          <w:sz w:val="18"/>
        </w:rPr>
      </w:pPr>
      <w:r w:rsidRPr="002D19B1">
        <w:rPr>
          <w:sz w:val="18"/>
        </w:rPr>
        <w:t xml:space="preserve">1. Essential 2. Very </w:t>
      </w:r>
      <w:proofErr w:type="gramStart"/>
      <w:r w:rsidRPr="002D19B1">
        <w:rPr>
          <w:sz w:val="18"/>
        </w:rPr>
        <w:t>important  3</w:t>
      </w:r>
      <w:proofErr w:type="gramEnd"/>
      <w:r w:rsidRPr="002D19B1">
        <w:rPr>
          <w:sz w:val="18"/>
        </w:rPr>
        <w:t xml:space="preserve">. Fairly </w:t>
      </w:r>
      <w:proofErr w:type="gramStart"/>
      <w:r w:rsidRPr="002D19B1">
        <w:rPr>
          <w:sz w:val="18"/>
        </w:rPr>
        <w:t>important  4</w:t>
      </w:r>
      <w:proofErr w:type="gramEnd"/>
      <w:r w:rsidRPr="002D19B1">
        <w:rPr>
          <w:sz w:val="18"/>
        </w:rPr>
        <w:t xml:space="preserve">. Not very </w:t>
      </w:r>
      <w:proofErr w:type="gramStart"/>
      <w:r w:rsidRPr="002D19B1">
        <w:rPr>
          <w:sz w:val="18"/>
        </w:rPr>
        <w:t>important  5</w:t>
      </w:r>
      <w:proofErr w:type="gramEnd"/>
      <w:r w:rsidRPr="002D19B1">
        <w:rPr>
          <w:sz w:val="18"/>
        </w:rPr>
        <w:t>. Not at all important/does not apply</w:t>
      </w:r>
    </w:p>
    <w:p w:rsidR="00177B3C" w:rsidRPr="00E351D2" w:rsidRDefault="00177B3C" w:rsidP="00177B3C"/>
    <w:p w:rsidR="00177B3C" w:rsidRPr="00E351D2" w:rsidRDefault="00177B3C" w:rsidP="00177B3C">
      <w:r w:rsidRPr="00E351D2">
        <w:t xml:space="preserve">Initial analyses used all of these questions.  However, Principal Components Analysis suggested that one of the items for control (C2) was only weakly related to the other questions; this question was therefore dropped. (The question itself was designed to measure effort pressures rather than job control, so it seems reasonable to consider that the responses reflect wider factors than the other questions). </w:t>
      </w:r>
    </w:p>
    <w:p w:rsidR="00177B3C" w:rsidRPr="00E351D2" w:rsidRDefault="00177B3C" w:rsidP="00177B3C">
      <w:pPr>
        <w:spacing w:before="240"/>
      </w:pPr>
      <w:r w:rsidRPr="00E351D2">
        <w:t xml:space="preserve">There are various ways of constructing scales from measures such as these based on the degree to which they appear to measuring the same underlying construct (rather than arbitrary summary scores).  Much of the previous work using the Skills Surveys has used Principal Components Analysis (PCA), but while this is a widely-used approximation, PCA makes assumptions that are not technically valid for the ordinal data used here.  </w:t>
      </w:r>
    </w:p>
    <w:p w:rsidR="00177B3C" w:rsidRPr="00E351D2" w:rsidRDefault="00177B3C" w:rsidP="00177B3C">
      <w:pPr>
        <w:spacing w:before="240"/>
      </w:pPr>
      <w:r w:rsidRPr="00E351D2">
        <w:t xml:space="preserve">Instead, I here used Item Response Theory (IRT) models.  IRT models are conceptually distinct from PCA/factor analysis in certain ways </w:t>
      </w:r>
      <w:r>
        <w:t>(Bartholomew et al., 2008)</w:t>
      </w:r>
      <w:r w:rsidRPr="00E351D2">
        <w:t xml:space="preserve">, but they are used here for the practical reason that they are more suited to ordinal data. The IRT model for ordinal data is an extension of the model for binary data, where </w:t>
      </w:r>
      <m:oMath>
        <m:sSub>
          <m:sSubPr>
            <m:ctrlPr>
              <w:rPr>
                <w:rFonts w:ascii="Cambria Math" w:hAnsi="Cambria Math"/>
                <w:i/>
              </w:rPr>
            </m:ctrlPr>
          </m:sSubPr>
          <m:e>
            <m:r>
              <w:rPr>
                <w:rFonts w:ascii="Cambria Math" w:hAnsi="Cambria Math"/>
              </w:rPr>
              <m:t xml:space="preserve"> π</m:t>
            </m:r>
          </m:e>
          <m:sub>
            <m:r>
              <w:rPr>
                <w:rFonts w:ascii="Cambria Math" w:hAnsi="Cambria Math"/>
              </w:rPr>
              <m:t>i</m:t>
            </m:r>
          </m:sub>
        </m:sSub>
        <m:d>
          <m:dPr>
            <m:ctrlPr>
              <w:rPr>
                <w:rFonts w:ascii="Cambria Math" w:hAnsi="Cambria Math"/>
                <w:i/>
              </w:rPr>
            </m:ctrlPr>
          </m:dPr>
          <m:e>
            <m:r>
              <m:rPr>
                <m:sty m:val="b"/>
              </m:rPr>
              <w:rPr>
                <w:rFonts w:ascii="Cambria Math" w:hAnsi="Cambria Math"/>
              </w:rPr>
              <m:t>f</m:t>
            </m:r>
          </m:e>
        </m:d>
      </m:oMath>
      <w:r w:rsidRPr="00E351D2">
        <w:t xml:space="preserve"> is the probability of </w:t>
      </w:r>
      <w:r w:rsidRPr="00E351D2">
        <w:lastRenderedPageBreak/>
        <w:t xml:space="preserve">observing a specific binary response given the latent </w:t>
      </w:r>
      <w:proofErr w:type="gramStart"/>
      <w:r w:rsidRPr="00E351D2">
        <w:t xml:space="preserve">trait </w:t>
      </w:r>
      <w:proofErr w:type="gramEnd"/>
      <m:oMath>
        <m:r>
          <m:rPr>
            <m:sty m:val="b"/>
          </m:rPr>
          <w:rPr>
            <w:rFonts w:ascii="Cambria Math" w:hAnsi="Cambria Math"/>
          </w:rPr>
          <m:t>f</m:t>
        </m:r>
      </m:oMath>
      <w:r w:rsidRPr="00E351D2">
        <w:t xml:space="preserve">.  For the ordinal model, we model the cumulative response probability </w:t>
      </w:r>
      <m:oMath>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oMath>
      <w:r w:rsidRPr="00E351D2">
        <w:t xml:space="preserve"> of a response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E351D2">
        <w:t xml:space="preserve"> falling into </w:t>
      </w:r>
      <w:proofErr w:type="gramStart"/>
      <w:r w:rsidRPr="00E351D2">
        <w:t>group ‘</w:t>
      </w:r>
      <w:r w:rsidRPr="00E351D2">
        <w:rPr>
          <w:i/>
        </w:rPr>
        <w:t>s</w:t>
      </w:r>
      <w:r w:rsidRPr="00E351D2">
        <w:t>’</w:t>
      </w:r>
      <w:proofErr w:type="gramEnd"/>
      <w:r w:rsidRPr="00E351D2">
        <w:t xml:space="preserve"> or lower </w:t>
      </w:r>
      <w:r>
        <w:t xml:space="preserve">(Bartholomew, et al., 2008, </w:t>
      </w:r>
      <w:proofErr w:type="spellStart"/>
      <w:r>
        <w:t>Zheng</w:t>
      </w:r>
      <w:proofErr w:type="spellEnd"/>
      <w:r>
        <w:t xml:space="preserve"> and </w:t>
      </w:r>
      <w:proofErr w:type="spellStart"/>
      <w:r>
        <w:t>Rabe-Hesketh</w:t>
      </w:r>
      <w:proofErr w:type="spellEnd"/>
      <w:r>
        <w:t>, 2007)</w:t>
      </w:r>
      <w:r w:rsidRPr="00E351D2">
        <w:t xml:space="preserve">: </w:t>
      </w:r>
    </w:p>
    <w:p w:rsidR="00177B3C" w:rsidRPr="00E351D2" w:rsidRDefault="00177B3C" w:rsidP="00177B3C">
      <w:pPr>
        <w:spacing w:before="240"/>
      </w:pPr>
      <w:r w:rsidRPr="00E351D2">
        <w:tab/>
      </w:r>
      <m:oMath>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r>
          <w:rPr>
            <w:rFonts w:ascii="Cambria Math" w:hAnsi="Cambria Math"/>
          </w:rPr>
          <m:t>=</m:t>
        </m:r>
        <m:func>
          <m:funcPr>
            <m:ctrlPr>
              <w:rPr>
                <w:rFonts w:ascii="Cambria Math" w:hAnsi="Cambria Math"/>
                <w:i/>
              </w:rPr>
            </m:ctrlPr>
          </m:funcPr>
          <m:fName>
            <m:r>
              <m:rPr>
                <m:sty m:val="p"/>
              </m:rPr>
              <w:rPr>
                <w:rFonts w:ascii="Cambria Math" w:hAnsi="Cambria Math"/>
              </w:rPr>
              <m:t xml:space="preserve">   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≤s</m:t>
                </m:r>
              </m:e>
            </m:d>
          </m:e>
        </m:func>
        <m:r>
          <w:rPr>
            <w:rFonts w:ascii="Cambria Math" w:hAnsi="Cambria Math"/>
          </w:rPr>
          <m:t xml:space="preserve">= </m:t>
        </m:r>
        <m:sSub>
          <m:sSubPr>
            <m:ctrlPr>
              <w:rPr>
                <w:rFonts w:ascii="Cambria Math" w:hAnsi="Cambria Math"/>
                <w:i/>
              </w:rPr>
            </m:ctrlPr>
          </m:sSubPr>
          <m:e>
            <m:r>
              <w:rPr>
                <w:rFonts w:ascii="Cambria Math" w:hAnsi="Cambria Math"/>
              </w:rPr>
              <m:t xml:space="preserve">   π</m:t>
            </m:r>
          </m:e>
          <m:sub>
            <m:r>
              <w:rPr>
                <w:rFonts w:ascii="Cambria Math" w:hAnsi="Cambria Math"/>
              </w:rPr>
              <m:t>i</m:t>
            </m:r>
            <m:d>
              <m:dPr>
                <m:ctrlPr>
                  <w:rPr>
                    <w:rFonts w:ascii="Cambria Math" w:hAnsi="Cambria Math"/>
                    <w:i/>
                  </w:rPr>
                </m:ctrlPr>
              </m:dPr>
              <m:e>
                <m:r>
                  <w:rPr>
                    <w:rFonts w:ascii="Cambria Math" w:hAnsi="Cambria Math"/>
                  </w:rPr>
                  <m:t>1</m:t>
                </m:r>
              </m:e>
            </m:d>
          </m:sub>
        </m:sSub>
        <m:d>
          <m:dPr>
            <m:ctrlPr>
              <w:rPr>
                <w:rFonts w:ascii="Cambria Math" w:hAnsi="Cambria Math"/>
                <w:i/>
              </w:rPr>
            </m:ctrlPr>
          </m:dPr>
          <m:e>
            <m:r>
              <m:rPr>
                <m:sty m:val="b"/>
              </m:rPr>
              <w:rPr>
                <w:rFonts w:ascii="Cambria Math" w:hAnsi="Cambria Math"/>
              </w:rPr>
              <m:t>f</m:t>
            </m:r>
          </m:e>
        </m:d>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2</m:t>
                </m:r>
              </m:e>
            </m:d>
          </m:sub>
        </m:sSub>
        <m:d>
          <m:dPr>
            <m:ctrlPr>
              <w:rPr>
                <w:rFonts w:ascii="Cambria Math" w:hAnsi="Cambria Math"/>
                <w:i/>
              </w:rPr>
            </m:ctrlPr>
          </m:dPr>
          <m:e>
            <m:r>
              <m:rPr>
                <m:sty m:val="b"/>
              </m:rPr>
              <w:rPr>
                <w:rFonts w:ascii="Cambria Math" w:hAnsi="Cambria Math"/>
              </w:rPr>
              <m:t>f</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oMath>
    </w:p>
    <w:p w:rsidR="00177B3C" w:rsidRPr="00E351D2" w:rsidRDefault="00177B3C" w:rsidP="00177B3C">
      <w:pPr>
        <w:spacing w:before="120"/>
        <w:ind w:firstLine="720"/>
      </w:pPr>
      <w:proofErr w:type="gramStart"/>
      <w:r w:rsidRPr="00E351D2">
        <w:t>and</w:t>
      </w:r>
      <w:proofErr w:type="gramEnd"/>
      <w:r w:rsidRPr="00E351D2">
        <w:t xml:space="preserve"> therefore</w:t>
      </w:r>
    </w:p>
    <w:p w:rsidR="00177B3C" w:rsidRPr="00E351D2" w:rsidRDefault="00177B3C" w:rsidP="00177B3C">
      <w:pPr>
        <w:spacing w:before="120"/>
        <w:ind w:firstLine="720"/>
      </w:pPr>
      <m:oMath>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
              </m:rPr>
              <w:rPr>
                <w:rFonts w:ascii="Cambria Math" w:hAnsi="Cambria Math"/>
              </w:rPr>
              <m:t>f</m:t>
            </m:r>
          </m:e>
        </m:d>
        <m:r>
          <w:rPr>
            <w:rFonts w:ascii="Cambria Math" w:hAnsi="Cambria Math"/>
          </w:rPr>
          <m:t>=</m:t>
        </m:r>
        <m:func>
          <m:funcPr>
            <m:ctrlPr>
              <w:rPr>
                <w:rFonts w:ascii="Cambria Math" w:hAnsi="Cambria Math"/>
                <w:i/>
              </w:rPr>
            </m:ctrlPr>
          </m:funcPr>
          <m:fName>
            <m:r>
              <m:rPr>
                <m:sty m:val="p"/>
              </m:rPr>
              <w:rPr>
                <w:rFonts w:ascii="Cambria Math" w:hAnsi="Cambria Math"/>
              </w:rPr>
              <m:t xml:space="preserve">   Pr</m:t>
            </m:r>
          </m:fNa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&gt;s</m:t>
                </m:r>
              </m:e>
            </m:d>
          </m:e>
        </m:func>
        <m:r>
          <w:rPr>
            <w:rFonts w:ascii="Cambria Math" w:hAnsi="Cambria Math"/>
          </w:rPr>
          <m:t xml:space="preserve">= </m:t>
        </m:r>
        <m:sSub>
          <m:sSubPr>
            <m:ctrlPr>
              <w:rPr>
                <w:rFonts w:ascii="Cambria Math" w:hAnsi="Cambria Math"/>
                <w:i/>
              </w:rPr>
            </m:ctrlPr>
          </m:sSubPr>
          <m:e>
            <m:r>
              <w:rPr>
                <w:rFonts w:ascii="Cambria Math" w:hAnsi="Cambria Math"/>
              </w:rPr>
              <m:t xml:space="preserve">   π</m:t>
            </m:r>
          </m:e>
          <m:sub>
            <m:r>
              <w:rPr>
                <w:rFonts w:ascii="Cambria Math" w:hAnsi="Cambria Math"/>
              </w:rPr>
              <m:t>i</m:t>
            </m:r>
            <m:d>
              <m:dPr>
                <m:ctrlPr>
                  <w:rPr>
                    <w:rFonts w:ascii="Cambria Math" w:hAnsi="Cambria Math"/>
                    <w:i/>
                  </w:rPr>
                </m:ctrlPr>
              </m:dPr>
              <m:e>
                <m:r>
                  <w:rPr>
                    <w:rFonts w:ascii="Cambria Math" w:hAnsi="Cambria Math"/>
                  </w:rPr>
                  <m:t>s+1</m:t>
                </m:r>
              </m:e>
            </m:d>
          </m:sub>
        </m:sSub>
        <m:d>
          <m:dPr>
            <m:ctrlPr>
              <w:rPr>
                <w:rFonts w:ascii="Cambria Math" w:hAnsi="Cambria Math"/>
                <w:i/>
              </w:rPr>
            </m:ctrlPr>
          </m:dPr>
          <m:e>
            <m:r>
              <m:rPr>
                <m:sty m:val="b"/>
              </m:rPr>
              <w:rPr>
                <w:rFonts w:ascii="Cambria Math" w:hAnsi="Cambria Math"/>
              </w:rPr>
              <m:t>f</m:t>
            </m:r>
          </m:e>
        </m:d>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r>
                  <w:rPr>
                    <w:rFonts w:ascii="Cambria Math" w:hAnsi="Cambria Math"/>
                  </w:rPr>
                  <m:t>s+2</m:t>
                </m:r>
              </m:e>
            </m:d>
          </m:sub>
        </m:sSub>
        <m:d>
          <m:dPr>
            <m:ctrlPr>
              <w:rPr>
                <w:rFonts w:ascii="Cambria Math" w:hAnsi="Cambria Math"/>
                <w:i/>
              </w:rPr>
            </m:ctrlPr>
          </m:dPr>
          <m:e>
            <m:r>
              <m:rPr>
                <m:sty m:val="b"/>
              </m:rPr>
              <w:rPr>
                <w:rFonts w:ascii="Cambria Math" w:hAnsi="Cambria Math"/>
              </w:rPr>
              <m:t>f</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sub>
        </m:sSub>
        <m:d>
          <m:dPr>
            <m:ctrlPr>
              <w:rPr>
                <w:rFonts w:ascii="Cambria Math" w:hAnsi="Cambria Math"/>
                <w:i/>
              </w:rPr>
            </m:ctrlPr>
          </m:dPr>
          <m:e>
            <m:r>
              <m:rPr>
                <m:sty m:val="b"/>
              </m:rPr>
              <w:rPr>
                <w:rFonts w:ascii="Cambria Math" w:hAnsi="Cambria Math"/>
              </w:rPr>
              <m:t>f</m:t>
            </m:r>
          </m:e>
        </m:d>
      </m:oMath>
      <w:r w:rsidRPr="00E351D2">
        <w:t xml:space="preserve"> </w:t>
      </w:r>
    </w:p>
    <w:p w:rsidR="00177B3C" w:rsidRPr="00E351D2" w:rsidRDefault="00177B3C" w:rsidP="00177B3C">
      <w:pPr>
        <w:spacing w:before="240"/>
      </w:pPr>
      <w:r w:rsidRPr="00E351D2">
        <w:t xml:space="preserve">For example, </w:t>
      </w:r>
      <m:oMath>
        <m:sSub>
          <m:sSubPr>
            <m:ctrlPr>
              <w:rPr>
                <w:rFonts w:ascii="Cambria Math" w:hAnsi="Cambria Math"/>
                <w:i/>
              </w:rPr>
            </m:ctrlPr>
          </m:sSubPr>
          <m:e>
            <m:r>
              <w:rPr>
                <w:rFonts w:ascii="Cambria Math" w:hAnsi="Cambria Math"/>
              </w:rPr>
              <m:t>γ</m:t>
            </m:r>
          </m:e>
          <m:sub>
            <m:r>
              <m:rPr>
                <m:sty m:val="p"/>
              </m:rPr>
              <w:rPr>
                <w:rFonts w:ascii="Cambria Math" w:hAnsi="Cambria Math"/>
              </w:rPr>
              <m:t>D</m:t>
            </m:r>
            <m:r>
              <w:rPr>
                <w:rFonts w:ascii="Cambria Math" w:hAnsi="Cambria Math"/>
              </w:rPr>
              <m:t>1</m:t>
            </m:r>
            <m:d>
              <m:dPr>
                <m:ctrlPr>
                  <w:rPr>
                    <w:rFonts w:ascii="Cambria Math" w:hAnsi="Cambria Math"/>
                    <w:i/>
                  </w:rPr>
                </m:ctrlPr>
              </m:dPr>
              <m:e>
                <m:r>
                  <w:rPr>
                    <w:rFonts w:ascii="Cambria Math" w:hAnsi="Cambria Math"/>
                  </w:rPr>
                  <m:t>2</m:t>
                </m:r>
              </m:e>
            </m:d>
          </m:sub>
        </m:sSub>
      </m:oMath>
      <w:r w:rsidRPr="00E351D2">
        <w:t xml:space="preserve"> would be the probability of a person giving the response ‘strongly agree’ (s=1) or ‘agree’ (s=2) to item D1 (</w:t>
      </w:r>
      <w:proofErr w:type="gramStart"/>
      <w:r w:rsidRPr="00E351D2">
        <w:t>‘My</w:t>
      </w:r>
      <w:proofErr w:type="gramEnd"/>
      <w:r w:rsidRPr="00E351D2">
        <w:t xml:space="preserve"> job requires that I work very hard’).  The univariate two-parameter model is usually parameterised based on the logistic distribution, showing the odds of being in any category up to and including category s, based on the difficulty parameter </w:t>
      </w:r>
      <m:oMath>
        <m:sSub>
          <m:sSubPr>
            <m:ctrlPr>
              <w:rPr>
                <w:rFonts w:ascii="Cambria Math" w:hAnsi="Cambria Math"/>
                <w:i/>
              </w:rPr>
            </m:ctrlPr>
          </m:sSubPr>
          <m:e>
            <m:r>
              <w:rPr>
                <w:rFonts w:ascii="Cambria Math" w:hAnsi="Cambria Math"/>
              </w:rPr>
              <m:t>α</m:t>
            </m:r>
          </m:e>
          <m:sub>
            <m:r>
              <w:rPr>
                <w:rFonts w:ascii="Cambria Math" w:hAnsi="Cambria Math"/>
              </w:rPr>
              <m:t>i(s)</m:t>
            </m:r>
          </m:sub>
        </m:sSub>
      </m:oMath>
      <w:r w:rsidRPr="00E351D2">
        <w:t xml:space="preserve"> and the discrimination parameters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E351D2">
        <w:t xml:space="preserve"> for each question </w:t>
      </w:r>
      <m:oMath>
        <m:r>
          <w:rPr>
            <w:rFonts w:ascii="Cambria Math" w:hAnsi="Cambria Math"/>
          </w:rPr>
          <m:t>i</m:t>
        </m:r>
      </m:oMath>
      <w:r w:rsidRPr="00E351D2">
        <w:t xml:space="preserve"> in the overall scale:</w:t>
      </w:r>
    </w:p>
    <w:p w:rsidR="00177B3C" w:rsidRPr="00E351D2" w:rsidRDefault="00177B3C" w:rsidP="00177B3C">
      <w:pPr>
        <w:spacing w:before="240"/>
      </w:pPr>
      <w:r w:rsidRPr="00E351D2">
        <w:tab/>
      </w:r>
      <m:oMath>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i"/>
                          </m:rPr>
                          <w:rPr>
                            <w:rFonts w:ascii="Cambria Math" w:hAnsi="Cambria Math"/>
                          </w:rPr>
                          <m:t>f</m:t>
                        </m:r>
                      </m:e>
                    </m:d>
                  </m:num>
                  <m:den>
                    <m:r>
                      <w:rPr>
                        <w:rFonts w:ascii="Cambria Math" w:hAnsi="Cambria Math"/>
                      </w:rPr>
                      <m:t>1-</m:t>
                    </m:r>
                    <m:sSub>
                      <m:sSubPr>
                        <m:ctrlPr>
                          <w:rPr>
                            <w:rFonts w:ascii="Cambria Math" w:hAnsi="Cambria Math"/>
                            <w:i/>
                          </w:rPr>
                        </m:ctrlPr>
                      </m:sSubPr>
                      <m:e>
                        <m:r>
                          <w:rPr>
                            <w:rFonts w:ascii="Cambria Math" w:hAnsi="Cambria Math"/>
                          </w:rPr>
                          <m:t>γ</m:t>
                        </m:r>
                      </m:e>
                      <m:sub>
                        <m:r>
                          <w:rPr>
                            <w:rFonts w:ascii="Cambria Math" w:hAnsi="Cambria Math"/>
                          </w:rPr>
                          <m:t>i</m:t>
                        </m:r>
                        <m:d>
                          <m:dPr>
                            <m:ctrlPr>
                              <w:rPr>
                                <w:rFonts w:ascii="Cambria Math" w:hAnsi="Cambria Math"/>
                                <w:i/>
                              </w:rPr>
                            </m:ctrlPr>
                          </m:dPr>
                          <m:e>
                            <m:r>
                              <w:rPr>
                                <w:rFonts w:ascii="Cambria Math" w:hAnsi="Cambria Math"/>
                              </w:rPr>
                              <m:t>s</m:t>
                            </m:r>
                          </m:e>
                        </m:d>
                      </m:sub>
                    </m:sSub>
                    <m:d>
                      <m:dPr>
                        <m:ctrlPr>
                          <w:rPr>
                            <w:rFonts w:ascii="Cambria Math" w:hAnsi="Cambria Math"/>
                            <w:i/>
                          </w:rPr>
                        </m:ctrlPr>
                      </m:dPr>
                      <m:e>
                        <m:r>
                          <m:rPr>
                            <m:sty m:val="bi"/>
                          </m:rPr>
                          <w:rPr>
                            <w:rFonts w:ascii="Cambria Math" w:hAnsi="Cambria Math"/>
                          </w:rPr>
                          <m:t>f</m:t>
                        </m:r>
                      </m:e>
                    </m:d>
                  </m:den>
                </m:f>
              </m:e>
            </m:d>
          </m:e>
        </m:func>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f</m:t>
        </m:r>
      </m:oMath>
    </w:p>
    <w:p w:rsidR="00177B3C" w:rsidRPr="00E351D2" w:rsidRDefault="00177B3C" w:rsidP="00177B3C">
      <w:r w:rsidRPr="00E351D2">
        <w:t xml:space="preserve">While </w:t>
      </w:r>
      <w:proofErr w:type="spellStart"/>
      <w:r w:rsidRPr="00E351D2">
        <w:t>Stata</w:t>
      </w:r>
      <w:proofErr w:type="spellEnd"/>
      <w:r w:rsidRPr="00E351D2">
        <w:t xml:space="preserve"> is not the ideal package in which to do latent variable analyses, the capability to estimate ordinal IRT models has been provided using the GLLAMM command of </w:t>
      </w:r>
      <w:proofErr w:type="spellStart"/>
      <w:r w:rsidRPr="00E351D2">
        <w:t>Skrondal</w:t>
      </w:r>
      <w:proofErr w:type="spellEnd"/>
      <w:r w:rsidRPr="00E351D2">
        <w:t xml:space="preserve">, Pickles and </w:t>
      </w:r>
      <w:proofErr w:type="spellStart"/>
      <w:r w:rsidRPr="00E351D2">
        <w:t>Rabe-Hesketh</w:t>
      </w:r>
      <w:proofErr w:type="spellEnd"/>
      <w:r w:rsidRPr="00E351D2">
        <w:t xml:space="preserve"> </w:t>
      </w:r>
      <w:r>
        <w:t>(</w:t>
      </w:r>
      <w:proofErr w:type="spellStart"/>
      <w:r>
        <w:t>Skrondal</w:t>
      </w:r>
      <w:proofErr w:type="spellEnd"/>
      <w:r>
        <w:t xml:space="preserve"> and </w:t>
      </w:r>
      <w:proofErr w:type="spellStart"/>
      <w:r>
        <w:t>Rabe-Hesketh</w:t>
      </w:r>
      <w:proofErr w:type="spellEnd"/>
      <w:r>
        <w:t xml:space="preserve">, 2004, </w:t>
      </w:r>
      <w:proofErr w:type="spellStart"/>
      <w:r>
        <w:t>Zheng</w:t>
      </w:r>
      <w:proofErr w:type="spellEnd"/>
      <w:r>
        <w:t xml:space="preserve"> and </w:t>
      </w:r>
      <w:proofErr w:type="spellStart"/>
      <w:r>
        <w:t>Rabe-Hesketh</w:t>
      </w:r>
      <w:proofErr w:type="spellEnd"/>
      <w:r>
        <w:t>, 2007)</w:t>
      </w:r>
      <w:r w:rsidRPr="00E351D2">
        <w:t xml:space="preserve">.  While some authors present relatively little of the GLLAMM output </w:t>
      </w:r>
      <w:r>
        <w:t>(Li et al., 2005, Ng et al., 2010)</w:t>
      </w:r>
      <w:r w:rsidRPr="00E351D2">
        <w:t xml:space="preserve">, I here follow other authors </w:t>
      </w:r>
      <w:r>
        <w:t>(</w:t>
      </w:r>
      <w:proofErr w:type="spellStart"/>
      <w:r>
        <w:t>Bertelli</w:t>
      </w:r>
      <w:proofErr w:type="spellEnd"/>
      <w:r>
        <w:t xml:space="preserve"> and Richardson </w:t>
      </w:r>
      <w:proofErr w:type="spellStart"/>
      <w:r>
        <w:t>Jr</w:t>
      </w:r>
      <w:proofErr w:type="spellEnd"/>
      <w:r>
        <w:t xml:space="preserve">, 2008, Faye et al., 2011:13, </w:t>
      </w:r>
      <w:proofErr w:type="spellStart"/>
      <w:r>
        <w:t>Raileanu</w:t>
      </w:r>
      <w:proofErr w:type="spellEnd"/>
      <w:r>
        <w:t xml:space="preserve"> </w:t>
      </w:r>
      <w:proofErr w:type="spellStart"/>
      <w:r>
        <w:t>Szeles</w:t>
      </w:r>
      <w:proofErr w:type="spellEnd"/>
      <w:r>
        <w:t xml:space="preserve"> and Fusco, 2009)</w:t>
      </w:r>
      <w:r w:rsidRPr="00E351D2">
        <w:t xml:space="preserve"> in presenting the difficulty and discrimination parameters for transparency at the end of this Appendix.  The trait score for each possible combination of answers was then estimated and assigned to each person in the Skills Surveys.</w:t>
      </w:r>
      <w:r>
        <w:t xml:space="preserve">   </w:t>
      </w:r>
    </w:p>
    <w:p w:rsidR="00177B3C" w:rsidRPr="00E351D2" w:rsidRDefault="00177B3C" w:rsidP="00177B3C">
      <w:r w:rsidRPr="00E351D2">
        <w:t xml:space="preserve">Finally, for the main demands and control scales, I checked the two-parameter IRT models against other possible ways of constructing latent scales, including less flexible (one-parameter) IRT models, PCA adapted for ordinal variables </w:t>
      </w:r>
      <w:r>
        <w:t>(</w:t>
      </w:r>
      <w:proofErr w:type="spellStart"/>
      <w:r>
        <w:t>polychoric</w:t>
      </w:r>
      <w:proofErr w:type="spellEnd"/>
      <w:r>
        <w:t xml:space="preserve"> PCA, </w:t>
      </w:r>
      <w:proofErr w:type="spellStart"/>
      <w:r>
        <w:t>Holgado-Tello</w:t>
      </w:r>
      <w:proofErr w:type="spellEnd"/>
      <w:r>
        <w:t xml:space="preserve"> et al., 2008, </w:t>
      </w:r>
      <w:proofErr w:type="spellStart"/>
      <w:r>
        <w:t>Kolenikov</w:t>
      </w:r>
      <w:proofErr w:type="spellEnd"/>
      <w:r>
        <w:t xml:space="preserve"> and Angeles, 2004)</w:t>
      </w:r>
      <w:r w:rsidRPr="00E351D2">
        <w:t xml:space="preserve"> and conventional PCA analysis.  These other methods all produced a control scale that was more highly non-normal than the two-parameter IRT models, but otherwise the scales all correlated with one another very highly.</w:t>
      </w:r>
    </w:p>
    <w:p w:rsidR="00177B3C" w:rsidRPr="00E351D2" w:rsidRDefault="00177B3C" w:rsidP="00177B3C">
      <w:r w:rsidRPr="00E351D2">
        <w:t>Unless otherwise specified, the results below account for differential non-response by gender.</w:t>
      </w:r>
      <w:r w:rsidRPr="00E351D2">
        <w:rPr>
          <w:rStyle w:val="FootnoteReference"/>
        </w:rPr>
        <w:footnoteReference w:id="1"/>
      </w:r>
      <w:r w:rsidRPr="00E351D2">
        <w:t xml:space="preserve">  The combined sample size for these results is 15,654 for control and 13,397 for demands (the difference between them being the absence of the 1997 Skills Survey for the demands results).  Some caution should be used with linear forms of the control </w:t>
      </w:r>
      <w:r>
        <w:t xml:space="preserve">and physicality </w:t>
      </w:r>
      <w:r w:rsidRPr="00E351D2">
        <w:t>scale</w:t>
      </w:r>
      <w:r>
        <w:t>s</w:t>
      </w:r>
      <w:r w:rsidRPr="00E351D2">
        <w:t xml:space="preserve"> as </w:t>
      </w:r>
      <w:r>
        <w:t xml:space="preserve">the latent scales are non-normally distributed </w:t>
      </w:r>
      <w:r w:rsidRPr="00E351D2">
        <w:t xml:space="preserve">(although this is not a problem for the categorical job strain measures).  </w:t>
      </w:r>
    </w:p>
    <w:p w:rsidR="00177B3C" w:rsidRDefault="00177B3C" w:rsidP="00177B3C">
      <w:pPr>
        <w:rPr>
          <w:rFonts w:eastAsia="SimSun" w:cs="Times New Roman"/>
          <w:b/>
          <w:bCs/>
          <w:szCs w:val="20"/>
        </w:rPr>
      </w:pPr>
      <w:bookmarkStart w:id="3" w:name="_Ref295224362"/>
      <w:r>
        <w:br w:type="page"/>
      </w:r>
    </w:p>
    <w:p w:rsidR="00177B3C" w:rsidRPr="00E351D2" w:rsidRDefault="00177B3C" w:rsidP="00177B3C">
      <w:pPr>
        <w:pStyle w:val="Caption"/>
        <w:keepNext/>
      </w:pPr>
      <w:r w:rsidRPr="00E351D2">
        <w:lastRenderedPageBreak/>
        <w:t xml:space="preserve">Table </w:t>
      </w:r>
      <w:proofErr w:type="gramStart"/>
      <w:r>
        <w:t>A</w:t>
      </w:r>
      <w:proofErr w:type="gramEnd"/>
      <w:r w:rsidR="003D7A5E">
        <w:fldChar w:fldCharType="begin"/>
      </w:r>
      <w:r w:rsidR="003D7A5E">
        <w:instrText xml:space="preserve"> SEQ Table \* ARABIC </w:instrText>
      </w:r>
      <w:r w:rsidR="003D7A5E">
        <w:fldChar w:fldCharType="separate"/>
      </w:r>
      <w:r>
        <w:rPr>
          <w:noProof/>
        </w:rPr>
        <w:t>1</w:t>
      </w:r>
      <w:r w:rsidR="003D7A5E">
        <w:rPr>
          <w:noProof/>
        </w:rPr>
        <w:fldChar w:fldCharType="end"/>
      </w:r>
      <w:bookmarkEnd w:id="3"/>
      <w:r w:rsidRPr="00E351D2">
        <w:t>: Item Response Theory model for Demands</w:t>
      </w:r>
    </w:p>
    <w:tbl>
      <w:tblPr>
        <w:tblStyle w:val="LightShading1"/>
        <w:tblW w:w="0" w:type="auto"/>
        <w:jc w:val="center"/>
        <w:tblLook w:val="0680" w:firstRow="0" w:lastRow="0" w:firstColumn="1" w:lastColumn="0" w:noHBand="1" w:noVBand="1"/>
      </w:tblPr>
      <w:tblGrid>
        <w:gridCol w:w="4077"/>
        <w:gridCol w:w="1291"/>
        <w:gridCol w:w="1292"/>
      </w:tblGrid>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177B3C" w:rsidRPr="00E351D2" w:rsidRDefault="00177B3C" w:rsidP="00350537"/>
        </w:tc>
        <w:tc>
          <w:tcPr>
            <w:tcW w:w="2583" w:type="dxa"/>
            <w:gridSpan w:val="2"/>
            <w:tcBorders>
              <w:top w:val="single" w:sz="8" w:space="0" w:color="000000" w:themeColor="text1"/>
              <w:bottom w:val="nil"/>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tc>
        <w:tc>
          <w:tcPr>
            <w:tcW w:w="1291"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SE</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Difficulty parameter</w:t>
            </w:r>
          </w:p>
        </w:tc>
        <w:tc>
          <w:tcPr>
            <w:tcW w:w="1291"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D1</w:t>
            </w:r>
            <w:r w:rsidRPr="00E351D2">
              <w:t xml:space="preserve"> </w:t>
            </w:r>
            <w:r w:rsidRPr="00E351D2">
              <w:rPr>
                <w:b w:val="0"/>
              </w:rPr>
              <w:t>work very hard</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Strongly agree-&gt;Agree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0.51</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Agree-&gt;Disagree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-2.69</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Disagree-&gt;Strongly 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-4.85</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0.15</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D4 very high speed</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All the time-&gt;Almost all the time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0.77</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Almost all the time-&gt;Around ¾ of the time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-0.18</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Around ¾ of the time-&gt;Around ½ the time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0.65</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Around ½ the time-&gt;Around ¼ of the time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-0.19</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Around ¼ of the time-&gt;Almost never</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Almost never-&gt;Never</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-0.68</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D12 great deal of tension</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Strongly agree-&gt;Agree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1.28</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Agree-&gt;Disagree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Disagree-&gt;Strongly 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-2.70</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Discrimination parameter</w:t>
            </w:r>
          </w:p>
        </w:tc>
        <w:tc>
          <w:tcPr>
            <w:tcW w:w="1291"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177B3C" w:rsidRPr="00E351D2" w:rsidRDefault="00177B3C" w:rsidP="00350537">
            <w:pPr>
              <w:rPr>
                <w:b w:val="0"/>
              </w:rPr>
            </w:pPr>
            <w:r w:rsidRPr="00E351D2">
              <w:rPr>
                <w:b w:val="0"/>
              </w:rPr>
              <w:t>D1 work very hard</w:t>
            </w:r>
          </w:p>
        </w:tc>
        <w:tc>
          <w:tcPr>
            <w:tcW w:w="1291"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177B3C" w:rsidRPr="00E351D2" w:rsidRDefault="00177B3C" w:rsidP="00350537">
            <w:pPr>
              <w:rPr>
                <w:b w:val="0"/>
              </w:rPr>
            </w:pPr>
            <w:r w:rsidRPr="00E351D2">
              <w:rPr>
                <w:b w:val="0"/>
              </w:rPr>
              <w:t>D4 very high speed</w:t>
            </w:r>
          </w:p>
        </w:tc>
        <w:tc>
          <w:tcPr>
            <w:tcW w:w="1291"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0.26</w:t>
            </w:r>
          </w:p>
        </w:tc>
        <w:tc>
          <w:tcPr>
            <w:tcW w:w="1292"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0.01</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pPr>
              <w:rPr>
                <w:b w:val="0"/>
              </w:rPr>
            </w:pPr>
            <w:r w:rsidRPr="00E351D2">
              <w:rPr>
                <w:b w:val="0"/>
              </w:rPr>
              <w:t>D12 great deal of tension</w:t>
            </w:r>
          </w:p>
        </w:tc>
        <w:tc>
          <w:tcPr>
            <w:tcW w:w="1291"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0.81</w:t>
            </w:r>
          </w:p>
        </w:tc>
        <w:tc>
          <w:tcPr>
            <w:tcW w:w="1292"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0.05</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Log likelihood</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-63,353</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n</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15,972</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bl>
    <w:p w:rsidR="00177B3C" w:rsidRPr="00E351D2" w:rsidRDefault="00177B3C" w:rsidP="00177B3C">
      <w:pPr>
        <w:spacing w:before="240"/>
        <w:rPr>
          <w:sz w:val="18"/>
        </w:rPr>
      </w:pPr>
      <w:r>
        <w:rPr>
          <w:sz w:val="18"/>
        </w:rPr>
        <w:t>T</w:t>
      </w:r>
      <w:r w:rsidRPr="00E351D2">
        <w:rPr>
          <w:sz w:val="18"/>
        </w:rPr>
        <w:t>he ‘</w:t>
      </w:r>
      <w:r w:rsidRPr="00E351D2">
        <w:rPr>
          <w:sz w:val="18"/>
          <w:u w:val="single"/>
        </w:rPr>
        <w:t>difficulty parameters</w:t>
      </w:r>
      <w:r w:rsidRPr="00E351D2">
        <w:rPr>
          <w:sz w:val="18"/>
        </w:rPr>
        <w:t xml:space="preserve">’ </w:t>
      </w:r>
      <w:r>
        <w:rPr>
          <w:sz w:val="18"/>
        </w:rPr>
        <w:t xml:space="preserve">refer to the point at which the item is most sensitive to changes in latent demands – higher values of difficulty parameters here mean that the items respond most strongly to changes at higher levels of </w:t>
      </w:r>
      <w:r w:rsidRPr="00E351D2">
        <w:rPr>
          <w:sz w:val="18"/>
        </w:rPr>
        <w:t>demands on the latent scale.  For example, the cut-point between ‘disagree’ and ‘strongly disagree’</w:t>
      </w:r>
      <w:r>
        <w:rPr>
          <w:sz w:val="18"/>
        </w:rPr>
        <w:t xml:space="preserve"> for D1 (‘work very hard’) is -4</w:t>
      </w:r>
      <w:r w:rsidRPr="00E351D2">
        <w:rPr>
          <w:sz w:val="18"/>
        </w:rPr>
        <w:t>.8</w:t>
      </w:r>
      <w:r>
        <w:rPr>
          <w:sz w:val="18"/>
        </w:rPr>
        <w:t>5</w:t>
      </w:r>
      <w:r w:rsidRPr="00E351D2">
        <w:rPr>
          <w:sz w:val="18"/>
        </w:rPr>
        <w:t>, whereas the cut-point between ‘strongly agree’ and ‘agree’ is higher at +0.</w:t>
      </w:r>
      <w:r>
        <w:rPr>
          <w:sz w:val="18"/>
        </w:rPr>
        <w:t>51</w:t>
      </w:r>
      <w:r w:rsidRPr="00E351D2">
        <w:rPr>
          <w:sz w:val="18"/>
        </w:rPr>
        <w:t xml:space="preserve">, showing </w:t>
      </w:r>
      <w:r>
        <w:rPr>
          <w:sz w:val="18"/>
        </w:rPr>
        <w:t>that the former cut-point is primarily about low levels of demands, while the higher cut-point is about higher levels of demands (analogously to a more difficult exam question)</w:t>
      </w:r>
      <w:r w:rsidRPr="00E351D2">
        <w:rPr>
          <w:sz w:val="18"/>
        </w:rPr>
        <w:t>.</w:t>
      </w:r>
    </w:p>
    <w:p w:rsidR="00177B3C" w:rsidRDefault="00177B3C" w:rsidP="00177B3C">
      <w:pPr>
        <w:spacing w:before="120"/>
        <w:rPr>
          <w:sz w:val="18"/>
        </w:rPr>
      </w:pPr>
      <w:r w:rsidRPr="00E351D2">
        <w:rPr>
          <w:sz w:val="18"/>
        </w:rPr>
        <w:t xml:space="preserve">The </w:t>
      </w:r>
      <w:r>
        <w:rPr>
          <w:sz w:val="18"/>
        </w:rPr>
        <w:t xml:space="preserve">inclusion of the </w:t>
      </w:r>
      <w:r w:rsidRPr="00E351D2">
        <w:rPr>
          <w:sz w:val="18"/>
        </w:rPr>
        <w:t>‘</w:t>
      </w:r>
      <w:r w:rsidRPr="00E351D2">
        <w:rPr>
          <w:sz w:val="18"/>
          <w:u w:val="single"/>
        </w:rPr>
        <w:t>discrimination parameter</w:t>
      </w:r>
      <w:r w:rsidRPr="00E351D2">
        <w:rPr>
          <w:sz w:val="18"/>
        </w:rPr>
        <w:t xml:space="preserve">’ </w:t>
      </w:r>
      <w:r>
        <w:rPr>
          <w:sz w:val="18"/>
        </w:rPr>
        <w:t>sets this apart from a one-parameter IRT model</w:t>
      </w:r>
      <w:r w:rsidRPr="00E351D2">
        <w:rPr>
          <w:sz w:val="18"/>
        </w:rPr>
        <w:t xml:space="preserve">.  A high value on the discrimination parameter means that the variable is more </w:t>
      </w:r>
      <w:r>
        <w:rPr>
          <w:sz w:val="18"/>
        </w:rPr>
        <w:t xml:space="preserve">sensitive to changes in </w:t>
      </w:r>
      <w:r w:rsidRPr="00E351D2">
        <w:rPr>
          <w:sz w:val="18"/>
        </w:rPr>
        <w:t>the latent scale</w:t>
      </w:r>
      <w:r>
        <w:rPr>
          <w:sz w:val="18"/>
        </w:rPr>
        <w:t xml:space="preserve"> (i.e. it discriminates better between different levels of WLD)</w:t>
      </w:r>
      <w:r w:rsidRPr="00E351D2">
        <w:rPr>
          <w:sz w:val="18"/>
        </w:rPr>
        <w:t xml:space="preserve">.  In other words, D1 (‘work very hard’) has a discrimination parameter of 1, and is therefore better at predicting latent demands than D4 (‘very high speed’) with a discrimination parameter of 0.26 </w:t>
      </w:r>
      <w:r>
        <w:rPr>
          <w:sz w:val="18"/>
        </w:rPr>
        <w:t>(see Bartholomew, et al., 2008)</w:t>
      </w:r>
      <w:r w:rsidRPr="00E351D2">
        <w:rPr>
          <w:sz w:val="18"/>
        </w:rPr>
        <w:t>.</w:t>
      </w:r>
    </w:p>
    <w:p w:rsidR="00177B3C" w:rsidRPr="00E351D2" w:rsidRDefault="00177B3C" w:rsidP="00177B3C">
      <w:pPr>
        <w:spacing w:before="120"/>
        <w:rPr>
          <w:sz w:val="18"/>
        </w:rPr>
      </w:pPr>
    </w:p>
    <w:p w:rsidR="00177B3C" w:rsidRPr="00E351D2" w:rsidRDefault="00177B3C" w:rsidP="00177B3C">
      <w:pPr>
        <w:spacing w:after="0"/>
      </w:pPr>
      <w:r w:rsidRPr="00E351D2">
        <w:br w:type="page"/>
      </w:r>
    </w:p>
    <w:p w:rsidR="00177B3C" w:rsidRPr="00E351D2" w:rsidRDefault="00177B3C" w:rsidP="00177B3C">
      <w:pPr>
        <w:pStyle w:val="Caption"/>
        <w:keepNext/>
      </w:pPr>
      <w:r w:rsidRPr="00E351D2">
        <w:lastRenderedPageBreak/>
        <w:t xml:space="preserve">Table </w:t>
      </w:r>
      <w:proofErr w:type="gramStart"/>
      <w:r>
        <w:t>A</w:t>
      </w:r>
      <w:proofErr w:type="gramEnd"/>
      <w:r w:rsidR="003D7A5E">
        <w:fldChar w:fldCharType="begin"/>
      </w:r>
      <w:r w:rsidR="003D7A5E">
        <w:instrText xml:space="preserve"> SEQ Table \* ARABIC </w:instrText>
      </w:r>
      <w:r w:rsidR="003D7A5E">
        <w:fldChar w:fldCharType="separate"/>
      </w:r>
      <w:r>
        <w:rPr>
          <w:noProof/>
        </w:rPr>
        <w:t>2</w:t>
      </w:r>
      <w:r w:rsidR="003D7A5E">
        <w:rPr>
          <w:noProof/>
        </w:rPr>
        <w:fldChar w:fldCharType="end"/>
      </w:r>
      <w:r w:rsidRPr="00E351D2">
        <w:t>: Item Response Theory model for Control</w:t>
      </w:r>
    </w:p>
    <w:tbl>
      <w:tblPr>
        <w:tblStyle w:val="LightShading1"/>
        <w:tblW w:w="0" w:type="auto"/>
        <w:jc w:val="center"/>
        <w:tblLook w:val="0680" w:firstRow="0" w:lastRow="0" w:firstColumn="1" w:lastColumn="0" w:noHBand="1" w:noVBand="1"/>
      </w:tblPr>
      <w:tblGrid>
        <w:gridCol w:w="4077"/>
        <w:gridCol w:w="1291"/>
        <w:gridCol w:w="1292"/>
      </w:tblGrid>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177B3C" w:rsidRPr="00E351D2" w:rsidRDefault="00177B3C" w:rsidP="00350537"/>
        </w:tc>
        <w:tc>
          <w:tcPr>
            <w:tcW w:w="2583" w:type="dxa"/>
            <w:gridSpan w:val="2"/>
            <w:tcBorders>
              <w:top w:val="single" w:sz="8" w:space="0" w:color="000000" w:themeColor="text1"/>
              <w:bottom w:val="nil"/>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tc>
        <w:tc>
          <w:tcPr>
            <w:tcW w:w="1291"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SE</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Difficulty parameter</w:t>
            </w:r>
          </w:p>
        </w:tc>
        <w:tc>
          <w:tcPr>
            <w:tcW w:w="1291"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C1 Influence on how hard work</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Strongly agree-&gt;Agree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-0.67</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Agree-&gt;Disagree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-2.58</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0.05</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Disagree-&gt;Strongly disagree</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-3.17</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C25 Influence on how to do task</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great deal-&gt;A fair amount</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-0.19</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fair amount-&gt;Not much</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-3.57</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0.08</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Not much-&gt;None at all</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-4.96</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0.14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C33 Influence on what tasks to do</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great deal-&gt;A fair amount</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0.62</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fair amount-&gt;Not much</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-1.39</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Not much-&gt;None at all</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-2.72</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C49 Influence on quality standards</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great deal-&gt;A fair amount</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-0.70</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0.02</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A fair amount-&gt;Not much</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-1.92</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Not much-&gt;None at all</w:t>
            </w:r>
          </w:p>
        </w:tc>
        <w:tc>
          <w:tcPr>
            <w:tcW w:w="1291"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-2.07</w:t>
            </w:r>
          </w:p>
        </w:tc>
        <w:tc>
          <w:tcPr>
            <w:tcW w:w="1292" w:type="dxa"/>
            <w:vAlign w:val="bottom"/>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rPr>
                <w:rFonts w:cs="Arial"/>
                <w:color w:val="000000"/>
                <w:szCs w:val="22"/>
              </w:rPr>
            </w:pPr>
            <w:r w:rsidRPr="00E351D2">
              <w:rPr>
                <w:rFonts w:cs="Arial"/>
                <w:color w:val="000000"/>
                <w:szCs w:val="22"/>
              </w:rPr>
              <w:t>0.06</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Discrimination parameter</w:t>
            </w:r>
          </w:p>
        </w:tc>
        <w:tc>
          <w:tcPr>
            <w:tcW w:w="1291"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177B3C" w:rsidRPr="00E351D2" w:rsidRDefault="00177B3C" w:rsidP="00350537">
            <w:pPr>
              <w:rPr>
                <w:b w:val="0"/>
              </w:rPr>
            </w:pPr>
            <w:r w:rsidRPr="00E351D2">
              <w:rPr>
                <w:b w:val="0"/>
              </w:rPr>
              <w:t>C1 Influence on how hard work</w:t>
            </w:r>
          </w:p>
        </w:tc>
        <w:tc>
          <w:tcPr>
            <w:tcW w:w="1291"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177B3C" w:rsidRPr="00E351D2" w:rsidRDefault="00177B3C" w:rsidP="00350537">
            <w:pPr>
              <w:rPr>
                <w:b w:val="0"/>
              </w:rPr>
            </w:pPr>
            <w:r w:rsidRPr="00E351D2">
              <w:rPr>
                <w:b w:val="0"/>
              </w:rPr>
              <w:t>C25 Influence on how to do task</w:t>
            </w:r>
          </w:p>
        </w:tc>
        <w:tc>
          <w:tcPr>
            <w:tcW w:w="1291"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2.38</w:t>
            </w:r>
          </w:p>
        </w:tc>
        <w:tc>
          <w:tcPr>
            <w:tcW w:w="1292"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0.09</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tcPr>
          <w:p w:rsidR="00177B3C" w:rsidRPr="00E351D2" w:rsidRDefault="00177B3C" w:rsidP="00350537">
            <w:pPr>
              <w:rPr>
                <w:b w:val="0"/>
              </w:rPr>
            </w:pPr>
            <w:r w:rsidRPr="00E351D2">
              <w:rPr>
                <w:b w:val="0"/>
              </w:rPr>
              <w:t>C33 Influence on what tasks to do</w:t>
            </w:r>
          </w:p>
        </w:tc>
        <w:tc>
          <w:tcPr>
            <w:tcW w:w="1291"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1.55</w:t>
            </w:r>
          </w:p>
        </w:tc>
        <w:tc>
          <w:tcPr>
            <w:tcW w:w="1292" w:type="dxa"/>
            <w:tcBorders>
              <w:top w:val="nil"/>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0.05</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pPr>
              <w:rPr>
                <w:b w:val="0"/>
              </w:rPr>
            </w:pPr>
            <w:r w:rsidRPr="00E351D2">
              <w:rPr>
                <w:b w:val="0"/>
              </w:rPr>
              <w:t>C49 Influence on quality standards</w:t>
            </w:r>
          </w:p>
        </w:tc>
        <w:tc>
          <w:tcPr>
            <w:tcW w:w="1291"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1.00</w:t>
            </w:r>
          </w:p>
        </w:tc>
        <w:tc>
          <w:tcPr>
            <w:tcW w:w="1292"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Log likelihood</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-68,700</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n</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18,059</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bl>
    <w:p w:rsidR="00177B3C" w:rsidRDefault="00177B3C" w:rsidP="00177B3C">
      <w:r>
        <w:br w:type="page"/>
      </w:r>
    </w:p>
    <w:p w:rsidR="00177B3C" w:rsidRPr="00E351D2" w:rsidRDefault="00177B3C" w:rsidP="00177B3C">
      <w:pPr>
        <w:pStyle w:val="Caption"/>
        <w:keepNext/>
      </w:pPr>
      <w:bookmarkStart w:id="4" w:name="_Ref295665506"/>
      <w:r w:rsidRPr="00E351D2">
        <w:lastRenderedPageBreak/>
        <w:t xml:space="preserve">Table </w:t>
      </w:r>
      <w:proofErr w:type="gramStart"/>
      <w:r>
        <w:t>A</w:t>
      </w:r>
      <w:proofErr w:type="gramEnd"/>
      <w:r w:rsidR="003D7A5E">
        <w:fldChar w:fldCharType="begin"/>
      </w:r>
      <w:r w:rsidR="003D7A5E">
        <w:instrText xml:space="preserve"> SEQ Table \* ARABIC </w:instrText>
      </w:r>
      <w:r w:rsidR="003D7A5E">
        <w:fldChar w:fldCharType="separate"/>
      </w:r>
      <w:r>
        <w:rPr>
          <w:noProof/>
        </w:rPr>
        <w:t>3</w:t>
      </w:r>
      <w:r w:rsidR="003D7A5E">
        <w:rPr>
          <w:noProof/>
        </w:rPr>
        <w:fldChar w:fldCharType="end"/>
      </w:r>
      <w:bookmarkEnd w:id="4"/>
      <w:r w:rsidRPr="00E351D2">
        <w:t>: Item Response Theory model for Physical demands</w:t>
      </w:r>
    </w:p>
    <w:tbl>
      <w:tblPr>
        <w:tblStyle w:val="LightShading1"/>
        <w:tblW w:w="0" w:type="auto"/>
        <w:jc w:val="center"/>
        <w:tblLook w:val="0680" w:firstRow="0" w:lastRow="0" w:firstColumn="1" w:lastColumn="0" w:noHBand="1" w:noVBand="1"/>
      </w:tblPr>
      <w:tblGrid>
        <w:gridCol w:w="4077"/>
        <w:gridCol w:w="1291"/>
        <w:gridCol w:w="1292"/>
      </w:tblGrid>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000000" w:themeColor="text1"/>
              <w:bottom w:val="nil"/>
            </w:tcBorders>
          </w:tcPr>
          <w:p w:rsidR="00177B3C" w:rsidRPr="00E351D2" w:rsidRDefault="00177B3C" w:rsidP="00350537"/>
        </w:tc>
        <w:tc>
          <w:tcPr>
            <w:tcW w:w="2583" w:type="dxa"/>
            <w:gridSpan w:val="2"/>
            <w:tcBorders>
              <w:top w:val="single" w:sz="8" w:space="0" w:color="000000" w:themeColor="text1"/>
              <w:bottom w:val="nil"/>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Two-parameter model</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tc>
        <w:tc>
          <w:tcPr>
            <w:tcW w:w="1291"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Estimate</w:t>
            </w:r>
          </w:p>
        </w:tc>
        <w:tc>
          <w:tcPr>
            <w:tcW w:w="1292" w:type="dxa"/>
            <w:tcBorders>
              <w:top w:val="nil"/>
              <w:bottom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r w:rsidRPr="00E351D2">
              <w:t>SE</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Difficulty parameter</w:t>
            </w:r>
          </w:p>
        </w:tc>
        <w:tc>
          <w:tcPr>
            <w:tcW w:w="1291"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P6 (stamina)</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Essential -&gt; Very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2.83</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0.23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Very important -&gt; Fairly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1.49</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0.10</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Fairly important -&gt; Not very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0.09</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Not v important  -&gt; Not at all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-1.55</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0.14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rPr>
                <w:b w:val="0"/>
              </w:rPr>
            </w:pPr>
            <w:r w:rsidRPr="00E351D2">
              <w:rPr>
                <w:b w:val="0"/>
              </w:rPr>
              <w:t>P8 (strength)</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Essential -&gt; Very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2.22</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0.14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Very important -&gt; Fairly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0.73</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0.06</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rPr>
            </w:pPr>
            <w:r w:rsidRPr="00E351D2">
              <w:rPr>
                <w:b w:val="0"/>
              </w:rPr>
              <w:t>Fairly important -&gt; Not very important</w:t>
            </w:r>
          </w:p>
        </w:tc>
        <w:tc>
          <w:tcPr>
            <w:tcW w:w="1291"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-0.64</w:t>
            </w:r>
          </w:p>
        </w:tc>
        <w:tc>
          <w:tcPr>
            <w:tcW w:w="1292" w:type="dxa"/>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0.04</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177B3C" w:rsidRPr="00E351D2" w:rsidRDefault="00177B3C" w:rsidP="00350537">
            <w:pPr>
              <w:jc w:val="right"/>
              <w:rPr>
                <w:b w:val="0"/>
              </w:rPr>
            </w:pPr>
            <w:r w:rsidRPr="00E351D2">
              <w:rPr>
                <w:b w:val="0"/>
              </w:rPr>
              <w:t>Not v important  -&gt; Not at all important</w:t>
            </w:r>
          </w:p>
        </w:tc>
        <w:tc>
          <w:tcPr>
            <w:tcW w:w="1291"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-1.73</w:t>
            </w:r>
          </w:p>
        </w:tc>
        <w:tc>
          <w:tcPr>
            <w:tcW w:w="1292"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0.13</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tcBorders>
          </w:tcPr>
          <w:p w:rsidR="00177B3C" w:rsidRPr="00E351D2" w:rsidRDefault="00177B3C" w:rsidP="00350537">
            <w:pPr>
              <w:rPr>
                <w:i/>
              </w:rPr>
            </w:pPr>
            <w:r w:rsidRPr="00E351D2">
              <w:rPr>
                <w:i/>
              </w:rPr>
              <w:t>Discrimination parameter</w:t>
            </w:r>
          </w:p>
        </w:tc>
        <w:tc>
          <w:tcPr>
            <w:tcW w:w="1291" w:type="dxa"/>
            <w:tcBorders>
              <w:top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p>
        </w:tc>
        <w:tc>
          <w:tcPr>
            <w:tcW w:w="1292" w:type="dxa"/>
            <w:tcBorders>
              <w:top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bottom w:val="nil"/>
            </w:tcBorders>
          </w:tcPr>
          <w:p w:rsidR="00177B3C" w:rsidRPr="00E351D2" w:rsidRDefault="00177B3C" w:rsidP="00350537">
            <w:pPr>
              <w:rPr>
                <w:b w:val="0"/>
              </w:rPr>
            </w:pPr>
            <w:r w:rsidRPr="00E351D2">
              <w:rPr>
                <w:b w:val="0"/>
              </w:rPr>
              <w:t>P6 (strength)</w:t>
            </w:r>
          </w:p>
        </w:tc>
        <w:tc>
          <w:tcPr>
            <w:tcW w:w="1291"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1</w:t>
            </w:r>
          </w:p>
        </w:tc>
        <w:tc>
          <w:tcPr>
            <w:tcW w:w="1292" w:type="dxa"/>
            <w:tcBorders>
              <w:bottom w:val="nil"/>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Fixed</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tcPr>
          <w:p w:rsidR="00177B3C" w:rsidRPr="00E351D2" w:rsidRDefault="00177B3C" w:rsidP="00350537">
            <w:pPr>
              <w:rPr>
                <w:b w:val="0"/>
              </w:rPr>
            </w:pPr>
            <w:r w:rsidRPr="00E351D2">
              <w:rPr>
                <w:b w:val="0"/>
              </w:rPr>
              <w:t>P8 (stamina)</w:t>
            </w:r>
          </w:p>
        </w:tc>
        <w:tc>
          <w:tcPr>
            <w:tcW w:w="1291"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0.83</w:t>
            </w:r>
          </w:p>
        </w:tc>
        <w:tc>
          <w:tcPr>
            <w:tcW w:w="1292" w:type="dxa"/>
            <w:tcBorders>
              <w:top w:val="nil"/>
              <w:bottom w:val="single" w:sz="4" w:space="0" w:color="auto"/>
            </w:tcBorders>
          </w:tcPr>
          <w:p w:rsidR="00177B3C" w:rsidRPr="00E351D2" w:rsidRDefault="00177B3C" w:rsidP="00350537">
            <w:pPr>
              <w:jc w:val="right"/>
              <w:cnfStyle w:val="000000000000" w:firstRow="0" w:lastRow="0" w:firstColumn="0" w:lastColumn="0" w:oddVBand="0" w:evenVBand="0" w:oddHBand="0" w:evenHBand="0" w:firstRowFirstColumn="0" w:firstRowLastColumn="0" w:lastRowFirstColumn="0" w:lastRowLastColumn="0"/>
            </w:pPr>
            <w:r w:rsidRPr="00E351D2">
              <w:t>0.11</w:t>
            </w: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Log likelihood</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-41,113</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r w:rsidR="00177B3C" w:rsidRPr="00E351D2" w:rsidTr="00350537">
        <w:trPr>
          <w:jc w:val="center"/>
        </w:trPr>
        <w:tc>
          <w:tcPr>
            <w:cnfStyle w:val="001000000000" w:firstRow="0" w:lastRow="0" w:firstColumn="1" w:lastColumn="0" w:oddVBand="0" w:evenVBand="0" w:oddHBand="0" w:evenHBand="0" w:firstRowFirstColumn="0" w:firstRowLastColumn="0" w:lastRowFirstColumn="0" w:lastRowLastColumn="0"/>
            <w:tcW w:w="4077" w:type="dxa"/>
          </w:tcPr>
          <w:p w:rsidR="00177B3C" w:rsidRPr="00E351D2" w:rsidRDefault="00177B3C" w:rsidP="00350537">
            <w:pPr>
              <w:jc w:val="right"/>
              <w:rPr>
                <w:b w:val="0"/>
                <w:i/>
              </w:rPr>
            </w:pPr>
            <w:r w:rsidRPr="00E351D2">
              <w:rPr>
                <w:b w:val="0"/>
                <w:i/>
              </w:rPr>
              <w:t>n</w:t>
            </w:r>
          </w:p>
        </w:tc>
        <w:tc>
          <w:tcPr>
            <w:tcW w:w="1291"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r w:rsidRPr="00E351D2">
              <w:rPr>
                <w:i/>
              </w:rPr>
              <w:t>14,695</w:t>
            </w:r>
          </w:p>
        </w:tc>
        <w:tc>
          <w:tcPr>
            <w:tcW w:w="1292" w:type="dxa"/>
          </w:tcPr>
          <w:p w:rsidR="00177B3C" w:rsidRPr="00E351D2" w:rsidRDefault="00177B3C" w:rsidP="00350537">
            <w:pPr>
              <w:cnfStyle w:val="000000000000" w:firstRow="0" w:lastRow="0" w:firstColumn="0" w:lastColumn="0" w:oddVBand="0" w:evenVBand="0" w:oddHBand="0" w:evenHBand="0" w:firstRowFirstColumn="0" w:firstRowLastColumn="0" w:lastRowFirstColumn="0" w:lastRowLastColumn="0"/>
              <w:rPr>
                <w:i/>
              </w:rPr>
            </w:pPr>
          </w:p>
        </w:tc>
      </w:tr>
    </w:tbl>
    <w:p w:rsidR="00177B3C" w:rsidRPr="00E351D2" w:rsidRDefault="00177B3C" w:rsidP="00177B3C">
      <w:pPr>
        <w:spacing w:after="0"/>
        <w:rPr>
          <w:rFonts w:cs="Arial"/>
          <w:b/>
          <w:bCs/>
          <w:iCs/>
          <w:smallCaps/>
          <w:color w:val="008000"/>
        </w:rPr>
      </w:pPr>
    </w:p>
    <w:p w:rsidR="00177B3C" w:rsidRDefault="00177B3C" w:rsidP="00177B3C">
      <w:pPr>
        <w:sectPr w:rsidR="00177B3C" w:rsidSect="00F5777F">
          <w:pgSz w:w="11906" w:h="16838"/>
          <w:pgMar w:top="1440" w:right="1440" w:bottom="1440" w:left="1440" w:header="708" w:footer="708" w:gutter="0"/>
          <w:cols w:space="708"/>
          <w:docGrid w:linePitch="360"/>
        </w:sectPr>
      </w:pPr>
    </w:p>
    <w:p w:rsidR="00177B3C" w:rsidRDefault="00177B3C" w:rsidP="00177B3C">
      <w:pPr>
        <w:pStyle w:val="Heading2"/>
        <w:numPr>
          <w:ilvl w:val="0"/>
          <w:numId w:val="13"/>
        </w:numPr>
      </w:pPr>
      <w:bookmarkStart w:id="5" w:name="_Toc360900312"/>
      <w:r>
        <w:lastRenderedPageBreak/>
        <w:t>The bespoke occupational classification</w:t>
      </w:r>
      <w:bookmarkEnd w:id="5"/>
    </w:p>
    <w:p w:rsidR="00177B3C" w:rsidRPr="003E512D" w:rsidRDefault="00177B3C" w:rsidP="00177B3C">
      <w:r>
        <w:t>Even when looking at a single occupational classification, we have the problem that there are relatively little data within each of the minor groups in the exposure data, with most unit-group occupations containing less than 30 people.  If we use the higher-level groupings, however, then we lose some of the genuine variation that exists between different minor groups (for example, taxi drivers have a level of control just above 0 on the standardised scale, while bus and coach drivers have a level of control of -1.1).  I therefore created a bespoke occupational grouping that combined rarer unit groups within the same major group until they contained at least 30 people; details of the resulting groups are given below.</w:t>
      </w:r>
    </w:p>
    <w:p w:rsidR="00177B3C" w:rsidRDefault="00177B3C" w:rsidP="00177B3C">
      <w:pPr>
        <w:pStyle w:val="Heading3"/>
      </w:pPr>
      <w:bookmarkStart w:id="6" w:name="_Toc298348029"/>
      <w:r>
        <w:t>Bespoke occupational classification based on SOC 2000</w:t>
      </w:r>
      <w:bookmarkEnd w:id="6"/>
    </w:p>
    <w:tbl>
      <w:tblPr>
        <w:tblW w:w="9780" w:type="dxa"/>
        <w:tblCellMar>
          <w:left w:w="0" w:type="dxa"/>
          <w:right w:w="0" w:type="dxa"/>
        </w:tblCellMar>
        <w:tblLook w:val="04A0" w:firstRow="1" w:lastRow="0" w:firstColumn="1" w:lastColumn="0" w:noHBand="0" w:noVBand="1"/>
      </w:tblPr>
      <w:tblGrid>
        <w:gridCol w:w="720"/>
        <w:gridCol w:w="5431"/>
        <w:gridCol w:w="3629"/>
      </w:tblGrid>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D263C1" w:rsidRDefault="00177B3C" w:rsidP="00350537">
            <w:pPr>
              <w:spacing w:after="0"/>
              <w:rPr>
                <w:rFonts w:asciiTheme="minorHAnsi" w:hAnsiTheme="minorHAnsi"/>
                <w:b/>
                <w:bCs/>
                <w:color w:val="000000"/>
                <w:sz w:val="16"/>
                <w:szCs w:val="18"/>
              </w:rPr>
            </w:pPr>
            <w:r w:rsidRPr="00D263C1">
              <w:rPr>
                <w:rFonts w:asciiTheme="minorHAnsi" w:hAnsiTheme="minorHAnsi"/>
                <w:b/>
                <w:bCs/>
                <w:color w:val="000000"/>
                <w:sz w:val="16"/>
                <w:szCs w:val="18"/>
              </w:rPr>
              <w:t>New code</w:t>
            </w:r>
          </w:p>
        </w:tc>
        <w:tc>
          <w:tcPr>
            <w:tcW w:w="5431"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D263C1" w:rsidRDefault="00177B3C" w:rsidP="00350537">
            <w:pPr>
              <w:spacing w:after="0"/>
              <w:rPr>
                <w:rFonts w:asciiTheme="minorHAnsi" w:hAnsiTheme="minorHAnsi"/>
                <w:b/>
                <w:bCs/>
                <w:color w:val="000000"/>
                <w:sz w:val="16"/>
                <w:szCs w:val="18"/>
              </w:rPr>
            </w:pPr>
            <w:r w:rsidRPr="00D263C1">
              <w:rPr>
                <w:rFonts w:asciiTheme="minorHAnsi" w:hAnsiTheme="minorHAnsi"/>
                <w:b/>
                <w:bCs/>
                <w:color w:val="000000"/>
                <w:sz w:val="16"/>
                <w:szCs w:val="18"/>
              </w:rPr>
              <w:t>Label</w:t>
            </w:r>
          </w:p>
        </w:tc>
        <w:tc>
          <w:tcPr>
            <w:tcW w:w="362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D263C1" w:rsidRDefault="00177B3C" w:rsidP="00350537">
            <w:pPr>
              <w:spacing w:after="0"/>
              <w:rPr>
                <w:rFonts w:asciiTheme="minorHAnsi" w:hAnsiTheme="minorHAnsi"/>
                <w:b/>
                <w:bCs/>
                <w:color w:val="000000"/>
                <w:sz w:val="16"/>
                <w:szCs w:val="18"/>
              </w:rPr>
            </w:pPr>
            <w:r w:rsidRPr="00D263C1">
              <w:rPr>
                <w:rFonts w:asciiTheme="minorHAnsi" w:hAnsiTheme="minorHAnsi"/>
                <w:b/>
                <w:bCs/>
                <w:color w:val="000000"/>
                <w:sz w:val="16"/>
                <w:szCs w:val="18"/>
              </w:rPr>
              <w:t>SOC2000 codes</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prod works &amp; maintenance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[1121|1123]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managers in construction</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[1122]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financial managers &amp; chartered </w:t>
            </w:r>
            <w:proofErr w:type="spellStart"/>
            <w:r w:rsidRPr="00D263C1">
              <w:rPr>
                <w:rFonts w:asciiTheme="minorHAnsi" w:hAnsiTheme="minorHAnsi"/>
                <w:sz w:val="16"/>
                <w:szCs w:val="18"/>
              </w:rPr>
              <w:t>secs</w:t>
            </w:r>
            <w:proofErr w:type="spellEnd"/>
            <w:r w:rsidRPr="00D263C1">
              <w:rPr>
                <w:rFonts w:asciiTheme="minorHAnsi" w:hAnsiTheme="minorHAnsi"/>
                <w:sz w:val="16"/>
                <w:szCs w:val="18"/>
              </w:rPr>
              <w:t xml:space="preserve"> (plus purchasing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[1131|1133]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marketing and sales managers (+ad/PR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[1132|1134]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pers</w:t>
            </w:r>
            <w:proofErr w:type="spellEnd"/>
            <w:r w:rsidRPr="00D263C1">
              <w:rPr>
                <w:rFonts w:asciiTheme="minorHAnsi" w:hAnsiTheme="minorHAnsi"/>
                <w:sz w:val="16"/>
                <w:szCs w:val="18"/>
              </w:rPr>
              <w:t xml:space="preserve"> training, </w:t>
            </w:r>
            <w:proofErr w:type="spellStart"/>
            <w:r w:rsidRPr="00D263C1">
              <w:rPr>
                <w:rFonts w:asciiTheme="minorHAnsi" w:hAnsiTheme="minorHAnsi"/>
                <w:sz w:val="16"/>
                <w:szCs w:val="18"/>
              </w:rPr>
              <w:t>ind</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rel</w:t>
            </w:r>
            <w:proofErr w:type="spellEnd"/>
            <w:r w:rsidRPr="00D263C1">
              <w:rPr>
                <w:rFonts w:asciiTheme="minorHAnsi" w:hAnsiTheme="minorHAnsi"/>
                <w:sz w:val="16"/>
                <w:szCs w:val="18"/>
              </w:rPr>
              <w:t xml:space="preserve"> and R&amp;D </w:t>
            </w:r>
            <w:proofErr w:type="spellStart"/>
            <w:r w:rsidRPr="00D263C1">
              <w:rPr>
                <w:rFonts w:asciiTheme="minorHAnsi" w:hAnsiTheme="minorHAnsi"/>
                <w:sz w:val="16"/>
                <w:szCs w:val="18"/>
              </w:rPr>
              <w:t>mngers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[1135|1137]</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info &amp; communication </w:t>
            </w:r>
            <w:proofErr w:type="spellStart"/>
            <w:r w:rsidRPr="00D263C1">
              <w:rPr>
                <w:rFonts w:asciiTheme="minorHAnsi" w:hAnsiTheme="minorHAnsi"/>
                <w:sz w:val="16"/>
                <w:szCs w:val="18"/>
              </w:rPr>
              <w:t>technol</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mngers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[1136]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customer care and QA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[1141|1142]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financial institution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[1151]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office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[1152]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storage, warehouse and transport/</w:t>
            </w:r>
            <w:proofErr w:type="spellStart"/>
            <w:r w:rsidRPr="00D263C1">
              <w:rPr>
                <w:rFonts w:asciiTheme="minorHAnsi" w:hAnsiTheme="minorHAnsi"/>
                <w:sz w:val="16"/>
                <w:szCs w:val="18"/>
              </w:rPr>
              <w:t>distn</w:t>
            </w:r>
            <w:proofErr w:type="spellEnd"/>
            <w:r w:rsidRPr="00D263C1">
              <w:rPr>
                <w:rFonts w:asciiTheme="minorHAnsi" w:hAnsiTheme="minorHAnsi"/>
                <w:sz w:val="16"/>
                <w:szCs w:val="18"/>
              </w:rPr>
              <w:t xml:space="preserv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[1161|1162]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retail and wholesale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[1163]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managers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health/social care and police/security)</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[1171|1172|1173|1174|1181|1182|1183|1184|1185]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restaurant and catering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[1223]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leisure sector managers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leisure/</w:t>
            </w:r>
            <w:proofErr w:type="spellStart"/>
            <w:r w:rsidRPr="00D263C1">
              <w:rPr>
                <w:rFonts w:asciiTheme="minorHAnsi" w:hAnsiTheme="minorHAnsi"/>
                <w:sz w:val="16"/>
                <w:szCs w:val="18"/>
              </w:rPr>
              <w:t>sports,hotel,pub,travel</w:t>
            </w:r>
            <w:proofErr w:type="spellEnd"/>
            <w:r w:rsidRPr="00D263C1">
              <w:rPr>
                <w:rFonts w:asciiTheme="minorHAnsi" w:hAnsiTheme="minorHAnsi"/>
                <w:sz w:val="16"/>
                <w:szCs w:val="18"/>
              </w:rPr>
              <w:t xml:space="preserve"> agency)</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[1221|1222|1224|1225|1226]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property, housing and land managers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[1231]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mngers</w:t>
            </w:r>
            <w:proofErr w:type="spellEnd"/>
            <w:r w:rsidRPr="00D263C1">
              <w:rPr>
                <w:rFonts w:asciiTheme="minorHAnsi" w:hAnsiTheme="minorHAnsi"/>
                <w:sz w:val="16"/>
                <w:szCs w:val="18"/>
              </w:rPr>
              <w:t xml:space="preserve"> and prop in other </w:t>
            </w:r>
            <w:proofErr w:type="spellStart"/>
            <w:r w:rsidRPr="00D263C1">
              <w:rPr>
                <w:rFonts w:asciiTheme="minorHAnsi" w:hAnsiTheme="minorHAnsi"/>
                <w:sz w:val="16"/>
                <w:szCs w:val="18"/>
              </w:rPr>
              <w:t>srvcs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hairdrs,garages,farms</w:t>
            </w:r>
            <w:proofErr w:type="spellEnd"/>
            <w:r w:rsidRPr="00D263C1">
              <w:rPr>
                <w:rFonts w:asciiTheme="minorHAnsi" w:hAnsiTheme="minorHAnsi"/>
                <w:sz w:val="16"/>
                <w:szCs w:val="18"/>
              </w:rPr>
              <w:t>, natural environ)</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[1211|1212|1219|1232|1233|1235|1239]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shopkprs</w:t>
            </w:r>
            <w:proofErr w:type="spellEnd"/>
            <w:r w:rsidRPr="00D263C1">
              <w:rPr>
                <w:rFonts w:asciiTheme="minorHAnsi" w:hAnsiTheme="minorHAnsi"/>
                <w:sz w:val="16"/>
                <w:szCs w:val="18"/>
              </w:rPr>
              <w:t xml:space="preserve">, wholesale &amp; retail </w:t>
            </w:r>
            <w:proofErr w:type="spellStart"/>
            <w:r w:rsidRPr="00D263C1">
              <w:rPr>
                <w:rFonts w:asciiTheme="minorHAnsi" w:hAnsiTheme="minorHAnsi"/>
                <w:sz w:val="16"/>
                <w:szCs w:val="18"/>
              </w:rPr>
              <w:t>dealrs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[1234]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senior officials in local/</w:t>
            </w:r>
            <w:proofErr w:type="spellStart"/>
            <w:r w:rsidRPr="00D263C1">
              <w:rPr>
                <w:rFonts w:asciiTheme="minorHAnsi" w:hAnsiTheme="minorHAnsi"/>
                <w:sz w:val="16"/>
                <w:szCs w:val="18"/>
              </w:rPr>
              <w:t>nat</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gov</w:t>
            </w:r>
            <w:proofErr w:type="spellEnd"/>
            <w:r w:rsidRPr="00D263C1">
              <w:rPr>
                <w:rFonts w:asciiTheme="minorHAnsi" w:hAnsiTheme="minorHAnsi"/>
                <w:sz w:val="16"/>
                <w:szCs w:val="18"/>
              </w:rPr>
              <w:t>, spec interest orgs or major orgs(CEOs/directors)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[1111|1112|1113|1114]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natural scientists (chemists, physicists, </w:t>
            </w:r>
            <w:proofErr w:type="spellStart"/>
            <w:r w:rsidRPr="00D263C1">
              <w:rPr>
                <w:rFonts w:asciiTheme="minorHAnsi" w:hAnsiTheme="minorHAnsi"/>
                <w:sz w:val="16"/>
                <w:szCs w:val="18"/>
              </w:rPr>
              <w:t>metereologists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[2111|2112|2113]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engineers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[2121-2129]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it strategy and planning </w:t>
            </w:r>
            <w:proofErr w:type="spellStart"/>
            <w:r w:rsidRPr="00D263C1">
              <w:rPr>
                <w:rFonts w:asciiTheme="minorHAnsi" w:hAnsiTheme="minorHAnsi"/>
                <w:sz w:val="16"/>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[2131]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software professionals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senior health professions + vets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[2211-2216]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higher </w:t>
            </w:r>
            <w:proofErr w:type="spellStart"/>
            <w:r w:rsidRPr="00D263C1">
              <w:rPr>
                <w:rFonts w:asciiTheme="minorHAnsi" w:hAnsiTheme="minorHAnsi"/>
                <w:sz w:val="16"/>
                <w:szCs w:val="18"/>
              </w:rPr>
              <w:t>educ</w:t>
            </w:r>
            <w:proofErr w:type="spellEnd"/>
            <w:r w:rsidRPr="00D263C1">
              <w:rPr>
                <w:rFonts w:asciiTheme="minorHAnsi" w:hAnsiTheme="minorHAnsi"/>
                <w:sz w:val="16"/>
                <w:szCs w:val="18"/>
              </w:rPr>
              <w:t xml:space="preserve"> teaching </w:t>
            </w:r>
            <w:proofErr w:type="spellStart"/>
            <w:r w:rsidRPr="00D263C1">
              <w:rPr>
                <w:rFonts w:asciiTheme="minorHAnsi" w:hAnsiTheme="minorHAnsi"/>
                <w:sz w:val="16"/>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[2311]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further </w:t>
            </w:r>
            <w:proofErr w:type="spellStart"/>
            <w:r w:rsidRPr="00D263C1">
              <w:rPr>
                <w:rFonts w:asciiTheme="minorHAnsi" w:hAnsiTheme="minorHAnsi"/>
                <w:sz w:val="16"/>
                <w:szCs w:val="18"/>
              </w:rPr>
              <w:t>educ</w:t>
            </w:r>
            <w:proofErr w:type="spellEnd"/>
            <w:r w:rsidRPr="00D263C1">
              <w:rPr>
                <w:rFonts w:asciiTheme="minorHAnsi" w:hAnsiTheme="minorHAnsi"/>
                <w:sz w:val="16"/>
                <w:szCs w:val="18"/>
              </w:rPr>
              <w:t xml:space="preserve"> teaching </w:t>
            </w:r>
            <w:proofErr w:type="spellStart"/>
            <w:r w:rsidRPr="00D263C1">
              <w:rPr>
                <w:rFonts w:asciiTheme="minorHAnsi" w:hAnsiTheme="minorHAnsi"/>
                <w:sz w:val="16"/>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[2312]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teaching professionals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senior admins)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[2313|2317|2319]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secondary </w:t>
            </w:r>
            <w:proofErr w:type="spellStart"/>
            <w:r w:rsidRPr="00D263C1">
              <w:rPr>
                <w:rFonts w:asciiTheme="minorHAnsi" w:hAnsiTheme="minorHAnsi"/>
                <w:sz w:val="16"/>
                <w:szCs w:val="18"/>
              </w:rPr>
              <w:t>eductn</w:t>
            </w:r>
            <w:proofErr w:type="spellEnd"/>
            <w:r w:rsidRPr="00D263C1">
              <w:rPr>
                <w:rFonts w:asciiTheme="minorHAnsi" w:hAnsiTheme="minorHAnsi"/>
                <w:sz w:val="16"/>
                <w:szCs w:val="18"/>
              </w:rPr>
              <w:t xml:space="preserve"> + SEN teaching </w:t>
            </w:r>
            <w:proofErr w:type="spellStart"/>
            <w:r w:rsidRPr="00D263C1">
              <w:rPr>
                <w:rFonts w:asciiTheme="minorHAnsi" w:hAnsiTheme="minorHAnsi"/>
                <w:sz w:val="16"/>
                <w:szCs w:val="18"/>
              </w:rPr>
              <w:t>prfsnals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[2314|2316]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prim &amp; </w:t>
            </w:r>
            <w:proofErr w:type="spellStart"/>
            <w:r w:rsidRPr="00D263C1">
              <w:rPr>
                <w:rFonts w:asciiTheme="minorHAnsi" w:hAnsiTheme="minorHAnsi"/>
                <w:sz w:val="16"/>
                <w:szCs w:val="18"/>
              </w:rPr>
              <w:t>nurs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eductn</w:t>
            </w:r>
            <w:proofErr w:type="spellEnd"/>
            <w:r w:rsidRPr="00D263C1">
              <w:rPr>
                <w:rFonts w:asciiTheme="minorHAnsi" w:hAnsiTheme="minorHAnsi"/>
                <w:sz w:val="16"/>
                <w:szCs w:val="18"/>
              </w:rPr>
              <w:t xml:space="preserve"> teaching profs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[2315]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researchers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[2321|2322|2329]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legal professionals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lawyers, judges &amp; coroners)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[2411|2419]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chartered, certified &amp; management accountants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[2421|2422]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mngmnt</w:t>
            </w:r>
            <w:proofErr w:type="spellEnd"/>
            <w:r w:rsidRPr="00D263C1">
              <w:rPr>
                <w:rFonts w:asciiTheme="minorHAnsi" w:hAnsiTheme="minorHAnsi"/>
                <w:sz w:val="16"/>
                <w:szCs w:val="18"/>
              </w:rPr>
              <w:t xml:space="preserve"> cons, </w:t>
            </w:r>
            <w:proofErr w:type="spellStart"/>
            <w:r w:rsidRPr="00D263C1">
              <w:rPr>
                <w:rFonts w:asciiTheme="minorHAnsi" w:hAnsiTheme="minorHAnsi"/>
                <w:sz w:val="16"/>
                <w:szCs w:val="18"/>
              </w:rPr>
              <w:t>actuar</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econs</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statn</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surveyors and architects (+town planners)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[2431-2434]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social workers (+probation officers &amp; public admin profs)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[2441-2443]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other public profs (librarians/</w:t>
            </w:r>
            <w:proofErr w:type="spellStart"/>
            <w:r w:rsidRPr="00D263C1">
              <w:rPr>
                <w:rFonts w:asciiTheme="minorHAnsi" w:hAnsiTheme="minorHAnsi"/>
                <w:sz w:val="16"/>
                <w:szCs w:val="18"/>
              </w:rPr>
              <w:t>archivists,clergy</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[2444|2451|2452]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[3111-3119]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draughtspersons (+town plan technics)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[3121-3123]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it operations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[3131]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it user support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nurses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[3211]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allied health professionals (</w:t>
            </w:r>
            <w:proofErr w:type="spellStart"/>
            <w:r w:rsidRPr="00D263C1">
              <w:rPr>
                <w:rFonts w:asciiTheme="minorHAnsi" w:hAnsiTheme="minorHAnsi"/>
                <w:sz w:val="16"/>
                <w:szCs w:val="18"/>
              </w:rPr>
              <w:t>midwives,pharma</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dispensers,med</w:t>
            </w:r>
            <w:proofErr w:type="spellEnd"/>
            <w:r w:rsidRPr="00D263C1">
              <w:rPr>
                <w:rFonts w:asciiTheme="minorHAnsi" w:hAnsiTheme="minorHAnsi"/>
                <w:sz w:val="16"/>
                <w:szCs w:val="18"/>
              </w:rPr>
              <w:t>/dent technicians)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[3212-3218]</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therapists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OTs, </w:t>
            </w:r>
            <w:proofErr w:type="spellStart"/>
            <w:r w:rsidRPr="00D263C1">
              <w:rPr>
                <w:rFonts w:asciiTheme="minorHAnsi" w:hAnsiTheme="minorHAnsi"/>
                <w:sz w:val="16"/>
                <w:szCs w:val="18"/>
              </w:rPr>
              <w:t>physios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[3221-3229]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youth and community workers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[3231]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housing and welfare officers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lastRenderedPageBreak/>
              <w:t>309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security officers (inc. police (</w:t>
            </w:r>
            <w:proofErr w:type="spellStart"/>
            <w:r w:rsidRPr="00D263C1">
              <w:rPr>
                <w:rFonts w:asciiTheme="minorHAnsi" w:hAnsiTheme="minorHAnsi"/>
                <w:sz w:val="16"/>
                <w:szCs w:val="18"/>
              </w:rPr>
              <w:t>sergeant&amp;below</w:t>
            </w:r>
            <w:proofErr w:type="spellEnd"/>
            <w:r w:rsidRPr="00D263C1">
              <w:rPr>
                <w:rFonts w:asciiTheme="minorHAnsi" w:hAnsiTheme="minorHAnsi"/>
                <w:sz w:val="16"/>
                <w:szCs w:val="18"/>
              </w:rPr>
              <w:t>), NCOs)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[3311-3314|3319]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creative workers (inc. authors, artists)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[3411-3416]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graphic and product designers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[3421|3422]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media &amp; PR </w:t>
            </w:r>
            <w:proofErr w:type="spellStart"/>
            <w:r w:rsidRPr="00D263C1">
              <w:rPr>
                <w:rFonts w:asciiTheme="minorHAnsi" w:hAnsiTheme="minorHAnsi"/>
                <w:sz w:val="16"/>
                <w:szCs w:val="18"/>
              </w:rPr>
              <w:t>assoc</w:t>
            </w:r>
            <w:proofErr w:type="spellEnd"/>
            <w:r w:rsidRPr="00D263C1">
              <w:rPr>
                <w:rFonts w:asciiTheme="minorHAnsi" w:hAnsiTheme="minorHAnsi"/>
                <w:sz w:val="16"/>
                <w:szCs w:val="18"/>
              </w:rPr>
              <w:t xml:space="preserve"> profs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journalists, photo equip </w:t>
            </w:r>
            <w:proofErr w:type="spellStart"/>
            <w:r w:rsidRPr="00D263C1">
              <w:rPr>
                <w:rFonts w:asciiTheme="minorHAnsi" w:hAnsiTheme="minorHAnsi"/>
                <w:sz w:val="16"/>
                <w:szCs w:val="18"/>
              </w:rPr>
              <w:t>operats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[3431-3434]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sports &amp; fitness </w:t>
            </w:r>
            <w:proofErr w:type="spellStart"/>
            <w:r w:rsidRPr="00D263C1">
              <w:rPr>
                <w:rFonts w:asciiTheme="minorHAnsi" w:hAnsiTheme="minorHAnsi"/>
                <w:sz w:val="16"/>
                <w:szCs w:val="18"/>
              </w:rPr>
              <w:t>occs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players, coaches, and fitness instructors)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[3441-3443|3449]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business, legal and related </w:t>
            </w:r>
            <w:proofErr w:type="spellStart"/>
            <w:r w:rsidRPr="00D263C1">
              <w:rPr>
                <w:rFonts w:asciiTheme="minorHAnsi" w:hAnsiTheme="minorHAnsi"/>
                <w:sz w:val="16"/>
                <w:szCs w:val="18"/>
              </w:rPr>
              <w:t>assoc</w:t>
            </w:r>
            <w:proofErr w:type="spellEnd"/>
            <w:r w:rsidRPr="00D263C1">
              <w:rPr>
                <w:rFonts w:asciiTheme="minorHAnsi" w:hAnsiTheme="minorHAnsi"/>
                <w:sz w:val="16"/>
                <w:szCs w:val="18"/>
              </w:rPr>
              <w:t xml:space="preserve"> profs (financial invest analysts &amp; advisers, estimators, legal associates)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[3520|3529|3531-3537|</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buyers and purchasing officers, estate agents, auctioneers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[3541|3544]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sales representatives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[3542]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marketing associate professionals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[3543]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319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assoc</w:t>
            </w:r>
            <w:proofErr w:type="spellEnd"/>
            <w:r w:rsidRPr="00D263C1">
              <w:rPr>
                <w:rFonts w:asciiTheme="minorHAnsi" w:hAnsiTheme="minorHAnsi"/>
                <w:sz w:val="16"/>
                <w:szCs w:val="18"/>
              </w:rPr>
              <w:t xml:space="preserve"> profs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occupl</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hygnists</w:t>
            </w:r>
            <w:proofErr w:type="spellEnd"/>
            <w:r w:rsidRPr="00D263C1">
              <w:rPr>
                <w:rFonts w:asciiTheme="minorHAnsi" w:hAnsiTheme="minorHAnsi"/>
                <w:sz w:val="16"/>
                <w:szCs w:val="18"/>
              </w:rPr>
              <w:t xml:space="preserve"> &amp; health </w:t>
            </w:r>
            <w:proofErr w:type="spellStart"/>
            <w:r w:rsidRPr="00D263C1">
              <w:rPr>
                <w:rFonts w:asciiTheme="minorHAnsi" w:hAnsiTheme="minorHAnsi"/>
                <w:sz w:val="16"/>
                <w:szCs w:val="18"/>
              </w:rPr>
              <w:t>sfty</w:t>
            </w:r>
            <w:proofErr w:type="spellEnd"/>
            <w:r w:rsidRPr="00D263C1">
              <w:rPr>
                <w:rFonts w:asciiTheme="minorHAnsi" w:hAnsiTheme="minorHAnsi"/>
                <w:sz w:val="16"/>
                <w:szCs w:val="18"/>
              </w:rPr>
              <w:t xml:space="preserve"> offs, career advice)</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[3551-3552|3561-3568]</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personnel &amp; </w:t>
            </w:r>
            <w:proofErr w:type="spellStart"/>
            <w:r w:rsidRPr="00D263C1">
              <w:rPr>
                <w:rFonts w:asciiTheme="minorHAnsi" w:hAnsiTheme="minorHAnsi"/>
                <w:sz w:val="16"/>
                <w:szCs w:val="18"/>
              </w:rPr>
              <w:t>ind</w:t>
            </w:r>
            <w:proofErr w:type="spellEnd"/>
            <w:r w:rsidRPr="00D263C1">
              <w:rPr>
                <w:rFonts w:asciiTheme="minorHAnsi" w:hAnsiTheme="minorHAnsi"/>
                <w:sz w:val="16"/>
                <w:szCs w:val="18"/>
              </w:rPr>
              <w:t xml:space="preserve"> relations offs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[3562]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321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vocatn</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indust</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trainrs</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instrctrs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[3563]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civil </w:t>
            </w:r>
            <w:proofErr w:type="spellStart"/>
            <w:r w:rsidRPr="00D263C1">
              <w:rPr>
                <w:rFonts w:asciiTheme="minorHAnsi" w:hAnsiTheme="minorHAnsi"/>
                <w:sz w:val="16"/>
                <w:szCs w:val="18"/>
              </w:rPr>
              <w:t>serv</w:t>
            </w:r>
            <w:proofErr w:type="spellEnd"/>
            <w:r w:rsidRPr="00D263C1">
              <w:rPr>
                <w:rFonts w:asciiTheme="minorHAnsi" w:hAnsiTheme="minorHAnsi"/>
                <w:sz w:val="16"/>
                <w:szCs w:val="18"/>
              </w:rPr>
              <w:t xml:space="preserve"> (EOs to admin assists)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[4111|4112]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local </w:t>
            </w:r>
            <w:proofErr w:type="spellStart"/>
            <w:r w:rsidRPr="00D263C1">
              <w:rPr>
                <w:rFonts w:asciiTheme="minorHAnsi" w:hAnsiTheme="minorHAnsi"/>
                <w:sz w:val="16"/>
                <w:szCs w:val="18"/>
              </w:rPr>
              <w:t>gov</w:t>
            </w:r>
            <w:proofErr w:type="spellEnd"/>
            <w:r w:rsidRPr="00D263C1">
              <w:rPr>
                <w:rFonts w:asciiTheme="minorHAnsi" w:hAnsiTheme="minorHAnsi"/>
                <w:sz w:val="16"/>
                <w:szCs w:val="18"/>
              </w:rPr>
              <w:t xml:space="preserve"> &amp; NGO officers &amp; assists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[4113|4114]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bookkeepers (+credit controllers)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[4121|4122]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counter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filng</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othr</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recrds</w:t>
            </w:r>
            <w:proofErr w:type="spellEnd"/>
            <w:r w:rsidRPr="00D263C1">
              <w:rPr>
                <w:rFonts w:asciiTheme="minorHAnsi" w:hAnsiTheme="minorHAnsi"/>
                <w:sz w:val="16"/>
                <w:szCs w:val="18"/>
              </w:rPr>
              <w:t xml:space="preserve"> assists &amp; </w:t>
            </w:r>
            <w:proofErr w:type="spellStart"/>
            <w:r w:rsidRPr="00D263C1">
              <w:rPr>
                <w:rFonts w:asciiTheme="minorHAnsi" w:hAnsiTheme="minorHAnsi"/>
                <w:sz w:val="16"/>
                <w:szCs w:val="18"/>
              </w:rPr>
              <w:t>clrks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pensions and insurance </w:t>
            </w:r>
            <w:proofErr w:type="spellStart"/>
            <w:r w:rsidRPr="00D263C1">
              <w:rPr>
                <w:rFonts w:asciiTheme="minorHAnsi" w:hAnsiTheme="minorHAnsi"/>
                <w:sz w:val="16"/>
                <w:szCs w:val="18"/>
              </w:rPr>
              <w:t>clrks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stock control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telephonists, </w:t>
            </w:r>
            <w:proofErr w:type="spellStart"/>
            <w:r w:rsidRPr="00D263C1">
              <w:rPr>
                <w:rFonts w:asciiTheme="minorHAnsi" w:hAnsiTheme="minorHAnsi"/>
                <w:sz w:val="16"/>
                <w:szCs w:val="18"/>
              </w:rPr>
              <w:t>comms</w:t>
            </w:r>
            <w:proofErr w:type="spellEnd"/>
            <w:r w:rsidRPr="00D263C1">
              <w:rPr>
                <w:rFonts w:asciiTheme="minorHAnsi" w:hAnsiTheme="minorHAnsi"/>
                <w:sz w:val="16"/>
                <w:szCs w:val="18"/>
              </w:rPr>
              <w:t xml:space="preserve"> operators and market res interviewers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[4137|4141|4142]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receptionists (+typists)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[4216|4217]</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general office assistants or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[4150]</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medical,legal</w:t>
            </w:r>
            <w:proofErr w:type="spellEnd"/>
            <w:r w:rsidRPr="00D263C1">
              <w:rPr>
                <w:rFonts w:asciiTheme="minorHAnsi" w:hAnsiTheme="minorHAnsi"/>
                <w:sz w:val="16"/>
                <w:szCs w:val="18"/>
              </w:rPr>
              <w:t xml:space="preserve"> and school secretaries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[4211|4212|4213]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secretaries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PAs,company</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secs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[4214|4215]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library and database assistants &amp; clerks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[4135|4136]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agricult</w:t>
            </w:r>
            <w:proofErr w:type="spellEnd"/>
            <w:r w:rsidRPr="00D263C1">
              <w:rPr>
                <w:rFonts w:asciiTheme="minorHAnsi" w:hAnsiTheme="minorHAnsi"/>
                <w:sz w:val="16"/>
                <w:szCs w:val="18"/>
              </w:rPr>
              <w:t xml:space="preserve"> and fishing trades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farmers, gardeners)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[5111-5113|5119]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pipe, metal and welding trades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[5211-5216]</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mtl</w:t>
            </w:r>
            <w:proofErr w:type="spellEnd"/>
            <w:r w:rsidRPr="00D263C1">
              <w:rPr>
                <w:rFonts w:asciiTheme="minorHAnsi" w:hAnsiTheme="minorHAnsi"/>
                <w:sz w:val="16"/>
                <w:szCs w:val="18"/>
              </w:rPr>
              <w:t xml:space="preserve"> working prod &amp; </w:t>
            </w:r>
            <w:proofErr w:type="spellStart"/>
            <w:r w:rsidRPr="00D263C1">
              <w:rPr>
                <w:rFonts w:asciiTheme="minorHAnsi" w:hAnsiTheme="minorHAnsi"/>
                <w:sz w:val="16"/>
                <w:szCs w:val="18"/>
              </w:rPr>
              <w:t>maintnce</w:t>
            </w:r>
            <w:proofErr w:type="spellEnd"/>
            <w:r w:rsidRPr="00D263C1">
              <w:rPr>
                <w:rFonts w:asciiTheme="minorHAnsi" w:hAnsiTheme="minorHAnsi"/>
                <w:sz w:val="16"/>
                <w:szCs w:val="18"/>
              </w:rPr>
              <w:t xml:space="preserve"> fitter (+tool </w:t>
            </w:r>
            <w:proofErr w:type="spellStart"/>
            <w:r w:rsidRPr="00D263C1">
              <w:rPr>
                <w:rFonts w:asciiTheme="minorHAnsi" w:hAnsiTheme="minorHAnsi"/>
                <w:sz w:val="16"/>
                <w:szCs w:val="18"/>
              </w:rPr>
              <w:t>mkrs</w:t>
            </w:r>
            <w:proofErr w:type="spellEnd"/>
            <w:r w:rsidRPr="00D263C1">
              <w:rPr>
                <w:rFonts w:asciiTheme="minorHAnsi" w:hAnsiTheme="minorHAnsi"/>
                <w:sz w:val="16"/>
                <w:szCs w:val="18"/>
              </w:rPr>
              <w:t xml:space="preserve"> &amp; setter-operators)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[5221-5224]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motor and vehicle workers (mechanics, electricians, spray painters)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[5231-5234]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electricians, electrical fitters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[5241]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elec</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electronic</w:t>
            </w:r>
            <w:proofErr w:type="spellEnd"/>
            <w:r w:rsidRPr="00D263C1">
              <w:rPr>
                <w:rFonts w:asciiTheme="minorHAnsi" w:hAnsiTheme="minorHAnsi"/>
                <w:sz w:val="16"/>
                <w:szCs w:val="18"/>
              </w:rPr>
              <w:t xml:space="preserve"> engineer </w:t>
            </w:r>
            <w:proofErr w:type="spellStart"/>
            <w:r w:rsidRPr="00D263C1">
              <w:rPr>
                <w:rFonts w:asciiTheme="minorHAnsi" w:hAnsiTheme="minorHAnsi"/>
                <w:sz w:val="16"/>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[5242-5245|5249]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construction trades </w:t>
            </w:r>
            <w:proofErr w:type="spellStart"/>
            <w:r w:rsidRPr="00D263C1">
              <w:rPr>
                <w:rFonts w:asciiTheme="minorHAnsi" w:hAnsiTheme="minorHAnsi"/>
                <w:sz w:val="16"/>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[5311|5312|5313|5316|5319]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plumb, </w:t>
            </w:r>
            <w:proofErr w:type="spellStart"/>
            <w:r w:rsidRPr="00D263C1">
              <w:rPr>
                <w:rFonts w:asciiTheme="minorHAnsi" w:hAnsiTheme="minorHAnsi"/>
                <w:sz w:val="16"/>
                <w:szCs w:val="18"/>
              </w:rPr>
              <w:t>hea</w:t>
            </w:r>
            <w:proofErr w:type="spellEnd"/>
            <w:r w:rsidRPr="00D263C1">
              <w:rPr>
                <w:rFonts w:asciiTheme="minorHAnsi" w:hAnsiTheme="minorHAnsi"/>
                <w:sz w:val="16"/>
                <w:szCs w:val="18"/>
              </w:rPr>
              <w:t xml:space="preserve"> &amp; ventilating engineers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[5314]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carpenters and joiners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[5315]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painters, decorators, plasterers and floorers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[5321-5323]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printers and bookbinders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[5421-5424]]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butchers, fishmongers, bakers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[5431-5433]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chefs, cooks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[5434]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513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hand craft </w:t>
            </w:r>
            <w:proofErr w:type="spellStart"/>
            <w:r w:rsidRPr="00D263C1">
              <w:rPr>
                <w:rFonts w:asciiTheme="minorHAnsi" w:hAnsiTheme="minorHAnsi"/>
                <w:sz w:val="16"/>
                <w:szCs w:val="18"/>
              </w:rPr>
              <w:t>occs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[5411-5414|5419|5491-5496|5499]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nursing auxiliaries and assistants (+ dental/animal care </w:t>
            </w:r>
            <w:proofErr w:type="spellStart"/>
            <w:r w:rsidRPr="00D263C1">
              <w:rPr>
                <w:rFonts w:asciiTheme="minorHAnsi" w:hAnsiTheme="minorHAnsi"/>
                <w:sz w:val="16"/>
                <w:szCs w:val="18"/>
              </w:rPr>
              <w:t>occs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[6111|6112|6113|6131|6139]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care assistants and home carers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[6114|6115]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nursery nurses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[6121]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childminders</w:t>
            </w:r>
            <w:proofErr w:type="spellEnd"/>
            <w:r w:rsidRPr="00D263C1">
              <w:rPr>
                <w:rFonts w:asciiTheme="minorHAnsi" w:hAnsiTheme="minorHAnsi"/>
                <w:sz w:val="16"/>
                <w:szCs w:val="18"/>
              </w:rPr>
              <w:t xml:space="preserve">, playgroup workers and </w:t>
            </w:r>
            <w:proofErr w:type="spellStart"/>
            <w:r w:rsidRPr="00D263C1">
              <w:rPr>
                <w:rFonts w:asciiTheme="minorHAnsi" w:hAnsiTheme="minorHAnsi"/>
                <w:sz w:val="16"/>
                <w:szCs w:val="18"/>
              </w:rPr>
              <w:t>rel</w:t>
            </w:r>
            <w:proofErr w:type="spellEnd"/>
            <w:r w:rsidRPr="00D263C1">
              <w:rPr>
                <w:rFonts w:asciiTheme="minorHAnsi" w:hAnsiTheme="minorHAnsi"/>
                <w:sz w:val="16"/>
                <w:szCs w:val="18"/>
              </w:rPr>
              <w:t xml:space="preserve"> occupations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[6122|6123]</w:t>
            </w:r>
          </w:p>
        </w:tc>
      </w:tr>
      <w:tr w:rsidR="00177B3C" w:rsidRPr="00B6000C" w:rsidTr="00350537">
        <w:trPr>
          <w:trHeight w:val="170"/>
        </w:trPr>
        <w:tc>
          <w:tcPr>
            <w:tcW w:w="720" w:type="dxa"/>
            <w:tcBorders>
              <w:top w:val="nil"/>
              <w:left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604</w:t>
            </w:r>
          </w:p>
        </w:tc>
        <w:tc>
          <w:tcPr>
            <w:tcW w:w="5431" w:type="dxa"/>
            <w:tcBorders>
              <w:top w:val="nil"/>
              <w:left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educal</w:t>
            </w:r>
            <w:proofErr w:type="spellEnd"/>
            <w:r w:rsidRPr="00D263C1">
              <w:rPr>
                <w:rFonts w:asciiTheme="minorHAnsi" w:hAnsiTheme="minorHAnsi"/>
                <w:sz w:val="16"/>
                <w:szCs w:val="18"/>
              </w:rPr>
              <w:t xml:space="preserve"> assistants</w:t>
            </w:r>
          </w:p>
        </w:tc>
        <w:tc>
          <w:tcPr>
            <w:tcW w:w="3629" w:type="dxa"/>
            <w:tcBorders>
              <w:top w:val="nil"/>
              <w:left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[6124]</w:t>
            </w:r>
          </w:p>
        </w:tc>
      </w:tr>
      <w:tr w:rsidR="00177B3C" w:rsidRPr="00B6000C" w:rsidTr="00350537">
        <w:trPr>
          <w:trHeight w:val="170"/>
        </w:trPr>
        <w:tc>
          <w:tcPr>
            <w:tcW w:w="720" w:type="dxa"/>
            <w:tcBorders>
              <w:top w:val="nil"/>
              <w:left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w:t>
            </w:r>
            <w:r>
              <w:rPr>
                <w:rFonts w:asciiTheme="minorHAnsi" w:hAnsiTheme="minorHAnsi"/>
                <w:sz w:val="16"/>
                <w:szCs w:val="18"/>
              </w:rPr>
              <w:t>5</w:t>
            </w:r>
          </w:p>
        </w:tc>
        <w:tc>
          <w:tcPr>
            <w:tcW w:w="5431" w:type="dxa"/>
            <w:tcBorders>
              <w:top w:val="nil"/>
              <w:left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517A9">
              <w:rPr>
                <w:rFonts w:asciiTheme="minorHAnsi" w:hAnsiTheme="minorHAnsi"/>
                <w:sz w:val="16"/>
                <w:szCs w:val="18"/>
              </w:rPr>
              <w:t xml:space="preserve">leisure &amp; travel </w:t>
            </w:r>
            <w:proofErr w:type="spellStart"/>
            <w:r w:rsidRPr="00D517A9">
              <w:rPr>
                <w:rFonts w:asciiTheme="minorHAnsi" w:hAnsiTheme="minorHAnsi"/>
                <w:sz w:val="16"/>
                <w:szCs w:val="18"/>
              </w:rPr>
              <w:t>serv</w:t>
            </w:r>
            <w:proofErr w:type="spellEnd"/>
            <w:r w:rsidRPr="00D517A9">
              <w:rPr>
                <w:rFonts w:asciiTheme="minorHAnsi" w:hAnsiTheme="minorHAnsi"/>
                <w:sz w:val="16"/>
                <w:szCs w:val="18"/>
              </w:rPr>
              <w:t xml:space="preserve"> </w:t>
            </w:r>
            <w:proofErr w:type="spellStart"/>
            <w:r w:rsidRPr="00D517A9">
              <w:rPr>
                <w:rFonts w:asciiTheme="minorHAnsi" w:hAnsiTheme="minorHAnsi"/>
                <w:sz w:val="16"/>
                <w:szCs w:val="18"/>
              </w:rPr>
              <w:t>occs</w:t>
            </w:r>
            <w:proofErr w:type="spellEnd"/>
            <w:r w:rsidRPr="00D517A9">
              <w:rPr>
                <w:rFonts w:asciiTheme="minorHAnsi" w:hAnsiTheme="minorHAnsi"/>
                <w:sz w:val="16"/>
                <w:szCs w:val="18"/>
              </w:rPr>
              <w:t xml:space="preserve"> </w:t>
            </w:r>
            <w:proofErr w:type="spellStart"/>
            <w:r w:rsidRPr="00D517A9">
              <w:rPr>
                <w:rFonts w:asciiTheme="minorHAnsi" w:hAnsiTheme="minorHAnsi"/>
                <w:sz w:val="16"/>
                <w:szCs w:val="18"/>
              </w:rPr>
              <w:t>nec</w:t>
            </w:r>
            <w:proofErr w:type="spellEnd"/>
            <w:r w:rsidRPr="00D517A9">
              <w:rPr>
                <w:rFonts w:asciiTheme="minorHAnsi" w:hAnsiTheme="minorHAnsi"/>
                <w:sz w:val="16"/>
                <w:szCs w:val="18"/>
              </w:rPr>
              <w:t xml:space="preserve"> (</w:t>
            </w:r>
            <w:proofErr w:type="spellStart"/>
            <w:r w:rsidRPr="00D517A9">
              <w:rPr>
                <w:rFonts w:asciiTheme="minorHAnsi" w:hAnsiTheme="minorHAnsi"/>
                <w:sz w:val="16"/>
                <w:szCs w:val="18"/>
              </w:rPr>
              <w:t>inc</w:t>
            </w:r>
            <w:proofErr w:type="spellEnd"/>
            <w:r w:rsidRPr="00D517A9">
              <w:rPr>
                <w:rFonts w:asciiTheme="minorHAnsi" w:hAnsiTheme="minorHAnsi"/>
                <w:sz w:val="16"/>
                <w:szCs w:val="18"/>
              </w:rPr>
              <w:t xml:space="preserve"> travel agents, tour guides)</w:t>
            </w:r>
          </w:p>
        </w:tc>
        <w:tc>
          <w:tcPr>
            <w:tcW w:w="3629" w:type="dxa"/>
            <w:tcBorders>
              <w:top w:val="nil"/>
              <w:left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517A9">
              <w:rPr>
                <w:rFonts w:asciiTheme="minorHAnsi" w:hAnsiTheme="minorHAnsi"/>
                <w:sz w:val="16"/>
                <w:szCs w:val="18"/>
              </w:rPr>
              <w:t>[6211-6215|6219]</w:t>
            </w:r>
          </w:p>
        </w:tc>
      </w:tr>
      <w:tr w:rsidR="00177B3C" w:rsidRPr="00D517A9"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517A9" w:rsidRDefault="00177B3C" w:rsidP="00350537">
            <w:pPr>
              <w:spacing w:after="0"/>
              <w:rPr>
                <w:rFonts w:asciiTheme="minorHAnsi" w:hAnsiTheme="minorHAnsi"/>
                <w:sz w:val="16"/>
                <w:szCs w:val="18"/>
              </w:rPr>
            </w:pPr>
            <w:r w:rsidRPr="00D517A9">
              <w:rPr>
                <w:rFonts w:asciiTheme="minorHAnsi" w:hAnsiTheme="minorHAnsi"/>
                <w:sz w:val="16"/>
                <w:szCs w:val="18"/>
              </w:rPr>
              <w:t>606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517A9" w:rsidRDefault="00177B3C" w:rsidP="00350537">
            <w:pPr>
              <w:spacing w:after="0"/>
              <w:rPr>
                <w:rFonts w:asciiTheme="minorHAnsi" w:hAnsiTheme="minorHAnsi"/>
                <w:sz w:val="16"/>
                <w:szCs w:val="18"/>
              </w:rPr>
            </w:pPr>
            <w:r w:rsidRPr="00D517A9">
              <w:rPr>
                <w:rFonts w:asciiTheme="minorHAnsi" w:hAnsiTheme="minorHAnsi"/>
                <w:sz w:val="16"/>
                <w:szCs w:val="18"/>
              </w:rPr>
              <w:t xml:space="preserve">hairdressers, beauticians and related </w:t>
            </w:r>
            <w:proofErr w:type="spellStart"/>
            <w:r w:rsidRPr="00D517A9">
              <w:rPr>
                <w:rFonts w:asciiTheme="minorHAnsi" w:hAnsiTheme="minorHAnsi"/>
                <w:sz w:val="16"/>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517A9" w:rsidRDefault="00177B3C" w:rsidP="00350537">
            <w:pPr>
              <w:spacing w:after="0"/>
              <w:rPr>
                <w:rFonts w:asciiTheme="minorHAnsi" w:hAnsiTheme="minorHAnsi"/>
                <w:sz w:val="16"/>
                <w:szCs w:val="18"/>
              </w:rPr>
            </w:pPr>
            <w:r w:rsidRPr="00D517A9">
              <w:rPr>
                <w:rFonts w:asciiTheme="minorHAnsi" w:hAnsiTheme="minorHAnsi"/>
                <w:sz w:val="16"/>
                <w:szCs w:val="18"/>
              </w:rPr>
              <w:t>[6221-6222]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caretakers, </w:t>
            </w:r>
            <w:proofErr w:type="spellStart"/>
            <w:r w:rsidRPr="00D263C1">
              <w:rPr>
                <w:rFonts w:asciiTheme="minorHAnsi" w:hAnsiTheme="minorHAnsi"/>
                <w:sz w:val="16"/>
                <w:szCs w:val="18"/>
              </w:rPr>
              <w:t>housekprs</w:t>
            </w:r>
            <w:proofErr w:type="spellEnd"/>
            <w:r w:rsidRPr="00D263C1">
              <w:rPr>
                <w:rFonts w:asciiTheme="minorHAnsi" w:hAnsiTheme="minorHAnsi"/>
                <w:sz w:val="16"/>
                <w:szCs w:val="18"/>
              </w:rPr>
              <w:t xml:space="preserve"> and related </w:t>
            </w:r>
            <w:proofErr w:type="spellStart"/>
            <w:r w:rsidRPr="00D263C1">
              <w:rPr>
                <w:rFonts w:asciiTheme="minorHAnsi" w:hAnsiTheme="minorHAnsi"/>
                <w:sz w:val="16"/>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[6231-6232]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sales and retail assistants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[7111]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retail cashiers/check-out operators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[7112]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telephone salespersons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[7113]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customer care occupations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call centre agents)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[7211-7212]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799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sales related occupations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debt collectors, salespersons)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[7121-7125|7129]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food, drink &amp; </w:t>
            </w:r>
            <w:proofErr w:type="spellStart"/>
            <w:r w:rsidRPr="00D263C1">
              <w:rPr>
                <w:rFonts w:asciiTheme="minorHAnsi" w:hAnsiTheme="minorHAnsi"/>
                <w:sz w:val="16"/>
                <w:szCs w:val="18"/>
              </w:rPr>
              <w:t>tobac</w:t>
            </w:r>
            <w:proofErr w:type="spellEnd"/>
            <w:r w:rsidRPr="00D263C1">
              <w:rPr>
                <w:rFonts w:asciiTheme="minorHAnsi" w:hAnsiTheme="minorHAnsi"/>
                <w:sz w:val="16"/>
                <w:szCs w:val="18"/>
              </w:rPr>
              <w:t xml:space="preserve"> process </w:t>
            </w:r>
            <w:proofErr w:type="spellStart"/>
            <w:r w:rsidRPr="00D263C1">
              <w:rPr>
                <w:rFonts w:asciiTheme="minorHAnsi" w:hAnsiTheme="minorHAnsi"/>
                <w:sz w:val="16"/>
                <w:szCs w:val="18"/>
              </w:rPr>
              <w:t>operat</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[8111]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process operatives </w:t>
            </w:r>
            <w:proofErr w:type="spellStart"/>
            <w:r w:rsidRPr="00D263C1">
              <w:rPr>
                <w:rFonts w:asciiTheme="minorHAnsi" w:hAnsiTheme="minorHAnsi"/>
                <w:sz w:val="16"/>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[8112-8119]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metal working machine operatives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[8215]</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operatives </w:t>
            </w:r>
            <w:proofErr w:type="spellStart"/>
            <w:r w:rsidRPr="00D263C1">
              <w:rPr>
                <w:rFonts w:asciiTheme="minorHAnsi" w:hAnsiTheme="minorHAnsi"/>
                <w:sz w:val="16"/>
                <w:szCs w:val="18"/>
              </w:rPr>
              <w:t>nec</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[8121-8214|8216|8120]</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assemblers (electrical/vehicle/met products)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[8131|8132]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lastRenderedPageBreak/>
              <w:t>805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assemblers &amp; routine </w:t>
            </w:r>
            <w:proofErr w:type="spellStart"/>
            <w:r w:rsidRPr="00D263C1">
              <w:rPr>
                <w:rFonts w:asciiTheme="minorHAnsi" w:hAnsiTheme="minorHAnsi"/>
                <w:sz w:val="16"/>
                <w:szCs w:val="18"/>
              </w:rPr>
              <w:t>pertves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routine inspectors/testers, sewing machinists)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[8133-8139]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construction operatives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[8141-8143|8149]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transport operatives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HGV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[8211|8215-8219]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van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[8212]</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809</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bus and coach drivers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[8213]</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taxi, cab drivers and chauffeurs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[8214]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812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mobile machinery drivers &amp; </w:t>
            </w:r>
            <w:proofErr w:type="spellStart"/>
            <w:r w:rsidRPr="00D263C1">
              <w:rPr>
                <w:rFonts w:asciiTheme="minorHAnsi" w:hAnsiTheme="minorHAnsi"/>
                <w:sz w:val="16"/>
                <w:szCs w:val="18"/>
              </w:rPr>
              <w:t>opertves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fork-lift trucks)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[8221-8223|8229]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proofErr w:type="spellStart"/>
            <w:r w:rsidRPr="00D263C1">
              <w:rPr>
                <w:rFonts w:asciiTheme="minorHAnsi" w:hAnsiTheme="minorHAnsi"/>
                <w:sz w:val="16"/>
                <w:szCs w:val="18"/>
              </w:rPr>
              <w:t>fishng</w:t>
            </w:r>
            <w:proofErr w:type="spellEnd"/>
            <w:r w:rsidRPr="00D263C1">
              <w:rPr>
                <w:rFonts w:asciiTheme="minorHAnsi" w:hAnsiTheme="minorHAnsi"/>
                <w:sz w:val="16"/>
                <w:szCs w:val="18"/>
              </w:rPr>
              <w:t xml:space="preserve"> &amp; </w:t>
            </w:r>
            <w:proofErr w:type="spellStart"/>
            <w:r w:rsidRPr="00D263C1">
              <w:rPr>
                <w:rFonts w:asciiTheme="minorHAnsi" w:hAnsiTheme="minorHAnsi"/>
                <w:sz w:val="16"/>
                <w:szCs w:val="18"/>
              </w:rPr>
              <w:t>agric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reltd</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occupatns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farm workers)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[9111-9112|9119]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901</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labourers in construction trades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[9121|9129]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902</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labourers within process and plant operations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packers)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[9131-9134|9139]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903</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good </w:t>
            </w:r>
            <w:proofErr w:type="spellStart"/>
            <w:r w:rsidRPr="00D263C1">
              <w:rPr>
                <w:rFonts w:asciiTheme="minorHAnsi" w:hAnsiTheme="minorHAnsi"/>
                <w:sz w:val="16"/>
                <w:szCs w:val="18"/>
              </w:rPr>
              <w:t>hndlng</w:t>
            </w:r>
            <w:proofErr w:type="spellEnd"/>
            <w:r w:rsidRPr="00D263C1">
              <w:rPr>
                <w:rFonts w:asciiTheme="minorHAnsi" w:hAnsiTheme="minorHAnsi"/>
                <w:sz w:val="16"/>
                <w:szCs w:val="18"/>
              </w:rPr>
              <w:t xml:space="preserve"> &amp; storage </w:t>
            </w:r>
            <w:proofErr w:type="spellStart"/>
            <w:r w:rsidRPr="00D263C1">
              <w:rPr>
                <w:rFonts w:asciiTheme="minorHAnsi" w:hAnsiTheme="minorHAnsi"/>
                <w:sz w:val="16"/>
                <w:szCs w:val="18"/>
              </w:rPr>
              <w:t>occs</w:t>
            </w:r>
            <w:proofErr w:type="spellEnd"/>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[9141|9149]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904</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post workers and couriers (+ </w:t>
            </w:r>
            <w:proofErr w:type="spellStart"/>
            <w:r w:rsidRPr="00D263C1">
              <w:rPr>
                <w:rFonts w:asciiTheme="minorHAnsi" w:hAnsiTheme="minorHAnsi"/>
                <w:sz w:val="16"/>
                <w:szCs w:val="18"/>
              </w:rPr>
              <w:t>oth</w:t>
            </w:r>
            <w:proofErr w:type="spellEnd"/>
            <w:r w:rsidRPr="00D263C1">
              <w:rPr>
                <w:rFonts w:asciiTheme="minorHAnsi" w:hAnsiTheme="minorHAnsi"/>
                <w:sz w:val="16"/>
                <w:szCs w:val="18"/>
              </w:rPr>
              <w:t xml:space="preserve"> elementary office </w:t>
            </w:r>
            <w:proofErr w:type="spellStart"/>
            <w:r w:rsidRPr="00D263C1">
              <w:rPr>
                <w:rFonts w:asciiTheme="minorHAnsi" w:hAnsiTheme="minorHAnsi"/>
                <w:sz w:val="16"/>
                <w:szCs w:val="18"/>
              </w:rPr>
              <w:t>occs</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[9211|9219]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905</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bar staff (+other </w:t>
            </w:r>
            <w:proofErr w:type="spellStart"/>
            <w:r w:rsidRPr="00D263C1">
              <w:rPr>
                <w:rFonts w:asciiTheme="minorHAnsi" w:hAnsiTheme="minorHAnsi"/>
                <w:sz w:val="16"/>
                <w:szCs w:val="18"/>
              </w:rPr>
              <w:t>elmntry</w:t>
            </w:r>
            <w:proofErr w:type="spellEnd"/>
            <w:r w:rsidRPr="00D263C1">
              <w:rPr>
                <w:rFonts w:asciiTheme="minorHAnsi" w:hAnsiTheme="minorHAnsi"/>
                <w:sz w:val="16"/>
                <w:szCs w:val="18"/>
              </w:rPr>
              <w:t xml:space="preserve"> personal </w:t>
            </w:r>
            <w:proofErr w:type="spellStart"/>
            <w:r w:rsidRPr="00D263C1">
              <w:rPr>
                <w:rFonts w:asciiTheme="minorHAnsi" w:hAnsiTheme="minorHAnsi"/>
                <w:sz w:val="16"/>
                <w:szCs w:val="18"/>
              </w:rPr>
              <w:t>servcs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occs</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[9221|9222|9225|9226|9229]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906</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kitchen/catering assistants and waiters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[9223|9224]</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907</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cleaners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domestics)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[9231-9235|9239]</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908</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security guards and </w:t>
            </w:r>
            <w:proofErr w:type="spellStart"/>
            <w:r w:rsidRPr="00D263C1">
              <w:rPr>
                <w:rFonts w:asciiTheme="minorHAnsi" w:hAnsiTheme="minorHAnsi"/>
                <w:sz w:val="16"/>
                <w:szCs w:val="18"/>
              </w:rPr>
              <w:t>rel</w:t>
            </w:r>
            <w:proofErr w:type="spellEnd"/>
            <w:r w:rsidRPr="00D263C1">
              <w:rPr>
                <w:rFonts w:asciiTheme="minorHAnsi" w:hAnsiTheme="minorHAnsi"/>
                <w:sz w:val="16"/>
                <w:szCs w:val="18"/>
              </w:rPr>
              <w:t xml:space="preserve"> occupations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[9241]</w:t>
            </w:r>
          </w:p>
        </w:tc>
      </w:tr>
      <w:tr w:rsidR="00177B3C" w:rsidRPr="00B6000C" w:rsidTr="00350537">
        <w:trPr>
          <w:trHeight w:val="170"/>
        </w:trPr>
        <w:tc>
          <w:tcPr>
            <w:tcW w:w="720" w:type="dxa"/>
            <w:tcBorders>
              <w:top w:val="nil"/>
              <w:left w:val="nil"/>
              <w:bottom w:val="nil"/>
              <w:right w:val="nil"/>
            </w:tcBorders>
            <w:shd w:val="clear" w:color="auto" w:fill="auto"/>
            <w:noWrap/>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910</w:t>
            </w:r>
          </w:p>
        </w:tc>
        <w:tc>
          <w:tcPr>
            <w:tcW w:w="5431"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 xml:space="preserve">elementary security </w:t>
            </w:r>
            <w:proofErr w:type="spellStart"/>
            <w:r w:rsidRPr="00D263C1">
              <w:rPr>
                <w:rFonts w:asciiTheme="minorHAnsi" w:hAnsiTheme="minorHAnsi"/>
                <w:sz w:val="16"/>
                <w:szCs w:val="18"/>
              </w:rPr>
              <w:t>occ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nec</w:t>
            </w:r>
            <w:proofErr w:type="spellEnd"/>
            <w:r w:rsidRPr="00D263C1">
              <w:rPr>
                <w:rFonts w:asciiTheme="minorHAnsi" w:hAnsiTheme="minorHAnsi"/>
                <w:sz w:val="16"/>
                <w:szCs w:val="18"/>
              </w:rPr>
              <w:t xml:space="preserve"> (</w:t>
            </w:r>
            <w:proofErr w:type="spellStart"/>
            <w:r w:rsidRPr="00D263C1">
              <w:rPr>
                <w:rFonts w:asciiTheme="minorHAnsi" w:hAnsiTheme="minorHAnsi"/>
                <w:sz w:val="16"/>
                <w:szCs w:val="18"/>
              </w:rPr>
              <w:t>inc</w:t>
            </w:r>
            <w:proofErr w:type="spellEnd"/>
            <w:r w:rsidRPr="00D263C1">
              <w:rPr>
                <w:rFonts w:asciiTheme="minorHAnsi" w:hAnsiTheme="minorHAnsi"/>
                <w:sz w:val="16"/>
                <w:szCs w:val="18"/>
              </w:rPr>
              <w:t xml:space="preserve"> school mid-day assistants)</w:t>
            </w:r>
          </w:p>
        </w:tc>
        <w:tc>
          <w:tcPr>
            <w:tcW w:w="3629" w:type="dxa"/>
            <w:tcBorders>
              <w:top w:val="nil"/>
              <w:left w:val="nil"/>
              <w:bottom w:val="nil"/>
              <w:right w:val="nil"/>
            </w:tcBorders>
            <w:shd w:val="clear" w:color="auto" w:fill="auto"/>
            <w:tcMar>
              <w:top w:w="11" w:type="dxa"/>
              <w:left w:w="11" w:type="dxa"/>
              <w:bottom w:w="0" w:type="dxa"/>
              <w:right w:w="11" w:type="dxa"/>
            </w:tcMar>
            <w:hideMark/>
          </w:tcPr>
          <w:p w:rsidR="00177B3C" w:rsidRPr="00D263C1" w:rsidRDefault="00177B3C" w:rsidP="00350537">
            <w:pPr>
              <w:spacing w:after="0"/>
              <w:rPr>
                <w:rFonts w:asciiTheme="minorHAnsi" w:hAnsiTheme="minorHAnsi"/>
                <w:sz w:val="16"/>
                <w:szCs w:val="18"/>
              </w:rPr>
            </w:pPr>
            <w:r w:rsidRPr="00D263C1">
              <w:rPr>
                <w:rFonts w:asciiTheme="minorHAnsi" w:hAnsiTheme="minorHAnsi"/>
                <w:sz w:val="16"/>
                <w:szCs w:val="18"/>
              </w:rPr>
              <w:t>[9242-9245|9249]</w:t>
            </w:r>
          </w:p>
        </w:tc>
      </w:tr>
    </w:tbl>
    <w:p w:rsidR="00177B3C" w:rsidRDefault="00177B3C" w:rsidP="00177B3C">
      <w:pPr>
        <w:spacing w:after="0"/>
      </w:pPr>
    </w:p>
    <w:p w:rsidR="00177B3C" w:rsidRDefault="00177B3C" w:rsidP="00177B3C">
      <w:pPr>
        <w:spacing w:after="0"/>
        <w:rPr>
          <w:rFonts w:ascii="Calibri" w:hAnsi="Calibri"/>
          <w:i/>
          <w:color w:val="000000"/>
          <w:sz w:val="16"/>
        </w:rPr>
      </w:pPr>
      <w:r w:rsidRPr="00D06165">
        <w:rPr>
          <w:rFonts w:ascii="Calibri" w:hAnsi="Calibri"/>
          <w:i/>
          <w:color w:val="000000"/>
          <w:sz w:val="16"/>
        </w:rPr>
        <w:t>Note that ‘</w:t>
      </w:r>
      <w:proofErr w:type="spellStart"/>
      <w:r w:rsidRPr="00D06165">
        <w:rPr>
          <w:rFonts w:ascii="Calibri" w:hAnsi="Calibri"/>
          <w:i/>
          <w:color w:val="000000"/>
          <w:sz w:val="16"/>
        </w:rPr>
        <w:t>nec</w:t>
      </w:r>
      <w:proofErr w:type="spellEnd"/>
      <w:r w:rsidRPr="00D06165">
        <w:rPr>
          <w:rFonts w:ascii="Calibri" w:hAnsi="Calibri"/>
          <w:i/>
          <w:color w:val="000000"/>
          <w:sz w:val="16"/>
        </w:rPr>
        <w:t>’ stands for ‘not elsewhere classified’</w:t>
      </w:r>
    </w:p>
    <w:p w:rsidR="00177B3C" w:rsidRPr="00D06165" w:rsidRDefault="00177B3C" w:rsidP="00177B3C">
      <w:pPr>
        <w:spacing w:after="0"/>
        <w:rPr>
          <w:i/>
        </w:rPr>
      </w:pPr>
      <w:r>
        <w:rPr>
          <w:rFonts w:ascii="Calibri" w:hAnsi="Calibri"/>
          <w:i/>
          <w:color w:val="000000"/>
          <w:sz w:val="16"/>
        </w:rPr>
        <w:t xml:space="preserve">Labels in brackets after a ‘+’ sign refer to rare occupations within the combined category </w:t>
      </w:r>
    </w:p>
    <w:p w:rsidR="00177B3C" w:rsidRDefault="00177B3C" w:rsidP="00177B3C"/>
    <w:p w:rsidR="00177B3C" w:rsidRDefault="00177B3C" w:rsidP="00177B3C"/>
    <w:p w:rsidR="00177B3C" w:rsidRDefault="00177B3C" w:rsidP="00177B3C">
      <w:pPr>
        <w:pStyle w:val="Heading3"/>
      </w:pPr>
      <w:bookmarkStart w:id="7" w:name="_Toc298348030"/>
      <w:r>
        <w:t>Bespoke occupational classification based on SOC90</w:t>
      </w:r>
      <w:bookmarkEnd w:id="7"/>
    </w:p>
    <w:tbl>
      <w:tblPr>
        <w:tblW w:w="8658" w:type="dxa"/>
        <w:tblLayout w:type="fixed"/>
        <w:tblCellMar>
          <w:left w:w="0" w:type="dxa"/>
          <w:right w:w="0" w:type="dxa"/>
        </w:tblCellMar>
        <w:tblLook w:val="04A0" w:firstRow="1" w:lastRow="0" w:firstColumn="1" w:lastColumn="0" w:noHBand="0" w:noVBand="1"/>
      </w:tblPr>
      <w:tblGrid>
        <w:gridCol w:w="960"/>
        <w:gridCol w:w="6139"/>
        <w:gridCol w:w="1559"/>
      </w:tblGrid>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b/>
                <w:bCs/>
                <w:color w:val="000000"/>
                <w:sz w:val="16"/>
              </w:rPr>
            </w:pPr>
            <w:r w:rsidRPr="00192AD5">
              <w:rPr>
                <w:rFonts w:ascii="Calibri" w:hAnsi="Calibri"/>
                <w:b/>
                <w:bCs/>
                <w:color w:val="000000"/>
                <w:sz w:val="16"/>
              </w:rPr>
              <w:t>New code</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b/>
                <w:bCs/>
                <w:color w:val="000000"/>
                <w:sz w:val="16"/>
              </w:rPr>
            </w:pPr>
            <w:r w:rsidRPr="00192AD5">
              <w:rPr>
                <w:rFonts w:ascii="Calibri" w:hAnsi="Calibri"/>
                <w:b/>
                <w:bCs/>
                <w:color w:val="000000"/>
                <w:sz w:val="16"/>
              </w:rPr>
              <w:t>Label</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b/>
                <w:bCs/>
                <w:color w:val="000000"/>
                <w:sz w:val="16"/>
              </w:rPr>
            </w:pPr>
            <w:r w:rsidRPr="00192AD5">
              <w:rPr>
                <w:rFonts w:ascii="Calibri" w:hAnsi="Calibri"/>
                <w:b/>
                <w:bCs/>
                <w:color w:val="000000"/>
                <w:sz w:val="16"/>
              </w:rPr>
              <w:t>SOC2000 codes</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General managers in large organisations, senior administrators in national govt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[100|101]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Production, works and maintenance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Managers in building contracting (+mining/energy &amp; clerks of works)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[111-113]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Treasurers and company financial managers (+company </w:t>
            </w:r>
            <w:proofErr w:type="spellStart"/>
            <w:r w:rsidRPr="00192AD5">
              <w:rPr>
                <w:rFonts w:ascii="Calibri" w:hAnsi="Calibri"/>
                <w:color w:val="000000"/>
                <w:sz w:val="16"/>
              </w:rPr>
              <w:t>secreatries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[120|127]</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Marketing and sales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Computer systems and data processing managers (+purchasing/methods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[122|125|126]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Personnel, training and industrial relations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Bank, Building Society and Post Office managers (except self-employed)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[131]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financial institutions and office managers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roofErr w:type="spellStart"/>
            <w:r w:rsidRPr="00192AD5">
              <w:rPr>
                <w:rFonts w:ascii="Calibri" w:hAnsi="Calibri"/>
                <w:color w:val="000000"/>
                <w:sz w:val="16"/>
              </w:rPr>
              <w:t>inc.</w:t>
            </w:r>
            <w:proofErr w:type="spellEnd"/>
            <w:r w:rsidRPr="00192AD5">
              <w:rPr>
                <w:rFonts w:ascii="Calibri" w:hAnsi="Calibri"/>
                <w:color w:val="000000"/>
                <w:sz w:val="16"/>
              </w:rPr>
              <w:t xml:space="preserve"> credit controllers and civil service EOs)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[130|132|139]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Managers in transport and storing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[140-142]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Protective service officers (police, armed forces, immigration)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[150-155]</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Managers in farming, horticulture, forestry and fishing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[160|169]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Managers and proprietors in service industries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[170|171|176-179]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Restaurant and catering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[174]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Hotel/accommodation/pub/inn managers and club stewards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[173|175]</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managers and administrators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[190|191|199]</w:t>
            </w:r>
          </w:p>
        </w:tc>
      </w:tr>
      <w:tr w:rsidR="00177B3C" w:rsidRPr="00192AD5" w:rsidTr="00350537">
        <w:trPr>
          <w:trHeight w:val="365"/>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Local government officers (administrative and executive functions) and general </w:t>
            </w:r>
            <w:proofErr w:type="spellStart"/>
            <w:r w:rsidRPr="00192AD5">
              <w:rPr>
                <w:rFonts w:ascii="Calibri" w:hAnsi="Calibri"/>
                <w:color w:val="000000"/>
                <w:sz w:val="16"/>
              </w:rPr>
              <w:t>adminsitrators</w:t>
            </w:r>
            <w:proofErr w:type="spellEnd"/>
            <w:r w:rsidRPr="00192AD5">
              <w:rPr>
                <w:rFonts w:ascii="Calibri" w:hAnsi="Calibri"/>
                <w:color w:val="000000"/>
                <w:sz w:val="16"/>
              </w:rPr>
              <w:t xml:space="preserve"> in national govt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[102|103]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Advertising and public relations managers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120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Hairdressers' and barbers' managers and proprietors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[172]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Natural scientists (+social scientists)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[200-202|209|291]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Software engineers professional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Mechanical/civil/structural/municipal/mining/quarrying engineers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[210|211]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engineers and technologists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[212|213|215|217-219]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Medical practitioners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Pharmacists and dentists (+opticians, vets, psychologists)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[221-224|290]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University and polytechnic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[230]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Higher and Further education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[231]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Secondary (and middle school deemed secondary) education teaching professionals (+inspectors)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[232|233]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Primary (and middle school deemed primary) and nursery education teaching professionals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[234]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teaching professionals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[235|239]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Legal professionals (e.g. solicitors)</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[240-243]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Chartered and certified accountants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[250]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lastRenderedPageBreak/>
              <w:t>215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Architects, town planners and surveyors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[260-262]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Social workers, probation officers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[293]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Design and development engineers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Management consultants, business analysts, actuaries, economists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[251-253]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Laboratory/engineering/electrical technicians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[300-302]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scientific technicians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[303|304|309]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Draughtspersons, quantity/other surveyors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[310-313]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Computer analyst/programmers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Ship and aircraft officers, air </w:t>
            </w:r>
            <w:proofErr w:type="spellStart"/>
            <w:r w:rsidRPr="00192AD5">
              <w:rPr>
                <w:rFonts w:ascii="Calibri" w:hAnsi="Calibri"/>
                <w:color w:val="000000"/>
                <w:sz w:val="16"/>
              </w:rPr>
              <w:t>taffic</w:t>
            </w:r>
            <w:proofErr w:type="spellEnd"/>
            <w:r w:rsidRPr="00192AD5">
              <w:rPr>
                <w:rFonts w:ascii="Calibri" w:hAnsi="Calibri"/>
                <w:color w:val="000000"/>
                <w:sz w:val="16"/>
              </w:rPr>
              <w:t xml:space="preserve"> planners and controllers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[330-332]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Nurses &amp; midwives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[340|341]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health professionals (e.g. radiographers, medical technicians, dental auxiliaries)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[342|344-346|348|349]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Therapists (</w:t>
            </w:r>
            <w:proofErr w:type="spellStart"/>
            <w:r w:rsidRPr="00192AD5">
              <w:rPr>
                <w:rFonts w:ascii="Calibri" w:hAnsi="Calibri"/>
                <w:color w:val="000000"/>
                <w:sz w:val="16"/>
              </w:rPr>
              <w:t>physios</w:t>
            </w:r>
            <w:proofErr w:type="spellEnd"/>
            <w:r w:rsidRPr="00192AD5">
              <w:rPr>
                <w:rFonts w:ascii="Calibri" w:hAnsi="Calibri"/>
                <w:color w:val="000000"/>
                <w:sz w:val="16"/>
              </w:rPr>
              <w:t xml:space="preserve">, OTs, psychotherapists etc)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[343|347]</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Legal service and related occupations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[350]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Welfare, community and youth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[371]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Authors, writers, journalists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[380]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Artists, commercial artists, designers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[381-383]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Vocational and industrial trainers, careers advisers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[391|392]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associate professional and technical occupations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[390|393|399]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Underwriters, claims assessors, brokers, investment analysts, taxation experts, </w:t>
            </w:r>
            <w:proofErr w:type="spellStart"/>
            <w:r w:rsidRPr="00192AD5">
              <w:rPr>
                <w:rFonts w:ascii="Calibri" w:hAnsi="Calibri"/>
                <w:color w:val="000000"/>
                <w:sz w:val="16"/>
              </w:rPr>
              <w:t>valuers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[360-362]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Personnel / industrial relations / organisation and methods officers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[363|364]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320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Matrons, </w:t>
            </w:r>
            <w:proofErr w:type="spellStart"/>
            <w:r w:rsidRPr="00192AD5">
              <w:rPr>
                <w:rFonts w:ascii="Calibri" w:hAnsi="Calibri"/>
                <w:color w:val="000000"/>
                <w:sz w:val="16"/>
              </w:rPr>
              <w:t>houseparents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[370]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321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Actors, producers, musicians, sound/video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[384-386]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322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Health and safety officers, statutory inspectors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[394-396]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Civil administrative officers and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Local government clerical officers and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Book-keepers, other financial clerks, and cash collectors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[410|412]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Counter clerks and cashiers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Filing, computer and other records clerks (inc. legal conveyancing)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Clerks (</w:t>
            </w:r>
            <w:proofErr w:type="spellStart"/>
            <w:r w:rsidRPr="00192AD5">
              <w:rPr>
                <w:rFonts w:ascii="Calibri" w:hAnsi="Calibri"/>
                <w:color w:val="000000"/>
                <w:sz w:val="16"/>
              </w:rPr>
              <w:t>nes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[421|430]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Stores and despatch clerks, storekeepers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[440|441]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Medical &amp; legal secretaries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[450|451]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Typists and word processor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[452]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secretaries, personal assistants, typists, &amp; word processor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[459]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Receptionists/telephonists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[460|461]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Telephone/radio/telegraph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[462/463]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Computer operators, data processing operators, other office machine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[490]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Bricklayers, roofers, </w:t>
            </w:r>
            <w:proofErr w:type="spellStart"/>
            <w:r w:rsidRPr="00192AD5">
              <w:rPr>
                <w:rFonts w:ascii="Calibri" w:hAnsi="Calibri"/>
                <w:color w:val="000000"/>
                <w:sz w:val="16"/>
              </w:rPr>
              <w:t>pasterers</w:t>
            </w:r>
            <w:proofErr w:type="spellEnd"/>
            <w:r w:rsidRPr="00192AD5">
              <w:rPr>
                <w:rFonts w:ascii="Calibri" w:hAnsi="Calibri"/>
                <w:color w:val="000000"/>
                <w:sz w:val="16"/>
              </w:rPr>
              <w:t xml:space="preserve">, glaziers, </w:t>
            </w:r>
            <w:proofErr w:type="spellStart"/>
            <w:r w:rsidRPr="00192AD5">
              <w:rPr>
                <w:rFonts w:ascii="Calibri" w:hAnsi="Calibri"/>
                <w:color w:val="000000"/>
                <w:sz w:val="16"/>
              </w:rPr>
              <w:t>scaffolders</w:t>
            </w:r>
            <w:proofErr w:type="spellEnd"/>
            <w:r w:rsidRPr="00192AD5">
              <w:rPr>
                <w:rFonts w:ascii="Calibri" w:hAnsi="Calibri"/>
                <w:color w:val="000000"/>
                <w:sz w:val="16"/>
              </w:rPr>
              <w:t xml:space="preserve">, floorers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[500-503|505|506]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Builders, building contractors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Painters and decorators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[507]</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construction trades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Metal working production and maintenance fitters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machine tool setters &amp; setter-operators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[510-515|517-519]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Electricians and other electrical/electronic trades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[521|522|524|529]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Computer/radio/TV/video engineers and maintenance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[525|526]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Plumbers, heating and ventilating engineers and related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[532]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Welding trades (+sheet metal workers and riveters)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[530|531|533-537]</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Vehicle trades (e.g. motor mechanics)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[540-544]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textiles, garments and related trades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[550-552|554-557|559]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Sewing machinists, menders, darners and embroiderers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[553]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Printing and related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[560-569]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Woodworking trades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[570-573|579]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Food preparation trades (bakers, butchers, fishmongers)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[580-582]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Gardeners, </w:t>
            </w:r>
            <w:proofErr w:type="spellStart"/>
            <w:r w:rsidRPr="00192AD5">
              <w:rPr>
                <w:rFonts w:ascii="Calibri" w:hAnsi="Calibri"/>
                <w:color w:val="000000"/>
                <w:sz w:val="16"/>
              </w:rPr>
              <w:t>groundsmen</w:t>
            </w:r>
            <w:proofErr w:type="spellEnd"/>
            <w:r w:rsidRPr="00192AD5">
              <w:rPr>
                <w:rFonts w:ascii="Calibri" w:hAnsi="Calibri"/>
                <w:color w:val="000000"/>
                <w:sz w:val="16"/>
              </w:rPr>
              <w:t xml:space="preserve">/women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[594]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craft and related occupations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[590-592|595-599]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519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Telephone &amp; production (electrical/electronic) fitters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[520|523]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NCOs and other ranks, armed forces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[600|601]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Public service security officers, non-managers (police, armed forces, immigration)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[610-614]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Non-public service protective service occupations (e.g. security guards)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[615|619]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Chefs, cooks hotel supervisor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Waiters, waitresses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[621]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Bar staff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[622]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Assistant nurses, nursing auxiliaries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[640]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Dental nurses, hospital ward assistants, ambulance staff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[641-643]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Care assistants and attendants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[644]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Nursery nurses and playgroup leaders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[650|651]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lastRenderedPageBreak/>
              <w:t>611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Educational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[652]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childcare and related occupations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[659]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Hairdressers, beauticians and related occupations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[660|661]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Caretakers and housekeepers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[670-672]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699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personal and protective service occupations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[630|631|673|690|691|699]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Buyers, brokers and related agents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[700-703]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Technical and wholesale sales representatives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[710]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sales representatives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[719]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Sales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Retail cash desk and check-out operators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[721|722]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Telephone salespersons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[792]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Sales occupations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roofErr w:type="spellStart"/>
            <w:r w:rsidRPr="00192AD5">
              <w:rPr>
                <w:rFonts w:ascii="Calibri" w:hAnsi="Calibri"/>
                <w:color w:val="000000"/>
                <w:sz w:val="16"/>
              </w:rPr>
              <w:t>inc</w:t>
            </w:r>
            <w:proofErr w:type="spellEnd"/>
            <w:r w:rsidRPr="00192AD5">
              <w:rPr>
                <w:rFonts w:ascii="Calibri" w:hAnsi="Calibri"/>
                <w:color w:val="000000"/>
                <w:sz w:val="16"/>
              </w:rPr>
              <w:t xml:space="preserve"> mobile salespersons and </w:t>
            </w:r>
            <w:proofErr w:type="spellStart"/>
            <w:r w:rsidRPr="00192AD5">
              <w:rPr>
                <w:rFonts w:ascii="Calibri" w:hAnsi="Calibri"/>
                <w:color w:val="000000"/>
                <w:sz w:val="16"/>
              </w:rPr>
              <w:t>merchaniders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[730-733|790|791]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Food, drink, tobacco, textiles &amp; tannery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[800-802|809|810-814]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Chemical, gas and petroleum process plant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[820]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Paper, plastics and related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[821-826|829]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Metal making and treating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[830-834|839|840-844]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Assemblers/</w:t>
            </w:r>
            <w:proofErr w:type="spellStart"/>
            <w:r w:rsidRPr="00192AD5">
              <w:rPr>
                <w:rFonts w:ascii="Calibri" w:hAnsi="Calibri"/>
                <w:color w:val="000000"/>
                <w:sz w:val="16"/>
              </w:rPr>
              <w:t>lineworkers</w:t>
            </w:r>
            <w:proofErr w:type="spellEnd"/>
            <w:r w:rsidRPr="00192AD5">
              <w:rPr>
                <w:rFonts w:ascii="Calibri" w:hAnsi="Calibri"/>
                <w:color w:val="000000"/>
                <w:sz w:val="16"/>
              </w:rPr>
              <w:t xml:space="preserve"> (electrical/electronic goods)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[850]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Other assemblers/</w:t>
            </w:r>
            <w:proofErr w:type="spellStart"/>
            <w:r w:rsidRPr="00192AD5">
              <w:rPr>
                <w:rFonts w:ascii="Calibri" w:hAnsi="Calibri"/>
                <w:color w:val="000000"/>
                <w:sz w:val="16"/>
              </w:rPr>
              <w:t>lineworkers</w:t>
            </w:r>
            <w:proofErr w:type="spellEnd"/>
            <w:r w:rsidRPr="00192AD5">
              <w:rPr>
                <w:rFonts w:ascii="Calibri" w:hAnsi="Calibri"/>
                <w:color w:val="000000"/>
                <w:sz w:val="16"/>
              </w:rPr>
              <w:t xml:space="preserve"> </w:t>
            </w:r>
            <w:proofErr w:type="spellStart"/>
            <w:r w:rsidRPr="00192AD5">
              <w:rPr>
                <w:rFonts w:ascii="Calibri" w:hAnsi="Calibri"/>
                <w:color w:val="000000"/>
                <w:sz w:val="16"/>
              </w:rPr>
              <w:t>nes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[851|859]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Inspectors, viewers, testers, sorters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[860|861|863|864]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Packers, bottlers, canners, fillers &amp; other routine process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[862|869]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Drivers of road goods vehicles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[872]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Bus and coach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[873]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Taxi, cab drivers and chauffeurs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[874]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transport &amp; machinery operatives </w:t>
            </w:r>
            <w:proofErr w:type="spellStart"/>
            <w:r w:rsidRPr="00192AD5">
              <w:rPr>
                <w:rFonts w:ascii="Calibri" w:hAnsi="Calibri"/>
                <w:color w:val="000000"/>
                <w:sz w:val="16"/>
              </w:rPr>
              <w:t>nes</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[870|871|875|880-884|889]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Crane and mechanical plant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[885|886]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Fork lift and mechanical truck drivers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[887]</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Construction and related operatives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[896]</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816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Plant and machine operatives </w:t>
            </w:r>
            <w:proofErr w:type="spellStart"/>
            <w:r w:rsidRPr="00192AD5">
              <w:rPr>
                <w:rFonts w:ascii="Calibri" w:hAnsi="Calibri"/>
                <w:color w:val="000000"/>
                <w:sz w:val="16"/>
              </w:rPr>
              <w:t>nec</w:t>
            </w:r>
            <w:proofErr w:type="spellEnd"/>
            <w:r w:rsidRPr="00192AD5">
              <w:rPr>
                <w:rFonts w:ascii="Calibri" w:hAnsi="Calibri"/>
                <w:color w:val="000000"/>
                <w:sz w:val="16"/>
              </w:rPr>
              <w:t xml:space="preserve">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[890-894|896-899]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Farm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902</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occupations in mining and manufacturing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[910-913|919]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903</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occupations in construction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[920-924|929]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904</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occupations in transport (inc. goods porters)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[930-934]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905</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Other occupations in communications (inc. postal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[940|941]</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906</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Kitchen/hotel/hospital porters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[950-952]</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907</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proofErr w:type="spellStart"/>
            <w:r w:rsidRPr="00192AD5">
              <w:rPr>
                <w:rFonts w:ascii="Calibri" w:hAnsi="Calibri"/>
                <w:color w:val="000000"/>
                <w:sz w:val="16"/>
              </w:rPr>
              <w:t>Counterhands</w:t>
            </w:r>
            <w:proofErr w:type="spellEnd"/>
            <w:r w:rsidRPr="00192AD5">
              <w:rPr>
                <w:rFonts w:ascii="Calibri" w:hAnsi="Calibri"/>
                <w:color w:val="000000"/>
                <w:sz w:val="16"/>
              </w:rPr>
              <w:t xml:space="preserve">, catering assistants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[953]</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908</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Shelf fillers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[954]</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909</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Cleaners, domestics, and other occupations in sales and services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[955-959]</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910</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All other labourers and related workers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[910]</w:t>
            </w:r>
          </w:p>
        </w:tc>
      </w:tr>
      <w:tr w:rsidR="00177B3C" w:rsidRPr="00192AD5" w:rsidTr="00350537">
        <w:trPr>
          <w:trHeight w:val="170"/>
        </w:trPr>
        <w:tc>
          <w:tcPr>
            <w:tcW w:w="960" w:type="dxa"/>
            <w:tcBorders>
              <w:top w:val="nil"/>
              <w:left w:val="nil"/>
              <w:bottom w:val="nil"/>
              <w:right w:val="nil"/>
            </w:tcBorders>
            <w:shd w:val="clear" w:color="auto" w:fill="auto"/>
            <w:noWrap/>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911</w:t>
            </w:r>
          </w:p>
        </w:tc>
        <w:tc>
          <w:tcPr>
            <w:tcW w:w="613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 xml:space="preserve">All other occupations in farming, fishing, and forestry </w:t>
            </w:r>
          </w:p>
        </w:tc>
        <w:tc>
          <w:tcPr>
            <w:tcW w:w="1559" w:type="dxa"/>
            <w:tcBorders>
              <w:top w:val="nil"/>
              <w:left w:val="nil"/>
              <w:bottom w:val="nil"/>
              <w:right w:val="nil"/>
            </w:tcBorders>
            <w:shd w:val="clear" w:color="auto" w:fill="auto"/>
            <w:tcMar>
              <w:top w:w="11" w:type="dxa"/>
              <w:left w:w="11" w:type="dxa"/>
              <w:bottom w:w="0" w:type="dxa"/>
              <w:right w:w="11" w:type="dxa"/>
            </w:tcMar>
            <w:vAlign w:val="center"/>
            <w:hideMark/>
          </w:tcPr>
          <w:p w:rsidR="00177B3C" w:rsidRPr="00192AD5" w:rsidRDefault="00177B3C" w:rsidP="00350537">
            <w:pPr>
              <w:spacing w:after="0" w:line="240" w:lineRule="auto"/>
              <w:rPr>
                <w:rFonts w:ascii="Calibri" w:hAnsi="Calibri"/>
                <w:color w:val="000000"/>
                <w:sz w:val="16"/>
              </w:rPr>
            </w:pPr>
            <w:r w:rsidRPr="00192AD5">
              <w:rPr>
                <w:rFonts w:ascii="Calibri" w:hAnsi="Calibri"/>
                <w:color w:val="000000"/>
                <w:sz w:val="16"/>
              </w:rPr>
              <w:t>[901-904]</w:t>
            </w:r>
          </w:p>
        </w:tc>
      </w:tr>
    </w:tbl>
    <w:p w:rsidR="00177B3C" w:rsidRPr="00F85D72" w:rsidRDefault="00177B3C" w:rsidP="00177B3C">
      <w:pPr>
        <w:spacing w:after="0"/>
      </w:pPr>
    </w:p>
    <w:p w:rsidR="00177B3C" w:rsidRDefault="00177B3C" w:rsidP="00177B3C">
      <w:pPr>
        <w:spacing w:after="0"/>
      </w:pPr>
      <w:r>
        <w:br w:type="page"/>
      </w:r>
    </w:p>
    <w:p w:rsidR="00177B3C" w:rsidRDefault="00177B3C" w:rsidP="00177B3C">
      <w:pPr>
        <w:pStyle w:val="Heading4"/>
        <w:sectPr w:rsidR="00177B3C" w:rsidSect="00F5777F">
          <w:pgSz w:w="11906" w:h="16838" w:code="9"/>
          <w:pgMar w:top="1440" w:right="1440" w:bottom="1440" w:left="1440" w:header="708" w:footer="708" w:gutter="0"/>
          <w:cols w:space="708"/>
          <w:docGrid w:linePitch="360"/>
        </w:sectPr>
      </w:pPr>
    </w:p>
    <w:p w:rsidR="00177B3C" w:rsidRDefault="00177B3C" w:rsidP="00177B3C">
      <w:pPr>
        <w:pStyle w:val="Heading2"/>
        <w:numPr>
          <w:ilvl w:val="0"/>
          <w:numId w:val="13"/>
        </w:numPr>
      </w:pPr>
      <w:bookmarkStart w:id="8" w:name="_Toc360900313"/>
      <w:r>
        <w:lastRenderedPageBreak/>
        <w:t>Creating consistent classifications</w:t>
      </w:r>
      <w:bookmarkEnd w:id="8"/>
    </w:p>
    <w:p w:rsidR="00177B3C" w:rsidRDefault="00177B3C" w:rsidP="00177B3C">
      <w:pPr>
        <w:pStyle w:val="Heading4"/>
      </w:pPr>
      <w:r>
        <w:t>Occupational classifications</w:t>
      </w:r>
    </w:p>
    <w:p w:rsidR="00177B3C" w:rsidRPr="004C48DF" w:rsidRDefault="00177B3C" w:rsidP="00177B3C">
      <w:r>
        <w:t>T</w:t>
      </w:r>
      <w:r w:rsidRPr="004C48DF">
        <w:t>o create a consistent occupational classification</w:t>
      </w:r>
      <w:r>
        <w:t xml:space="preserve"> that allows us to compare the 2006 data to the earlier data</w:t>
      </w:r>
      <w:r w:rsidRPr="004C48DF">
        <w:t xml:space="preserve">, we have to use </w:t>
      </w:r>
      <w:r>
        <w:t xml:space="preserve">other </w:t>
      </w:r>
      <w:r w:rsidRPr="004C48DF">
        <w:t xml:space="preserve">pre-existing data </w:t>
      </w:r>
      <w:r>
        <w:t xml:space="preserve">sources </w:t>
      </w:r>
      <w:r w:rsidRPr="004C48DF">
        <w:t>that ha</w:t>
      </w:r>
      <w:r>
        <w:t>ve</w:t>
      </w:r>
      <w:r w:rsidRPr="004C48DF">
        <w:t xml:space="preserve"> been coded to both classifications (‘dual-coded data’)</w:t>
      </w:r>
      <w:r>
        <w:t>.  We can use these</w:t>
      </w:r>
      <w:r w:rsidRPr="004C48DF">
        <w:t xml:space="preserve"> in one of four ways </w:t>
      </w:r>
      <w:r>
        <w:t>(Williams, 2011:187)</w:t>
      </w:r>
      <w:r w:rsidRPr="004C48DF">
        <w:t>:</w:t>
      </w:r>
    </w:p>
    <w:p w:rsidR="00177B3C" w:rsidRPr="004C48DF" w:rsidRDefault="00177B3C" w:rsidP="00177B3C">
      <w:pPr>
        <w:pStyle w:val="ListParagraph"/>
        <w:numPr>
          <w:ilvl w:val="0"/>
          <w:numId w:val="5"/>
        </w:numPr>
        <w:spacing w:before="60" w:after="120"/>
        <w:ind w:left="714" w:hanging="357"/>
        <w:contextualSpacing w:val="0"/>
      </w:pPr>
      <w:r w:rsidRPr="000C6D55">
        <w:rPr>
          <w:rStyle w:val="Emphasis"/>
        </w:rPr>
        <w:t xml:space="preserve">Modal allocation </w:t>
      </w:r>
      <w:r w:rsidRPr="000C6D55">
        <w:t xml:space="preserve">– SOC 2000 occupations are assigned to the SOC90 code that they are most likely to match to (i.e. the mode within each SOC 2000 group) </w:t>
      </w:r>
      <w:r>
        <w:t>(</w:t>
      </w:r>
      <w:proofErr w:type="spellStart"/>
      <w:r>
        <w:t>Oesch</w:t>
      </w:r>
      <w:proofErr w:type="spellEnd"/>
      <w:r>
        <w:t xml:space="preserve"> and Rodriguez Menes, 2011)</w:t>
      </w:r>
      <w:r w:rsidRPr="000C6D55">
        <w:t xml:space="preserve">.  This is easy to use, but works poorly at the most detailed level where each occupation maps onto many other occupations.  </w:t>
      </w:r>
    </w:p>
    <w:p w:rsidR="00177B3C" w:rsidRPr="004C48DF" w:rsidRDefault="00177B3C" w:rsidP="00177B3C">
      <w:pPr>
        <w:pStyle w:val="ListParagraph"/>
        <w:numPr>
          <w:ilvl w:val="0"/>
          <w:numId w:val="5"/>
        </w:numPr>
        <w:spacing w:before="60" w:after="120"/>
        <w:ind w:left="714" w:hanging="357"/>
        <w:contextualSpacing w:val="0"/>
      </w:pPr>
      <w:r w:rsidRPr="000C6D55">
        <w:rPr>
          <w:rStyle w:val="Emphasis"/>
        </w:rPr>
        <w:t xml:space="preserve">Random allocation </w:t>
      </w:r>
      <w:r w:rsidRPr="000C6D55">
        <w:t xml:space="preserve">– the SOC90 codes are randomly assigned to each person’s SOC 2000 code according to the probabilities in the dual-coded data </w:t>
      </w:r>
      <w:r>
        <w:t>(</w:t>
      </w:r>
      <w:proofErr w:type="spellStart"/>
      <w:r>
        <w:t>Goos</w:t>
      </w:r>
      <w:proofErr w:type="spellEnd"/>
      <w:r>
        <w:t xml:space="preserve"> and Manning, 2007)</w:t>
      </w:r>
      <w:r w:rsidRPr="000C6D55">
        <w:t>.  Again, this performs poorly when occupations map onto many codes and the within-occupation sample size is small.</w:t>
      </w:r>
    </w:p>
    <w:p w:rsidR="00177B3C" w:rsidRPr="004C48DF" w:rsidRDefault="00177B3C" w:rsidP="00177B3C">
      <w:pPr>
        <w:pStyle w:val="ListParagraph"/>
        <w:numPr>
          <w:ilvl w:val="0"/>
          <w:numId w:val="5"/>
        </w:numPr>
        <w:spacing w:before="60" w:after="120"/>
        <w:ind w:left="714" w:hanging="357"/>
        <w:contextualSpacing w:val="0"/>
      </w:pPr>
      <w:r w:rsidRPr="000C6D55">
        <w:rPr>
          <w:rStyle w:val="Emphasis"/>
        </w:rPr>
        <w:t xml:space="preserve">Weighting </w:t>
      </w:r>
      <w:r w:rsidRPr="000C6D55">
        <w:t xml:space="preserve">– duplicate observations are generated for each person, with one observation generated for each SOC90 code that matches the respondent’s SOC 2000 code.  For example, for a person in a SOC 2000 code that matches five SOC90 codes, five copies of this person would be generated.  Each duplicate observation is then given a weight according to the probabilities in the dual-coded data, with the total weight adding to 1 </w:t>
      </w:r>
      <w:r>
        <w:t>(</w:t>
      </w:r>
      <w:proofErr w:type="spellStart"/>
      <w:r>
        <w:t>Weeden</w:t>
      </w:r>
      <w:proofErr w:type="spellEnd"/>
      <w:r>
        <w:t xml:space="preserve">, 2005, </w:t>
      </w:r>
      <w:proofErr w:type="spellStart"/>
      <w:r>
        <w:t>Weeden</w:t>
      </w:r>
      <w:proofErr w:type="spellEnd"/>
      <w:r>
        <w:t xml:space="preserve"> and </w:t>
      </w:r>
      <w:proofErr w:type="spellStart"/>
      <w:r>
        <w:t>Grusky</w:t>
      </w:r>
      <w:proofErr w:type="spellEnd"/>
      <w:r>
        <w:t>, 2005)</w:t>
      </w:r>
      <w:r w:rsidRPr="000C6D55">
        <w:t>.  The mean values from this recoded data will be appropriate; however, the results do not take into account the uncertainty involved in converting between classifications.</w:t>
      </w:r>
    </w:p>
    <w:p w:rsidR="00177B3C" w:rsidRPr="004C48DF" w:rsidRDefault="00177B3C" w:rsidP="00177B3C">
      <w:pPr>
        <w:pStyle w:val="ListParagraph"/>
        <w:numPr>
          <w:ilvl w:val="0"/>
          <w:numId w:val="5"/>
        </w:numPr>
        <w:spacing w:before="60" w:after="240"/>
        <w:ind w:left="714" w:hanging="357"/>
        <w:contextualSpacing w:val="0"/>
      </w:pPr>
      <w:r w:rsidRPr="000C6D55">
        <w:rPr>
          <w:rStyle w:val="Emphasis"/>
        </w:rPr>
        <w:t>Multiple imputation</w:t>
      </w:r>
      <w:r w:rsidRPr="000C6D55">
        <w:t xml:space="preserve"> – rather than just assigning occupations once (as in random allocation) or providing a fixed weight (as in weighting), multiple imputation creates several different versions of the dataset where the SOC90 code for each person with a SOC 2000 code is predicted differently in each version </w:t>
      </w:r>
      <w:r>
        <w:t>(</w:t>
      </w:r>
      <w:proofErr w:type="spellStart"/>
      <w:r>
        <w:t>Schenker</w:t>
      </w:r>
      <w:proofErr w:type="spellEnd"/>
      <w:r>
        <w:t xml:space="preserve"> et al., 1993)</w:t>
      </w:r>
      <w:r w:rsidRPr="000C6D55">
        <w:t xml:space="preserve">.  </w:t>
      </w:r>
      <w:r>
        <w:t xml:space="preserve">It </w:t>
      </w:r>
      <w:r w:rsidRPr="000C6D55">
        <w:t>then analyses all these different datasets simultaneously, taking into account the uncertainty in assigning occupational codes.  However, care needs to be taken to ensure that the (multinomial logistic) model is working adequately, particularly at the fine-grained occupational level with several hundred outcomes; this also imposes considerable costs in terms of computation time and the viability of other statistical techniques.</w:t>
      </w:r>
    </w:p>
    <w:p w:rsidR="00177B3C" w:rsidRPr="00A3459F" w:rsidRDefault="00177B3C" w:rsidP="00177B3C">
      <w:r w:rsidRPr="004C48DF">
        <w:t>Ultimately</w:t>
      </w:r>
      <w:r>
        <w:t>,</w:t>
      </w:r>
      <w:r w:rsidRPr="004C48DF">
        <w:t xml:space="preserve"> I used the weighting method to create a merged dataset where the 2006 Skills Survey was coded to SOC90 to match the other datasets.  This means that occupational demands-control from 2006 has greater </w:t>
      </w:r>
      <w:r w:rsidRPr="00A3459F">
        <w:t xml:space="preserve">measurement error than preceding years. </w:t>
      </w:r>
    </w:p>
    <w:p w:rsidR="00177B3C" w:rsidRDefault="00177B3C" w:rsidP="00177B3C">
      <w:r w:rsidRPr="004C48DF">
        <w:t xml:space="preserve">The dual-coded data was supplied by the Office of National Statistics based on the 2000 Labour Force Survey.  </w:t>
      </w:r>
      <w:r>
        <w:t xml:space="preserve">Using the supplied LFS data, data were first cleaned so that the weight for each person summed to one (and obvious errors removed).  For SOC 2000 occupations that in the dual-coded data had less than 30 observations, the SOC90 codes of men and women were pooled; otherwise data were mapped separately for men and women.  For SOC 2000 occupations where the combined number of men and women in the 2000 LFS was &lt;30, occupations were pooled with similar occupations in similar fashion to Web </w:t>
      </w:r>
      <w:r>
        <w:lastRenderedPageBreak/>
        <w:t>Appendix 3. This table lists the occupations that were grouped together in the dual-coded data to ensure that each cell had a sample size above 30.</w:t>
      </w:r>
    </w:p>
    <w:tbl>
      <w:tblPr>
        <w:tblW w:w="9056" w:type="dxa"/>
        <w:tblCellMar>
          <w:left w:w="0" w:type="dxa"/>
          <w:right w:w="0" w:type="dxa"/>
        </w:tblCellMar>
        <w:tblLook w:val="04A0" w:firstRow="1" w:lastRow="0" w:firstColumn="1" w:lastColumn="0" w:noHBand="0" w:noVBand="1"/>
      </w:tblPr>
      <w:tblGrid>
        <w:gridCol w:w="3354"/>
        <w:gridCol w:w="840"/>
        <w:gridCol w:w="4862"/>
      </w:tblGrid>
      <w:tr w:rsidR="00177B3C" w:rsidRPr="00277B8D" w:rsidTr="00350537">
        <w:tc>
          <w:tcPr>
            <w:tcW w:w="3354" w:type="dxa"/>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277B8D" w:rsidRDefault="00177B3C" w:rsidP="00350537">
            <w:pPr>
              <w:spacing w:after="0" w:line="240" w:lineRule="auto"/>
              <w:jc w:val="center"/>
              <w:rPr>
                <w:rFonts w:ascii="Calibri" w:hAnsi="Calibri"/>
                <w:b/>
                <w:color w:val="000000"/>
                <w:sz w:val="18"/>
              </w:rPr>
            </w:pPr>
            <w:r w:rsidRPr="00277B8D">
              <w:rPr>
                <w:rFonts w:ascii="Calibri" w:hAnsi="Calibri"/>
                <w:b/>
                <w:color w:val="000000"/>
                <w:sz w:val="18"/>
              </w:rPr>
              <w:t xml:space="preserve">Grouped </w:t>
            </w:r>
            <w:proofErr w:type="spellStart"/>
            <w:r w:rsidRPr="00277B8D">
              <w:rPr>
                <w:rFonts w:ascii="Calibri" w:hAnsi="Calibri"/>
                <w:b/>
                <w:color w:val="000000"/>
                <w:sz w:val="18"/>
              </w:rPr>
              <w:t>occ</w:t>
            </w:r>
            <w:proofErr w:type="spellEnd"/>
          </w:p>
        </w:tc>
        <w:tc>
          <w:tcPr>
            <w:tcW w:w="840" w:type="dxa"/>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277B8D" w:rsidRDefault="00177B3C" w:rsidP="00350537">
            <w:pPr>
              <w:spacing w:after="0" w:line="240" w:lineRule="auto"/>
              <w:jc w:val="center"/>
              <w:rPr>
                <w:rFonts w:ascii="Calibri" w:hAnsi="Calibri"/>
                <w:b/>
                <w:color w:val="000000"/>
                <w:sz w:val="18"/>
              </w:rPr>
            </w:pPr>
            <w:r w:rsidRPr="00277B8D">
              <w:rPr>
                <w:rFonts w:ascii="Calibri" w:hAnsi="Calibri"/>
                <w:b/>
                <w:color w:val="000000"/>
                <w:sz w:val="18"/>
              </w:rPr>
              <w:t>SOC 2000 code</w:t>
            </w:r>
          </w:p>
        </w:tc>
        <w:tc>
          <w:tcPr>
            <w:tcW w:w="4862" w:type="dxa"/>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277B8D" w:rsidRDefault="00177B3C" w:rsidP="00350537">
            <w:pPr>
              <w:spacing w:after="0" w:line="240" w:lineRule="auto"/>
              <w:jc w:val="center"/>
              <w:rPr>
                <w:rFonts w:ascii="Calibri" w:hAnsi="Calibri"/>
                <w:b/>
                <w:color w:val="000000"/>
                <w:sz w:val="18"/>
              </w:rPr>
            </w:pPr>
            <w:r w:rsidRPr="00277B8D">
              <w:rPr>
                <w:rFonts w:ascii="Calibri" w:hAnsi="Calibri"/>
                <w:b/>
                <w:color w:val="000000"/>
                <w:sz w:val="18"/>
              </w:rPr>
              <w:t>Label</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Senior officials in national government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Senior officials in local government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Managers in construction</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Managers in mining and energy</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Pharmacy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Healthcare practice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Natural environment and conservation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Managers in animal husbandry, forestry and fishing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Hotel and accommodation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Conference and exhibition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Recycling and refuse disposal managers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Managers and proprietors in other services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Chemical engineers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Engineering professionals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2322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Social science researchers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2329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Researchers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Solicitors and lawyers, judges and coroners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Legal professionals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Librarians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Archivists and curators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Architectural technologists and town planning technicians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Building inspectors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Dispensing opticians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Pharmaceutical dispensers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Occupational therapists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Speech and language therapists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Actors, entertainers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Dancers and choreographers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Sports coaches, instructors and officials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Sports and fitness occupations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Air traffic controllers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Aircraft pilots and flight engineers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Importers, exporters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Business and related associate professionals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Conservation and environmental protection officers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Countryside and park rangers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Inspectors of factories, utilities and trading standards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Environmental health officers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Smiths and forge workers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Moulders, core makers, die casters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Motor mechanics, auto engineers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Auto electricians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Telecommunications engineers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5243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Lines repairers and cable jointers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5311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Steel erectors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Pr>
                <w:rFonts w:ascii="Calibri" w:hAnsi="Calibri"/>
                <w:color w:val="000000"/>
                <w:sz w:val="18"/>
              </w:rPr>
              <w:t>5319</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277B8D">
              <w:rPr>
                <w:rFonts w:ascii="Calibri" w:hAnsi="Calibri"/>
                <w:color w:val="000000"/>
                <w:sz w:val="18"/>
              </w:rPr>
              <w:t xml:space="preserve">Construction trades </w:t>
            </w:r>
            <w:proofErr w:type="spellStart"/>
            <w:r w:rsidRPr="00277B8D">
              <w:rPr>
                <w:rFonts w:ascii="Calibri" w:hAnsi="Calibri"/>
                <w:color w:val="000000"/>
                <w:sz w:val="18"/>
              </w:rPr>
              <w:t>n.e.c</w:t>
            </w:r>
            <w:proofErr w:type="spellEnd"/>
            <w:r w:rsidRPr="00277B8D">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Pr>
                <w:rFonts w:ascii="Calibri" w:hAnsi="Calibri"/>
                <w:color w:val="000000"/>
                <w:sz w:val="18"/>
              </w:rPr>
              <w:t>5411</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277B8D">
              <w:rPr>
                <w:rFonts w:ascii="Calibri" w:hAnsi="Calibri"/>
                <w:color w:val="000000"/>
                <w:sz w:val="18"/>
              </w:rPr>
              <w:t>Weavers and knitters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277B8D" w:rsidRDefault="00177B3C" w:rsidP="00350537">
            <w:pPr>
              <w:spacing w:after="0" w:line="240" w:lineRule="auto"/>
              <w:rPr>
                <w:rFonts w:ascii="Calibri" w:hAnsi="Calibri"/>
                <w:color w:val="000000"/>
                <w:sz w:val="18"/>
              </w:rPr>
            </w:pPr>
            <w:r w:rsidRPr="00277B8D">
              <w:rPr>
                <w:rFonts w:ascii="Calibri" w:hAnsi="Calibri"/>
                <w:color w:val="000000"/>
                <w:sz w:val="18"/>
              </w:rPr>
              <w:t>Leather and related trades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Tailors and dressmakers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Textiles, garments and related trades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Printers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Screen printers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Butchers, meat cutters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Fishmongers, poultry dressers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lastRenderedPageBreak/>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Pattern makers (moulds)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Musical instrument makers and tuners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Goldsmiths, silversmiths, precious stone workers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5499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Hand craft occupations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Sports and leisure assistants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Leisure and travel service occupations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6291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Undertakers and mortuary assistants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6292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Pest control officers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Electroplaters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Process operatives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Coal mine operatives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Quarry workers and related operatives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Energy plant operatives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Water and sewerage plant operatives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Plant and machine operatives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Clothing cutters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Sewing machinists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Rail construction and maintenance operatives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Construction operatives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8223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Agricultural machinery drivers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8229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Mobile machine drivers and operatives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Labourers in foundries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Labourers in process and plant operations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Hotel porters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Elementary personal services occupations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Road sweepers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 xml:space="preserve">Elementary cleaning occupations </w:t>
            </w:r>
            <w:proofErr w:type="spellStart"/>
            <w:r w:rsidRPr="008B6D7E">
              <w:rPr>
                <w:rFonts w:ascii="Calibri" w:hAnsi="Calibri"/>
                <w:color w:val="000000"/>
                <w:sz w:val="18"/>
              </w:rPr>
              <w:t>n.e.c</w:t>
            </w:r>
            <w:proofErr w:type="spellEnd"/>
            <w:r w:rsidRPr="008B6D7E">
              <w:rPr>
                <w:rFonts w:ascii="Calibri" w:hAnsi="Calibri"/>
                <w:color w:val="000000"/>
                <w:sz w:val="18"/>
              </w:rPr>
              <w:t>.</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Traffic wardens</w:t>
            </w:r>
          </w:p>
        </w:tc>
      </w:tr>
      <w:tr w:rsidR="00177B3C" w:rsidRPr="008B6D7E" w:rsidTr="00350537">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jc w:val="center"/>
              <w:rPr>
                <w:rFonts w:ascii="Calibri" w:hAnsi="Calibri"/>
                <w:color w:val="000000"/>
                <w:sz w:val="18"/>
              </w:rPr>
            </w:pPr>
            <w:r w:rsidRPr="008B6D7E">
              <w:rPr>
                <w:rFonts w:ascii="Calibri" w:hAnsi="Calibri"/>
                <w:color w:val="000000"/>
                <w:sz w:val="18"/>
              </w:rPr>
              <w:t>9245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77B3C" w:rsidRPr="008B6D7E" w:rsidRDefault="00177B3C" w:rsidP="00350537">
            <w:pPr>
              <w:spacing w:after="0" w:line="240" w:lineRule="auto"/>
              <w:rPr>
                <w:rFonts w:ascii="Calibri" w:hAnsi="Calibri"/>
                <w:color w:val="000000"/>
                <w:sz w:val="18"/>
              </w:rPr>
            </w:pPr>
            <w:r w:rsidRPr="008B6D7E">
              <w:rPr>
                <w:rFonts w:ascii="Calibri" w:hAnsi="Calibri"/>
                <w:color w:val="000000"/>
                <w:sz w:val="18"/>
              </w:rPr>
              <w:t>Car park attendants</w:t>
            </w:r>
          </w:p>
        </w:tc>
      </w:tr>
    </w:tbl>
    <w:p w:rsidR="00177B3C" w:rsidRDefault="00177B3C" w:rsidP="00177B3C"/>
    <w:p w:rsidR="00177B3C" w:rsidRDefault="00177B3C" w:rsidP="00177B3C">
      <w:pPr>
        <w:pStyle w:val="Heading4"/>
      </w:pPr>
      <w:r>
        <w:t>Industrial classifications</w:t>
      </w:r>
    </w:p>
    <w:p w:rsidR="00177B3C" w:rsidRPr="004C48DF" w:rsidRDefault="00177B3C" w:rsidP="00177B3C">
      <w:r w:rsidRPr="008478C9">
        <w:t xml:space="preserve">For some analyses below, I also need to recode the </w:t>
      </w:r>
      <w:r w:rsidRPr="004C48DF">
        <w:rPr>
          <w:i/>
        </w:rPr>
        <w:t>industrial</w:t>
      </w:r>
      <w:r w:rsidRPr="004C48DF">
        <w:t xml:space="preserve"> classification available in </w:t>
      </w:r>
      <w:proofErr w:type="spellStart"/>
      <w:r w:rsidRPr="004C48DF">
        <w:t>EiB</w:t>
      </w:r>
      <w:proofErr w:type="spellEnd"/>
      <w:r w:rsidRPr="004C48DF">
        <w:t xml:space="preserve"> 1992 (SIC80) with the classification available in the Skills Surveys and BHPS (SIC92).  However, no dual-coded data are available for this.  I therefore created my own proportional mapping matrix from the dual-coded data in BHPS.  Rather than using the weighting procedure, it was here feasible to use the model allocation method</w:t>
      </w:r>
      <w:r>
        <w:t>,</w:t>
      </w:r>
      <w:r w:rsidRPr="004C48DF">
        <w:t xml:space="preserve"> as the industrial classifications map more closely to one another (the accuracy of this technique in the dual-coded data was around 94%).  Again, the industrial classifications in </w:t>
      </w:r>
      <w:proofErr w:type="spellStart"/>
      <w:r w:rsidRPr="004C48DF">
        <w:t>EiB</w:t>
      </w:r>
      <w:proofErr w:type="spellEnd"/>
      <w:r w:rsidRPr="004C48DF">
        <w:t xml:space="preserve"> 1992 will have a greater level of measurement error than those in other years.</w:t>
      </w:r>
    </w:p>
    <w:p w:rsidR="00177B3C" w:rsidRDefault="00177B3C" w:rsidP="00177B3C">
      <w:pPr>
        <w:sectPr w:rsidR="00177B3C" w:rsidSect="00F5777F">
          <w:pgSz w:w="11906" w:h="16838"/>
          <w:pgMar w:top="1440" w:right="1440" w:bottom="1440" w:left="1440" w:header="708" w:footer="708" w:gutter="0"/>
          <w:cols w:space="708"/>
          <w:docGrid w:linePitch="360"/>
        </w:sectPr>
      </w:pPr>
    </w:p>
    <w:p w:rsidR="00177B3C" w:rsidRDefault="00177B3C" w:rsidP="00177B3C">
      <w:pPr>
        <w:pStyle w:val="Heading2"/>
        <w:numPr>
          <w:ilvl w:val="0"/>
          <w:numId w:val="13"/>
        </w:numPr>
      </w:pPr>
      <w:bookmarkStart w:id="9" w:name="_Toc360900314"/>
      <w:r>
        <w:lastRenderedPageBreak/>
        <w:t xml:space="preserve">Control </w:t>
      </w:r>
      <w:r w:rsidR="00F27B62">
        <w:t xml:space="preserve">variables </w:t>
      </w:r>
      <w:r>
        <w:t>&amp; secondary outcome variables</w:t>
      </w:r>
      <w:bookmarkEnd w:id="9"/>
    </w:p>
    <w:p w:rsidR="00177B3C" w:rsidRDefault="00177B3C" w:rsidP="00177B3C"/>
    <w:p w:rsidR="00177B3C" w:rsidRPr="005C0825" w:rsidRDefault="00177B3C" w:rsidP="00177B3C">
      <w:pPr>
        <w:pStyle w:val="Heading3"/>
      </w:pPr>
      <w:r>
        <w:t>Control variables</w:t>
      </w:r>
    </w:p>
    <w:tbl>
      <w:tblPr>
        <w:tblW w:w="8930" w:type="dxa"/>
        <w:tblLayout w:type="fixed"/>
        <w:tblCellMar>
          <w:left w:w="0" w:type="dxa"/>
          <w:right w:w="0" w:type="dxa"/>
        </w:tblCellMar>
        <w:tblLook w:val="04A0" w:firstRow="1" w:lastRow="0" w:firstColumn="1" w:lastColumn="0" w:noHBand="0" w:noVBand="1"/>
      </w:tblPr>
      <w:tblGrid>
        <w:gridCol w:w="2482"/>
        <w:gridCol w:w="9"/>
        <w:gridCol w:w="86"/>
        <w:gridCol w:w="30"/>
        <w:gridCol w:w="226"/>
        <w:gridCol w:w="4863"/>
        <w:gridCol w:w="12"/>
        <w:gridCol w:w="151"/>
        <w:gridCol w:w="141"/>
        <w:gridCol w:w="95"/>
        <w:gridCol w:w="548"/>
        <w:gridCol w:w="145"/>
        <w:gridCol w:w="142"/>
      </w:tblGrid>
      <w:tr w:rsidR="00177B3C" w:rsidRPr="00E351D2" w:rsidTr="00350537">
        <w:trPr>
          <w:trHeight w:val="900"/>
        </w:trPr>
        <w:tc>
          <w:tcPr>
            <w:tcW w:w="2577" w:type="dxa"/>
            <w:gridSpan w:val="3"/>
            <w:tcBorders>
              <w:top w:val="single" w:sz="8" w:space="0" w:color="auto"/>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eastAsia="Calibri" w:cs="Arial"/>
                <w:b/>
                <w:bCs/>
                <w:lang w:eastAsia="en-GB"/>
              </w:rPr>
              <w:t xml:space="preserve">Variable </w:t>
            </w:r>
          </w:p>
        </w:tc>
        <w:tc>
          <w:tcPr>
            <w:tcW w:w="5518" w:type="dxa"/>
            <w:gridSpan w:val="7"/>
            <w:tcBorders>
              <w:top w:val="single" w:sz="8" w:space="0" w:color="auto"/>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835" w:type="dxa"/>
            <w:gridSpan w:val="3"/>
            <w:tcBorders>
              <w:top w:val="single" w:sz="8" w:space="0" w:color="auto"/>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jc w:val="center"/>
              <w:rPr>
                <w:rFonts w:cs="Arial"/>
                <w:b/>
                <w:bCs/>
              </w:rPr>
            </w:pPr>
            <w:r w:rsidRPr="00E351D2">
              <w:rPr>
                <w:rFonts w:cs="Arial"/>
                <w:b/>
                <w:bCs/>
              </w:rPr>
              <w:t xml:space="preserve">Waves </w:t>
            </w:r>
            <w:r w:rsidRPr="00E351D2">
              <w:rPr>
                <w:rFonts w:cs="Arial"/>
                <w:b/>
                <w:bCs/>
              </w:rPr>
              <w:br/>
              <w:t>available</w:t>
            </w:r>
          </w:p>
        </w:tc>
      </w:tr>
      <w:tr w:rsidR="00177B3C" w:rsidRPr="00E351D2" w:rsidTr="00350537">
        <w:trPr>
          <w:trHeight w:val="360"/>
        </w:trPr>
        <w:tc>
          <w:tcPr>
            <w:tcW w:w="8930" w:type="dxa"/>
            <w:gridSpan w:val="13"/>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Demographics and administrative</w:t>
            </w:r>
          </w:p>
        </w:tc>
      </w:tr>
      <w:tr w:rsidR="00177B3C" w:rsidRPr="00E351D2" w:rsidTr="00350537">
        <w:trPr>
          <w:trHeight w:val="570"/>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Wave dummies</w:t>
            </w:r>
            <w:r w:rsidRPr="00E351D2">
              <w:rPr>
                <w:rFonts w:cs="Arial"/>
              </w:rPr>
              <w:br/>
              <w:t>Each year of 1992-2006</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BHPS study wave</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85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Age dummies</w:t>
            </w:r>
            <w:r w:rsidRPr="00E351D2">
              <w:rPr>
                <w:rFonts w:cs="Arial"/>
              </w:rPr>
              <w:br/>
              <w:t>Five-year bands from 20-24 to 60-64</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Age group at date of interview</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28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Male</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Gender (dummy where Male=1, Female=0)</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484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Minority ethnic group</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pBdr>
                <w:bottom w:val="double" w:sz="6" w:space="0" w:color="auto"/>
              </w:pBdr>
              <w:spacing w:before="100" w:beforeAutospacing="1" w:afterAutospacing="1"/>
              <w:rPr>
                <w:rFonts w:cs="Arial"/>
                <w:i/>
              </w:rPr>
            </w:pPr>
            <w:r w:rsidRPr="00E351D2">
              <w:rPr>
                <w:rFonts w:cs="Arial"/>
              </w:rPr>
              <w:t>Black and minority ethnic group membership</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wRACE</w:t>
            </w:r>
            <w:proofErr w:type="spellEnd"/>
            <w:r w:rsidRPr="00E351D2">
              <w:rPr>
                <w:rFonts w:cs="Arial"/>
                <w:i/>
                <w:iCs/>
                <w:sz w:val="18"/>
                <w:szCs w:val="18"/>
              </w:rPr>
              <w:t xml:space="preserve"> (1991-2002) and </w:t>
            </w:r>
            <w:proofErr w:type="spellStart"/>
            <w:r w:rsidRPr="00E351D2">
              <w:rPr>
                <w:rFonts w:cs="Arial"/>
                <w:i/>
                <w:iCs/>
                <w:sz w:val="18"/>
                <w:szCs w:val="18"/>
              </w:rPr>
              <w:t>wRACEL</w:t>
            </w:r>
            <w:proofErr w:type="spellEnd"/>
            <w:r w:rsidRPr="00E351D2">
              <w:rPr>
                <w:rFonts w:cs="Arial"/>
                <w:i/>
                <w:iCs/>
                <w:sz w:val="18"/>
                <w:szCs w:val="18"/>
              </w:rPr>
              <w:t xml:space="preserve"> (2003-2008).  Binary indicator of white vs. others due to small sample sizes individual ethnic groups and incomparability across years (for </w:t>
            </w:r>
            <w:proofErr w:type="spellStart"/>
            <w:r w:rsidRPr="00E351D2">
              <w:rPr>
                <w:rFonts w:cs="Arial"/>
                <w:i/>
                <w:iCs/>
                <w:sz w:val="18"/>
                <w:szCs w:val="18"/>
              </w:rPr>
              <w:t>wRACEL</w:t>
            </w:r>
            <w:proofErr w:type="spellEnd"/>
            <w:r w:rsidRPr="00E351D2">
              <w:rPr>
                <w:rFonts w:cs="Arial"/>
                <w:i/>
                <w:iCs/>
                <w:sz w:val="18"/>
                <w:szCs w:val="18"/>
              </w:rPr>
              <w:t xml:space="preserve">, this is 'white British', 'white Irish', 'white Welsh', 'white Scottish' and 'other white background' for comparability with the 'white' category in </w:t>
            </w:r>
            <w:proofErr w:type="spellStart"/>
            <w:r w:rsidRPr="00E351D2">
              <w:rPr>
                <w:rFonts w:cs="Arial"/>
                <w:i/>
                <w:iCs/>
                <w:sz w:val="18"/>
                <w:szCs w:val="18"/>
              </w:rPr>
              <w:t>wRACE</w:t>
            </w:r>
            <w:proofErr w:type="spellEnd"/>
            <w:r w:rsidRPr="00E351D2">
              <w:rPr>
                <w:rFonts w:cs="Arial"/>
                <w:i/>
                <w:iCs/>
                <w:sz w:val="18"/>
                <w:szCs w:val="18"/>
              </w:rPr>
              <w:t>).</w:t>
            </w:r>
            <w:r w:rsidRPr="00E351D2">
              <w:rPr>
                <w:rFonts w:cs="Arial"/>
                <w:i/>
                <w:iCs/>
                <w:sz w:val="18"/>
                <w:szCs w:val="18"/>
              </w:rPr>
              <w:br/>
            </w:r>
            <w:r w:rsidRPr="00E351D2">
              <w:rPr>
                <w:rFonts w:cs="Arial"/>
                <w:i/>
                <w:iCs/>
                <w:sz w:val="18"/>
                <w:szCs w:val="18"/>
              </w:rPr>
              <w:br/>
            </w:r>
            <w:r w:rsidRPr="00E351D2">
              <w:rPr>
                <w:i/>
                <w:sz w:val="18"/>
              </w:rPr>
              <w:t xml:space="preserve">Previous research suggests that certain ethnic minorities show elevated job stress after controlling for demands-control </w:t>
            </w:r>
            <w:r>
              <w:rPr>
                <w:i/>
                <w:sz w:val="18"/>
              </w:rPr>
              <w:t>(Smith et al., 2005)</w:t>
            </w:r>
            <w:r w:rsidRPr="00E351D2">
              <w:rPr>
                <w:i/>
                <w:sz w:val="18"/>
              </w:rPr>
              <w:t xml:space="preserve">.  </w:t>
            </w:r>
            <w:r w:rsidRPr="00E351D2">
              <w:rPr>
                <w:rFonts w:cs="Arial"/>
                <w:i/>
                <w:iCs/>
                <w:sz w:val="18"/>
                <w:szCs w:val="18"/>
              </w:rPr>
              <w:t xml:space="preserve">In a sensitivity analysis, I therefore used a five-banded version of ethnicity: </w:t>
            </w:r>
            <w:r w:rsidRPr="00E351D2">
              <w:rPr>
                <w:rFonts w:cs="Arial"/>
                <w:b/>
                <w:i/>
                <w:iCs/>
                <w:sz w:val="18"/>
                <w:szCs w:val="18"/>
              </w:rPr>
              <w:t>White</w:t>
            </w:r>
            <w:r w:rsidRPr="00E351D2">
              <w:rPr>
                <w:rFonts w:cs="Arial"/>
                <w:i/>
                <w:iCs/>
                <w:sz w:val="18"/>
                <w:szCs w:val="18"/>
              </w:rPr>
              <w:t xml:space="preserve"> (</w:t>
            </w:r>
            <w:proofErr w:type="spellStart"/>
            <w:r w:rsidRPr="00E351D2">
              <w:rPr>
                <w:rFonts w:cs="Arial"/>
                <w:i/>
                <w:iCs/>
                <w:sz w:val="18"/>
                <w:szCs w:val="18"/>
              </w:rPr>
              <w:t>wRACE</w:t>
            </w:r>
            <w:proofErr w:type="spellEnd"/>
            <w:r w:rsidRPr="00E351D2">
              <w:rPr>
                <w:rFonts w:cs="Arial"/>
                <w:i/>
                <w:iCs/>
                <w:sz w:val="18"/>
                <w:szCs w:val="18"/>
              </w:rPr>
              <w:t xml:space="preserve">=White; </w:t>
            </w:r>
            <w:proofErr w:type="spellStart"/>
            <w:r w:rsidRPr="00E351D2">
              <w:rPr>
                <w:rFonts w:cs="Arial"/>
                <w:i/>
                <w:iCs/>
                <w:sz w:val="18"/>
                <w:szCs w:val="18"/>
              </w:rPr>
              <w:t>wRACEL</w:t>
            </w:r>
            <w:proofErr w:type="spellEnd"/>
            <w:r w:rsidRPr="00E351D2">
              <w:rPr>
                <w:rFonts w:cs="Arial"/>
                <w:i/>
                <w:iCs/>
                <w:sz w:val="18"/>
                <w:szCs w:val="18"/>
              </w:rPr>
              <w:t xml:space="preserve">=White British, White Irish, White Welsh, White Scottish, or other White background), </w:t>
            </w:r>
            <w:r w:rsidRPr="00E351D2">
              <w:rPr>
                <w:rFonts w:cs="Arial"/>
                <w:b/>
                <w:i/>
                <w:iCs/>
                <w:sz w:val="18"/>
                <w:szCs w:val="18"/>
              </w:rPr>
              <w:t>Black</w:t>
            </w:r>
            <w:r w:rsidRPr="00E351D2">
              <w:rPr>
                <w:rFonts w:cs="Arial"/>
                <w:i/>
                <w:iCs/>
                <w:sz w:val="18"/>
                <w:szCs w:val="18"/>
              </w:rPr>
              <w:t xml:space="preserve"> (</w:t>
            </w:r>
            <w:proofErr w:type="spellStart"/>
            <w:r w:rsidRPr="00E351D2">
              <w:rPr>
                <w:rFonts w:cs="Arial"/>
                <w:i/>
                <w:iCs/>
                <w:sz w:val="18"/>
                <w:szCs w:val="18"/>
              </w:rPr>
              <w:t>wRACE</w:t>
            </w:r>
            <w:proofErr w:type="spellEnd"/>
            <w:r w:rsidRPr="00E351D2">
              <w:rPr>
                <w:rFonts w:cs="Arial"/>
                <w:i/>
                <w:iCs/>
                <w:sz w:val="18"/>
                <w:szCs w:val="18"/>
              </w:rPr>
              <w:t xml:space="preserve">=Black </w:t>
            </w:r>
            <w:proofErr w:type="spellStart"/>
            <w:r w:rsidRPr="00E351D2">
              <w:rPr>
                <w:rFonts w:cs="Arial"/>
                <w:i/>
                <w:iCs/>
                <w:sz w:val="18"/>
                <w:szCs w:val="18"/>
              </w:rPr>
              <w:t>Carribean</w:t>
            </w:r>
            <w:proofErr w:type="spellEnd"/>
            <w:r w:rsidRPr="00E351D2">
              <w:rPr>
                <w:rFonts w:cs="Arial"/>
                <w:i/>
                <w:iCs/>
                <w:sz w:val="18"/>
                <w:szCs w:val="18"/>
              </w:rPr>
              <w:t xml:space="preserve">, Black </w:t>
            </w:r>
            <w:proofErr w:type="spellStart"/>
            <w:r w:rsidRPr="00E351D2">
              <w:rPr>
                <w:rFonts w:cs="Arial"/>
                <w:i/>
                <w:iCs/>
                <w:sz w:val="18"/>
                <w:szCs w:val="18"/>
              </w:rPr>
              <w:t>African,or</w:t>
            </w:r>
            <w:proofErr w:type="spellEnd"/>
            <w:r w:rsidRPr="00E351D2">
              <w:rPr>
                <w:rFonts w:cs="Arial"/>
                <w:i/>
                <w:iCs/>
                <w:sz w:val="18"/>
                <w:szCs w:val="18"/>
              </w:rPr>
              <w:t xml:space="preserve"> Black Other; </w:t>
            </w:r>
            <w:proofErr w:type="spellStart"/>
            <w:r w:rsidRPr="00E351D2">
              <w:rPr>
                <w:rFonts w:cs="Arial"/>
                <w:i/>
                <w:iCs/>
                <w:sz w:val="18"/>
                <w:szCs w:val="18"/>
              </w:rPr>
              <w:t>wRACEL</w:t>
            </w:r>
            <w:proofErr w:type="spellEnd"/>
            <w:r w:rsidRPr="00E351D2">
              <w:rPr>
                <w:rFonts w:cs="Arial"/>
                <w:i/>
                <w:iCs/>
                <w:sz w:val="18"/>
                <w:szCs w:val="18"/>
              </w:rPr>
              <w:t xml:space="preserve">=mixed White and Black </w:t>
            </w:r>
            <w:proofErr w:type="spellStart"/>
            <w:r w:rsidRPr="00E351D2">
              <w:rPr>
                <w:rFonts w:cs="Arial"/>
                <w:i/>
                <w:iCs/>
                <w:sz w:val="18"/>
                <w:szCs w:val="18"/>
              </w:rPr>
              <w:t>Carribean</w:t>
            </w:r>
            <w:proofErr w:type="spellEnd"/>
            <w:r w:rsidRPr="00E351D2">
              <w:rPr>
                <w:rFonts w:cs="Arial"/>
                <w:i/>
                <w:iCs/>
                <w:sz w:val="18"/>
                <w:szCs w:val="18"/>
              </w:rPr>
              <w:t xml:space="preserve">, mixed White and Black African, Black/British </w:t>
            </w:r>
            <w:proofErr w:type="spellStart"/>
            <w:r w:rsidRPr="00E351D2">
              <w:rPr>
                <w:rFonts w:cs="Arial"/>
                <w:i/>
                <w:iCs/>
                <w:sz w:val="18"/>
                <w:szCs w:val="18"/>
              </w:rPr>
              <w:t>Carribean</w:t>
            </w:r>
            <w:proofErr w:type="spellEnd"/>
            <w:r w:rsidRPr="00E351D2">
              <w:rPr>
                <w:rFonts w:cs="Arial"/>
                <w:i/>
                <w:iCs/>
                <w:sz w:val="18"/>
                <w:szCs w:val="18"/>
              </w:rPr>
              <w:t xml:space="preserve">, Black/British African), </w:t>
            </w:r>
            <w:r w:rsidRPr="00E351D2">
              <w:rPr>
                <w:rFonts w:cs="Arial"/>
                <w:b/>
                <w:i/>
                <w:iCs/>
                <w:sz w:val="18"/>
                <w:szCs w:val="18"/>
              </w:rPr>
              <w:t>Indian</w:t>
            </w:r>
            <w:r w:rsidRPr="00E351D2">
              <w:rPr>
                <w:rFonts w:cs="Arial"/>
                <w:i/>
                <w:iCs/>
                <w:sz w:val="18"/>
                <w:szCs w:val="18"/>
              </w:rPr>
              <w:t xml:space="preserve"> (</w:t>
            </w:r>
            <w:proofErr w:type="spellStart"/>
            <w:r w:rsidRPr="00E351D2">
              <w:rPr>
                <w:rFonts w:cs="Arial"/>
                <w:i/>
                <w:iCs/>
                <w:sz w:val="18"/>
                <w:szCs w:val="18"/>
              </w:rPr>
              <w:t>wRACE</w:t>
            </w:r>
            <w:proofErr w:type="spellEnd"/>
            <w:r w:rsidRPr="00E351D2">
              <w:rPr>
                <w:rFonts w:cs="Arial"/>
                <w:i/>
                <w:iCs/>
                <w:sz w:val="18"/>
                <w:szCs w:val="18"/>
              </w:rPr>
              <w:t xml:space="preserve">=Indian, </w:t>
            </w:r>
            <w:proofErr w:type="spellStart"/>
            <w:r w:rsidRPr="00E351D2">
              <w:rPr>
                <w:rFonts w:cs="Arial"/>
                <w:i/>
                <w:iCs/>
                <w:sz w:val="18"/>
                <w:szCs w:val="18"/>
              </w:rPr>
              <w:t>wRACEL</w:t>
            </w:r>
            <w:proofErr w:type="spellEnd"/>
            <w:r w:rsidRPr="00E351D2">
              <w:rPr>
                <w:rFonts w:cs="Arial"/>
                <w:i/>
                <w:iCs/>
                <w:sz w:val="18"/>
                <w:szCs w:val="18"/>
              </w:rPr>
              <w:t xml:space="preserve">=Asian/British Indian), </w:t>
            </w:r>
            <w:r w:rsidRPr="00E351D2">
              <w:rPr>
                <w:rFonts w:cs="Arial"/>
                <w:b/>
                <w:i/>
                <w:iCs/>
                <w:sz w:val="18"/>
                <w:szCs w:val="18"/>
              </w:rPr>
              <w:t>Pakistani/Bangladeshi</w:t>
            </w:r>
            <w:r w:rsidRPr="00E351D2">
              <w:rPr>
                <w:rFonts w:cs="Arial"/>
                <w:i/>
                <w:iCs/>
                <w:sz w:val="18"/>
                <w:szCs w:val="18"/>
              </w:rPr>
              <w:t xml:space="preserve"> (</w:t>
            </w:r>
            <w:proofErr w:type="spellStart"/>
            <w:r w:rsidRPr="00E351D2">
              <w:rPr>
                <w:rFonts w:cs="Arial"/>
                <w:i/>
                <w:iCs/>
                <w:sz w:val="18"/>
                <w:szCs w:val="18"/>
              </w:rPr>
              <w:t>wRACE</w:t>
            </w:r>
            <w:proofErr w:type="spellEnd"/>
            <w:r w:rsidRPr="00E351D2">
              <w:rPr>
                <w:rFonts w:cs="Arial"/>
                <w:i/>
                <w:iCs/>
                <w:sz w:val="18"/>
                <w:szCs w:val="18"/>
              </w:rPr>
              <w:t xml:space="preserve">=Pakistani, Bangladeshi; </w:t>
            </w:r>
            <w:proofErr w:type="spellStart"/>
            <w:r w:rsidRPr="00E351D2">
              <w:rPr>
                <w:rFonts w:cs="Arial"/>
                <w:i/>
                <w:iCs/>
                <w:sz w:val="18"/>
                <w:szCs w:val="18"/>
              </w:rPr>
              <w:t>wRACEL</w:t>
            </w:r>
            <w:proofErr w:type="spellEnd"/>
            <w:r w:rsidRPr="00E351D2">
              <w:rPr>
                <w:rFonts w:cs="Arial"/>
                <w:i/>
                <w:iCs/>
                <w:sz w:val="18"/>
                <w:szCs w:val="18"/>
              </w:rPr>
              <w:t xml:space="preserve">=Asian/British Pakistani, Asian/British Bangladeshi) and </w:t>
            </w:r>
            <w:r w:rsidRPr="00E351D2">
              <w:rPr>
                <w:rFonts w:cs="Arial"/>
                <w:b/>
                <w:i/>
                <w:iCs/>
                <w:sz w:val="18"/>
                <w:szCs w:val="18"/>
              </w:rPr>
              <w:t>Other</w:t>
            </w:r>
            <w:r w:rsidRPr="00E351D2">
              <w:rPr>
                <w:rFonts w:cs="Arial"/>
                <w:i/>
                <w:iCs/>
                <w:sz w:val="18"/>
                <w:szCs w:val="18"/>
              </w:rPr>
              <w:t>. The choice of these groups was primarily determined by sample size considerations rather than any a priori theory.</w:t>
            </w:r>
            <w:r w:rsidRPr="00E351D2">
              <w:rPr>
                <w:i/>
                <w:sz w:val="18"/>
              </w:rPr>
              <w:t xml:space="preserve">  In these sensitivity analyses I see no difference in the estimated effects.</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142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u w:val="single"/>
              </w:rPr>
            </w:pPr>
            <w:r w:rsidRPr="00E351D2">
              <w:rPr>
                <w:rFonts w:cs="Arial"/>
                <w:i/>
                <w:iCs/>
                <w:u w:val="single"/>
              </w:rPr>
              <w:t>Marital status</w:t>
            </w:r>
            <w:r w:rsidRPr="00E351D2">
              <w:rPr>
                <w:rFonts w:cs="Arial"/>
                <w:i/>
                <w:iCs/>
                <w:u w:val="single"/>
              </w:rPr>
              <w:br/>
            </w:r>
            <w:r w:rsidRPr="00E351D2">
              <w:rPr>
                <w:rFonts w:cs="Arial"/>
              </w:rPr>
              <w:t>Married</w:t>
            </w:r>
            <w:r w:rsidRPr="00E351D2">
              <w:rPr>
                <w:rFonts w:cs="Arial"/>
              </w:rPr>
              <w:br/>
              <w:t>Separated/divorced</w:t>
            </w:r>
            <w:r>
              <w:rPr>
                <w:rFonts w:cs="Arial"/>
              </w:rPr>
              <w:t xml:space="preserve"> </w:t>
            </w:r>
            <w:r w:rsidRPr="00E351D2">
              <w:rPr>
                <w:rFonts w:cs="Arial"/>
              </w:rPr>
              <w:t>/widowed</w:t>
            </w:r>
            <w:r w:rsidRPr="00E351D2">
              <w:rPr>
                <w:rFonts w:cs="Arial"/>
              </w:rPr>
              <w:br/>
              <w:t>Never married</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Marital status, grouped</w:t>
            </w:r>
            <w:r w:rsidRPr="00E351D2">
              <w:rPr>
                <w:rFonts w:cs="Arial"/>
              </w:rPr>
              <w:br/>
            </w:r>
            <w:r w:rsidRPr="00E351D2">
              <w:rPr>
                <w:rFonts w:cs="Arial"/>
                <w:i/>
                <w:iCs/>
                <w:sz w:val="18"/>
                <w:szCs w:val="18"/>
              </w:rPr>
              <w:t xml:space="preserve">From </w:t>
            </w:r>
            <w:proofErr w:type="spellStart"/>
            <w:r w:rsidRPr="00E351D2">
              <w:rPr>
                <w:rFonts w:cs="Arial"/>
                <w:i/>
                <w:iCs/>
                <w:sz w:val="18"/>
                <w:szCs w:val="18"/>
              </w:rPr>
              <w:t>wMLSTAT</w:t>
            </w:r>
            <w:proofErr w:type="spellEnd"/>
            <w:r w:rsidRPr="00E351D2">
              <w:rPr>
                <w:rFonts w:cs="Arial"/>
                <w:i/>
                <w:iCs/>
                <w:sz w:val="18"/>
                <w:szCs w:val="18"/>
              </w:rPr>
              <w:t xml:space="preserve"> (self-reported marital status).  In later waves, this includes 'in a civil partnership' (under 'married') and 'have a dissolved civil partnership' (under 'separated/divorced/widowed')</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52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rPr>
            </w:pPr>
            <w:r w:rsidRPr="00E351D2">
              <w:rPr>
                <w:rFonts w:cs="Arial"/>
                <w:i/>
                <w:iCs/>
              </w:rPr>
              <w:t>Children</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Number of own children in household, grouped</w:t>
            </w:r>
            <w:r w:rsidRPr="00E351D2">
              <w:rPr>
                <w:rFonts w:cs="Arial"/>
              </w:rPr>
              <w:br/>
            </w:r>
            <w:r w:rsidRPr="00E351D2">
              <w:rPr>
                <w:rFonts w:cs="Arial"/>
                <w:i/>
                <w:iCs/>
                <w:sz w:val="18"/>
                <w:szCs w:val="18"/>
              </w:rPr>
              <w:t xml:space="preserve">From </w:t>
            </w:r>
            <w:proofErr w:type="spellStart"/>
            <w:r w:rsidRPr="00E351D2">
              <w:rPr>
                <w:rFonts w:cs="Arial"/>
                <w:i/>
                <w:iCs/>
                <w:sz w:val="18"/>
                <w:szCs w:val="18"/>
              </w:rPr>
              <w:t>wNCHILD</w:t>
            </w:r>
            <w:proofErr w:type="spellEnd"/>
            <w:r w:rsidRPr="00E351D2">
              <w:rPr>
                <w:rFonts w:cs="Arial"/>
                <w:i/>
                <w:iCs/>
                <w:sz w:val="18"/>
                <w:szCs w:val="18"/>
              </w:rPr>
              <w:t>, with 3-9 children grouped into 3+</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trHeight w:val="1245"/>
        </w:trPr>
        <w:tc>
          <w:tcPr>
            <w:tcW w:w="2833" w:type="dxa"/>
            <w:gridSpan w:val="5"/>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rPr>
            </w:pPr>
            <w:r w:rsidRPr="00E351D2">
              <w:rPr>
                <w:rFonts w:cs="Arial"/>
                <w:i/>
                <w:iCs/>
              </w:rPr>
              <w:lastRenderedPageBreak/>
              <w:t>Region</w:t>
            </w:r>
          </w:p>
        </w:tc>
        <w:tc>
          <w:tcPr>
            <w:tcW w:w="5262" w:type="dxa"/>
            <w:gridSpan w:val="5"/>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Region of residence</w:t>
            </w:r>
            <w:r w:rsidRPr="00E351D2">
              <w:rPr>
                <w:rFonts w:cs="Arial"/>
              </w:rPr>
              <w:br/>
            </w:r>
            <w:r w:rsidRPr="00E351D2">
              <w:rPr>
                <w:rFonts w:cs="Arial"/>
                <w:i/>
                <w:iCs/>
                <w:sz w:val="18"/>
                <w:szCs w:val="18"/>
              </w:rPr>
              <w:t>From wREGION2, Government Office Region: 1=North East | 2=North West | 3=Yorkshire &amp; Humber | 4=East Midlands | 5=West Midlands | 6=East of England | 7=London | 8=South East | 9=South West | 10=Wales | 11=Scotland</w:t>
            </w:r>
          </w:p>
        </w:tc>
        <w:tc>
          <w:tcPr>
            <w:tcW w:w="835"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360"/>
        </w:trPr>
        <w:tc>
          <w:tcPr>
            <w:tcW w:w="8788" w:type="dxa"/>
            <w:gridSpan w:val="12"/>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SES</w:t>
            </w:r>
          </w:p>
        </w:tc>
      </w:tr>
      <w:tr w:rsidR="00177B3C" w:rsidRPr="00E351D2" w:rsidTr="00350537">
        <w:trPr>
          <w:gridAfter w:val="1"/>
          <w:wAfter w:w="142" w:type="dxa"/>
          <w:trHeight w:val="300"/>
        </w:trPr>
        <w:tc>
          <w:tcPr>
            <w:tcW w:w="2482"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Label</w:t>
            </w:r>
          </w:p>
        </w:tc>
        <w:tc>
          <w:tcPr>
            <w:tcW w:w="5518" w:type="dxa"/>
            <w:gridSpan w:val="8"/>
            <w:tcBorders>
              <w:top w:val="nil"/>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788" w:type="dxa"/>
            <w:gridSpan w:val="3"/>
            <w:tcBorders>
              <w:top w:val="nil"/>
              <w:left w:val="nil"/>
              <w:bottom w:val="single" w:sz="4" w:space="0" w:color="auto"/>
              <w:right w:val="single" w:sz="4" w:space="0" w:color="auto"/>
            </w:tcBorders>
            <w:shd w:val="clear" w:color="auto" w:fill="auto"/>
            <w:noWrap/>
            <w:tcMar>
              <w:left w:w="57" w:type="dxa"/>
            </w:tcMar>
            <w:vAlign w:val="center"/>
            <w:hideMark/>
          </w:tcPr>
          <w:p w:rsidR="00177B3C" w:rsidRPr="00E351D2" w:rsidRDefault="00177B3C" w:rsidP="00350537">
            <w:pPr>
              <w:jc w:val="center"/>
              <w:rPr>
                <w:rFonts w:cs="Arial"/>
                <w:b/>
                <w:bCs/>
              </w:rPr>
            </w:pPr>
            <w:r w:rsidRPr="00E351D2">
              <w:rPr>
                <w:rFonts w:cs="Arial"/>
                <w:b/>
                <w:bCs/>
              </w:rPr>
              <w:t>Waves</w:t>
            </w:r>
          </w:p>
        </w:tc>
      </w:tr>
      <w:tr w:rsidR="00177B3C" w:rsidRPr="00E351D2" w:rsidTr="00350537">
        <w:trPr>
          <w:gridAfter w:val="1"/>
          <w:wAfter w:w="142" w:type="dxa"/>
          <w:trHeight w:val="268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i/>
                <w:iCs/>
                <w:u w:val="single"/>
              </w:rPr>
              <w:t>Education</w:t>
            </w:r>
            <w:r w:rsidRPr="00E351D2">
              <w:rPr>
                <w:rFonts w:cs="Arial"/>
                <w:i/>
                <w:iCs/>
                <w:u w:val="single"/>
              </w:rPr>
              <w:br/>
            </w:r>
            <w:r w:rsidRPr="00E351D2">
              <w:rPr>
                <w:rFonts w:cs="Arial"/>
              </w:rPr>
              <w:t>No qualifications</w:t>
            </w:r>
            <w:r w:rsidRPr="00E351D2">
              <w:rPr>
                <w:rFonts w:cs="Arial"/>
              </w:rPr>
              <w:br/>
              <w:t>Level 1</w:t>
            </w:r>
            <w:r w:rsidRPr="00E351D2">
              <w:rPr>
                <w:rFonts w:cs="Arial"/>
              </w:rPr>
              <w:br/>
              <w:t>Level 2</w:t>
            </w:r>
            <w:r w:rsidRPr="00E351D2">
              <w:rPr>
                <w:rFonts w:cs="Arial"/>
              </w:rPr>
              <w:br/>
              <w:t>Level 3</w:t>
            </w:r>
            <w:r w:rsidRPr="00E351D2">
              <w:rPr>
                <w:rFonts w:cs="Arial"/>
              </w:rPr>
              <w:br/>
              <w:t>Level 4 - Other</w:t>
            </w:r>
            <w:r w:rsidRPr="00E351D2">
              <w:rPr>
                <w:rFonts w:cs="Arial"/>
              </w:rPr>
              <w:br/>
              <w:t>Level 4 - Degree</w:t>
            </w:r>
          </w:p>
        </w:tc>
        <w:tc>
          <w:tcPr>
            <w:tcW w:w="5518" w:type="dxa"/>
            <w:gridSpan w:val="8"/>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Highest educational qualification, grouped</w:t>
            </w:r>
            <w:r w:rsidRPr="00E351D2">
              <w:rPr>
                <w:rFonts w:cs="Arial"/>
              </w:rPr>
              <w:br/>
            </w:r>
            <w:r w:rsidRPr="00E351D2">
              <w:rPr>
                <w:rFonts w:cs="Arial"/>
                <w:i/>
                <w:iCs/>
                <w:sz w:val="18"/>
                <w:szCs w:val="18"/>
              </w:rPr>
              <w:t xml:space="preserve">Recoded version of </w:t>
            </w:r>
            <w:proofErr w:type="spellStart"/>
            <w:r w:rsidRPr="00E351D2">
              <w:rPr>
                <w:rFonts w:cs="Arial"/>
                <w:i/>
                <w:iCs/>
                <w:sz w:val="18"/>
                <w:szCs w:val="18"/>
              </w:rPr>
              <w:t>wQFEDHI</w:t>
            </w:r>
            <w:proofErr w:type="spellEnd"/>
            <w:r w:rsidRPr="00E351D2">
              <w:rPr>
                <w:rFonts w:cs="Arial"/>
                <w:i/>
                <w:iCs/>
                <w:sz w:val="18"/>
                <w:szCs w:val="18"/>
              </w:rPr>
              <w:t>; see BHPS User Guide</w:t>
            </w:r>
            <w:proofErr w:type="gramStart"/>
            <w:r w:rsidRPr="00E351D2">
              <w:rPr>
                <w:rFonts w:cs="Arial"/>
                <w:i/>
                <w:iCs/>
                <w:sz w:val="18"/>
                <w:szCs w:val="18"/>
              </w:rPr>
              <w:t>:253</w:t>
            </w:r>
            <w:proofErr w:type="gramEnd"/>
            <w:r w:rsidRPr="00E351D2">
              <w:rPr>
                <w:rFonts w:cs="Arial"/>
                <w:i/>
                <w:iCs/>
                <w:sz w:val="18"/>
                <w:szCs w:val="18"/>
              </w:rPr>
              <w:t xml:space="preserve"> for details.  This is then recoded as follows:</w:t>
            </w:r>
            <w:r w:rsidRPr="00E351D2">
              <w:rPr>
                <w:rFonts w:cs="Arial"/>
                <w:i/>
                <w:iCs/>
                <w:sz w:val="18"/>
                <w:szCs w:val="18"/>
              </w:rPr>
              <w:br/>
              <w:t>- Level 4 - Degree: University or higher degree</w:t>
            </w:r>
            <w:r w:rsidRPr="00E351D2">
              <w:rPr>
                <w:rFonts w:cs="Arial"/>
                <w:i/>
                <w:iCs/>
                <w:sz w:val="18"/>
                <w:szCs w:val="18"/>
              </w:rPr>
              <w:br/>
              <w:t>- Level 4 - Other: teaching qualifications; nursing qualifications; any other technical, professional or higher qualifications</w:t>
            </w:r>
            <w:r w:rsidRPr="00E351D2">
              <w:rPr>
                <w:rFonts w:cs="Arial"/>
                <w:i/>
                <w:iCs/>
                <w:sz w:val="18"/>
                <w:szCs w:val="18"/>
              </w:rPr>
              <w:br/>
              <w:t>- Level 3: A levels or recognised trade apprenticeship</w:t>
            </w:r>
            <w:r w:rsidRPr="00E351D2">
              <w:rPr>
                <w:rFonts w:cs="Arial"/>
                <w:i/>
                <w:iCs/>
                <w:sz w:val="18"/>
                <w:szCs w:val="18"/>
              </w:rPr>
              <w:br/>
              <w:t>- Level 2: GCSE grades A-C; clerical or commercial qualifications</w:t>
            </w:r>
            <w:r w:rsidRPr="00E351D2">
              <w:rPr>
                <w:rFonts w:cs="Arial"/>
                <w:i/>
                <w:iCs/>
                <w:sz w:val="18"/>
                <w:szCs w:val="18"/>
              </w:rPr>
              <w:br/>
              <w:t>- Level 1: GCSE grades D-G; youth training certificate; any other qualifications</w:t>
            </w:r>
          </w:p>
        </w:tc>
        <w:tc>
          <w:tcPr>
            <w:tcW w:w="788" w:type="dxa"/>
            <w:gridSpan w:val="3"/>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24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Log household income</w:t>
            </w:r>
          </w:p>
        </w:tc>
        <w:tc>
          <w:tcPr>
            <w:tcW w:w="5518" w:type="dxa"/>
            <w:gridSpan w:val="8"/>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i/>
                <w:iCs/>
              </w:rPr>
            </w:pPr>
            <w:r w:rsidRPr="00E351D2">
              <w:rPr>
                <w:rFonts w:cs="Arial"/>
              </w:rPr>
              <w:t>Log of net household income</w:t>
            </w:r>
            <w:r w:rsidRPr="00E351D2">
              <w:rPr>
                <w:rFonts w:cs="Arial"/>
              </w:rPr>
              <w:br/>
            </w:r>
            <w:r w:rsidRPr="00E351D2">
              <w:rPr>
                <w:rFonts w:cs="Arial"/>
                <w:i/>
                <w:iCs/>
                <w:sz w:val="18"/>
                <w:szCs w:val="18"/>
              </w:rPr>
              <w:t xml:space="preserve">From wHHNETDE2, supplied by BHPS team in supplementary dataset based on HBAI definitions; see Jenkins 2010.  Household net income is </w:t>
            </w:r>
            <w:proofErr w:type="spellStart"/>
            <w:r w:rsidRPr="00E351D2">
              <w:rPr>
                <w:rFonts w:cs="Arial"/>
                <w:i/>
                <w:iCs/>
                <w:sz w:val="18"/>
                <w:szCs w:val="18"/>
              </w:rPr>
              <w:t>equivalised</w:t>
            </w:r>
            <w:proofErr w:type="spellEnd"/>
            <w:r w:rsidRPr="00E351D2">
              <w:rPr>
                <w:rFonts w:cs="Arial"/>
                <w:i/>
                <w:iCs/>
                <w:sz w:val="18"/>
                <w:szCs w:val="18"/>
              </w:rPr>
              <w:t xml:space="preserve"> using the Modified OECD scale, and deflated to Jan 2008 prices</w:t>
            </w:r>
          </w:p>
        </w:tc>
        <w:tc>
          <w:tcPr>
            <w:tcW w:w="788" w:type="dxa"/>
            <w:gridSpan w:val="3"/>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jc w:val="center"/>
              <w:rPr>
                <w:rFonts w:cs="Arial"/>
              </w:rPr>
            </w:pPr>
            <w:r w:rsidRPr="00E351D2">
              <w:rPr>
                <w:rFonts w:cs="Arial"/>
              </w:rPr>
              <w:t>1991-</w:t>
            </w:r>
            <w:r w:rsidRPr="00E351D2">
              <w:rPr>
                <w:rFonts w:cs="Arial"/>
              </w:rPr>
              <w:br/>
              <w:t>2006</w:t>
            </w:r>
          </w:p>
        </w:tc>
      </w:tr>
      <w:tr w:rsidR="00177B3C" w:rsidRPr="00E351D2" w:rsidTr="00350537">
        <w:trPr>
          <w:gridAfter w:val="1"/>
          <w:wAfter w:w="142" w:type="dxa"/>
          <w:trHeight w:val="148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i/>
                <w:iCs/>
                <w:u w:val="single"/>
              </w:rPr>
              <w:t>Tenure</w:t>
            </w:r>
            <w:r w:rsidRPr="00E351D2">
              <w:rPr>
                <w:rFonts w:cs="Arial"/>
                <w:i/>
                <w:iCs/>
                <w:u w:val="single"/>
              </w:rPr>
              <w:br/>
            </w:r>
            <w:r w:rsidRPr="00E351D2">
              <w:rPr>
                <w:rFonts w:cs="Arial"/>
              </w:rPr>
              <w:t>Owned</w:t>
            </w:r>
            <w:r w:rsidRPr="00E351D2">
              <w:rPr>
                <w:rFonts w:cs="Arial"/>
              </w:rPr>
              <w:br/>
              <w:t>Social housing</w:t>
            </w:r>
            <w:r w:rsidRPr="00E351D2">
              <w:rPr>
                <w:rFonts w:cs="Arial"/>
              </w:rPr>
              <w:br/>
              <w:t>Other rented housing</w:t>
            </w:r>
          </w:p>
        </w:tc>
        <w:tc>
          <w:tcPr>
            <w:tcW w:w="5518" w:type="dxa"/>
            <w:gridSpan w:val="8"/>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Housing tenure, recoded</w:t>
            </w:r>
            <w:r w:rsidRPr="00E351D2">
              <w:rPr>
                <w:rFonts w:cs="Arial"/>
              </w:rPr>
              <w:br/>
            </w:r>
            <w:r w:rsidRPr="00E351D2">
              <w:rPr>
                <w:rFonts w:cs="Arial"/>
                <w:i/>
                <w:iCs/>
                <w:sz w:val="18"/>
                <w:szCs w:val="18"/>
              </w:rPr>
              <w:t xml:space="preserve">From </w:t>
            </w:r>
            <w:proofErr w:type="spellStart"/>
            <w:r w:rsidRPr="00E351D2">
              <w:rPr>
                <w:rFonts w:cs="Arial"/>
                <w:i/>
                <w:iCs/>
                <w:sz w:val="18"/>
                <w:szCs w:val="18"/>
              </w:rPr>
              <w:t>wTENURE</w:t>
            </w:r>
            <w:proofErr w:type="spellEnd"/>
            <w:r w:rsidRPr="00E351D2">
              <w:rPr>
                <w:rFonts w:cs="Arial"/>
                <w:i/>
                <w:iCs/>
                <w:sz w:val="18"/>
                <w:szCs w:val="18"/>
              </w:rPr>
              <w:t>, recoded as follows:</w:t>
            </w:r>
            <w:r w:rsidRPr="00E351D2">
              <w:rPr>
                <w:rFonts w:cs="Arial"/>
                <w:i/>
                <w:iCs/>
                <w:sz w:val="18"/>
                <w:szCs w:val="18"/>
              </w:rPr>
              <w:br/>
              <w:t>- Owned = owned outright or owned with mortgage</w:t>
            </w:r>
            <w:r w:rsidRPr="00E351D2">
              <w:rPr>
                <w:rFonts w:cs="Arial"/>
                <w:i/>
                <w:iCs/>
                <w:sz w:val="18"/>
                <w:szCs w:val="18"/>
              </w:rPr>
              <w:br/>
              <w:t>- Social housing = Local Authority rent or Housing Association renter</w:t>
            </w:r>
            <w:r w:rsidRPr="00E351D2">
              <w:rPr>
                <w:rFonts w:cs="Arial"/>
                <w:i/>
                <w:iCs/>
                <w:sz w:val="18"/>
                <w:szCs w:val="18"/>
              </w:rPr>
              <w:br/>
              <w:t>- Other rented housing = all other options</w:t>
            </w:r>
          </w:p>
        </w:tc>
        <w:tc>
          <w:tcPr>
            <w:tcW w:w="788" w:type="dxa"/>
            <w:gridSpan w:val="3"/>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360"/>
        </w:trPr>
        <w:tc>
          <w:tcPr>
            <w:tcW w:w="8788" w:type="dxa"/>
            <w:gridSpan w:val="12"/>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Other work characteristics</w:t>
            </w:r>
          </w:p>
        </w:tc>
      </w:tr>
      <w:tr w:rsidR="00177B3C" w:rsidRPr="00E351D2" w:rsidTr="00350537">
        <w:trPr>
          <w:gridAfter w:val="1"/>
          <w:wAfter w:w="142" w:type="dxa"/>
          <w:trHeight w:val="300"/>
        </w:trPr>
        <w:tc>
          <w:tcPr>
            <w:tcW w:w="2482"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Label</w:t>
            </w:r>
          </w:p>
        </w:tc>
        <w:tc>
          <w:tcPr>
            <w:tcW w:w="5518" w:type="dxa"/>
            <w:gridSpan w:val="8"/>
            <w:tcBorders>
              <w:top w:val="nil"/>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788" w:type="dxa"/>
            <w:gridSpan w:val="3"/>
            <w:tcBorders>
              <w:top w:val="nil"/>
              <w:left w:val="nil"/>
              <w:bottom w:val="single" w:sz="4" w:space="0" w:color="auto"/>
              <w:right w:val="single" w:sz="4" w:space="0" w:color="auto"/>
            </w:tcBorders>
            <w:shd w:val="clear" w:color="auto" w:fill="auto"/>
            <w:noWrap/>
            <w:tcMar>
              <w:left w:w="57" w:type="dxa"/>
            </w:tcMar>
            <w:vAlign w:val="center"/>
            <w:hideMark/>
          </w:tcPr>
          <w:p w:rsidR="00177B3C" w:rsidRPr="00E351D2" w:rsidRDefault="00177B3C" w:rsidP="00350537">
            <w:pPr>
              <w:jc w:val="center"/>
              <w:rPr>
                <w:rFonts w:cs="Arial"/>
                <w:b/>
                <w:bCs/>
              </w:rPr>
            </w:pPr>
            <w:r w:rsidRPr="00E351D2">
              <w:rPr>
                <w:rFonts w:cs="Arial"/>
                <w:b/>
                <w:bCs/>
              </w:rPr>
              <w:t>Waves</w:t>
            </w:r>
          </w:p>
        </w:tc>
      </w:tr>
      <w:tr w:rsidR="00177B3C" w:rsidRPr="00E351D2" w:rsidTr="00350537">
        <w:trPr>
          <w:gridAfter w:val="1"/>
          <w:wAfter w:w="142" w:type="dxa"/>
          <w:trHeight w:val="172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Industry</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Standard Industrial Classification 1992</w:t>
            </w:r>
            <w:r w:rsidRPr="00E351D2">
              <w:rPr>
                <w:rFonts w:cs="Arial"/>
              </w:rPr>
              <w:br/>
            </w:r>
            <w:r w:rsidRPr="00E351D2">
              <w:rPr>
                <w:rFonts w:cs="Arial"/>
                <w:i/>
                <w:iCs/>
                <w:sz w:val="18"/>
                <w:szCs w:val="18"/>
              </w:rPr>
              <w:t>wJBSIC92 is available in 1994, 1997, and 2001-2008.  For other years, I recoded SIC80 (</w:t>
            </w:r>
            <w:proofErr w:type="spellStart"/>
            <w:r w:rsidRPr="00E351D2">
              <w:rPr>
                <w:rFonts w:cs="Arial"/>
                <w:i/>
                <w:iCs/>
                <w:sz w:val="18"/>
                <w:szCs w:val="18"/>
              </w:rPr>
              <w:t>wJBSIC</w:t>
            </w:r>
            <w:proofErr w:type="spellEnd"/>
            <w:r w:rsidRPr="00E351D2">
              <w:rPr>
                <w:rFonts w:cs="Arial"/>
                <w:i/>
                <w:iCs/>
                <w:sz w:val="18"/>
                <w:szCs w:val="18"/>
              </w:rPr>
              <w:t xml:space="preserve">) using the BHPS dual-coded data in 1994, 1997 and 2001.  SIC80 codes were assigned a SIC92 code based on the most frequent SIC92 code in the data.  The person-weighted reliability of the recoding in the dual-coded BHPS data is 94.3%. </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72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Sector</w:t>
            </w:r>
            <w:r w:rsidRPr="00E351D2">
              <w:rPr>
                <w:rFonts w:cs="Arial"/>
                <w:i/>
                <w:iCs/>
                <w:u w:val="single"/>
              </w:rPr>
              <w:br/>
            </w:r>
            <w:r w:rsidRPr="00E351D2">
              <w:rPr>
                <w:rFonts w:cs="Arial"/>
              </w:rPr>
              <w:t>Private sector</w:t>
            </w:r>
            <w:r w:rsidRPr="00E351D2">
              <w:rPr>
                <w:rFonts w:cs="Arial"/>
              </w:rPr>
              <w:br/>
              <w:t>Public sector</w:t>
            </w:r>
            <w:r w:rsidRPr="00E351D2">
              <w:rPr>
                <w:rFonts w:cs="Arial"/>
              </w:rPr>
              <w:br/>
              <w:t>Non-profit and other</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Sector of work</w:t>
            </w:r>
            <w:r w:rsidRPr="00E351D2">
              <w:rPr>
                <w:rFonts w:cs="Arial"/>
              </w:rPr>
              <w:br/>
            </w:r>
            <w:r w:rsidRPr="00E351D2">
              <w:rPr>
                <w:rFonts w:cs="Arial"/>
                <w:i/>
                <w:iCs/>
                <w:sz w:val="18"/>
                <w:szCs w:val="18"/>
              </w:rPr>
              <w:t xml:space="preserve">From </w:t>
            </w:r>
            <w:proofErr w:type="spellStart"/>
            <w:r w:rsidRPr="00E351D2">
              <w:rPr>
                <w:rFonts w:cs="Arial"/>
                <w:i/>
                <w:iCs/>
                <w:sz w:val="18"/>
                <w:szCs w:val="18"/>
              </w:rPr>
              <w:t>wJOBSECT</w:t>
            </w:r>
            <w:proofErr w:type="spellEnd"/>
            <w:r w:rsidRPr="00E351D2">
              <w:rPr>
                <w:rFonts w:cs="Arial"/>
                <w:i/>
                <w:iCs/>
                <w:sz w:val="18"/>
                <w:szCs w:val="18"/>
              </w:rPr>
              <w:t>, recoded as follows:</w:t>
            </w:r>
            <w:r w:rsidRPr="00E351D2">
              <w:rPr>
                <w:rFonts w:cs="Arial"/>
                <w:i/>
                <w:iCs/>
                <w:sz w:val="18"/>
                <w:szCs w:val="18"/>
              </w:rPr>
              <w:br/>
              <w:t>- Private sector = 'private firm/company'</w:t>
            </w:r>
            <w:r w:rsidRPr="00E351D2">
              <w:rPr>
                <w:rFonts w:cs="Arial"/>
                <w:i/>
                <w:iCs/>
                <w:sz w:val="18"/>
                <w:szCs w:val="18"/>
              </w:rPr>
              <w:br/>
              <w:t xml:space="preserve">- Public sector = 'Civil Service/Central Govt', 'Local govt/town hall', 'NHS or higher </w:t>
            </w:r>
            <w:proofErr w:type="spellStart"/>
            <w:r w:rsidRPr="00E351D2">
              <w:rPr>
                <w:rFonts w:cs="Arial"/>
                <w:i/>
                <w:iCs/>
                <w:sz w:val="18"/>
                <w:szCs w:val="18"/>
              </w:rPr>
              <w:t>educ</w:t>
            </w:r>
            <w:proofErr w:type="spellEnd"/>
            <w:r w:rsidRPr="00E351D2">
              <w:rPr>
                <w:rFonts w:cs="Arial"/>
                <w:i/>
                <w:iCs/>
                <w:sz w:val="18"/>
                <w:szCs w:val="18"/>
              </w:rPr>
              <w:t>', 'nationalised industry' or 'armed forces'</w:t>
            </w:r>
            <w:r w:rsidRPr="00E351D2">
              <w:rPr>
                <w:rFonts w:cs="Arial"/>
                <w:i/>
                <w:iCs/>
                <w:sz w:val="18"/>
                <w:szCs w:val="18"/>
              </w:rPr>
              <w:br/>
              <w:t>- Non-profit and other = 'non-profit orgs' or 'other'</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Self-employed</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Self-employment status</w:t>
            </w:r>
            <w:r w:rsidRPr="00E351D2">
              <w:rPr>
                <w:rFonts w:cs="Arial"/>
              </w:rPr>
              <w:br/>
            </w:r>
            <w:r w:rsidRPr="00E351D2">
              <w:rPr>
                <w:rFonts w:cs="Arial"/>
                <w:i/>
                <w:iCs/>
                <w:sz w:val="18"/>
                <w:szCs w:val="18"/>
              </w:rPr>
              <w:t xml:space="preserve">From </w:t>
            </w:r>
            <w:proofErr w:type="spellStart"/>
            <w:r w:rsidRPr="00E351D2">
              <w:rPr>
                <w:rFonts w:cs="Arial"/>
                <w:i/>
                <w:iCs/>
                <w:sz w:val="18"/>
                <w:szCs w:val="18"/>
              </w:rPr>
              <w:t>wJBSEMP</w:t>
            </w:r>
            <w:proofErr w:type="spellEnd"/>
            <w:r w:rsidRPr="00E351D2">
              <w:rPr>
                <w:rFonts w:cs="Arial"/>
                <w:i/>
                <w:iCs/>
                <w:sz w:val="18"/>
                <w:szCs w:val="18"/>
              </w:rPr>
              <w:t>.  Self-employed respondents were excluded from all analyses</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24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lastRenderedPageBreak/>
              <w:t>Temporary job</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Contractual status, permanent vs. temporary</w:t>
            </w:r>
            <w:r w:rsidRPr="00E351D2">
              <w:rPr>
                <w:rFonts w:cs="Arial"/>
              </w:rPr>
              <w:br/>
            </w:r>
            <w:r w:rsidRPr="00E351D2">
              <w:rPr>
                <w:rFonts w:cs="Arial"/>
                <w:i/>
                <w:iCs/>
                <w:sz w:val="18"/>
                <w:szCs w:val="18"/>
              </w:rPr>
              <w:t xml:space="preserve">From </w:t>
            </w:r>
            <w:proofErr w:type="spellStart"/>
            <w:r w:rsidRPr="00E351D2">
              <w:rPr>
                <w:rFonts w:cs="Arial"/>
                <w:i/>
                <w:iCs/>
                <w:sz w:val="18"/>
                <w:szCs w:val="18"/>
              </w:rPr>
              <w:t>wJBTERM</w:t>
            </w:r>
            <w:proofErr w:type="spellEnd"/>
            <w:r w:rsidRPr="00E351D2">
              <w:rPr>
                <w:rFonts w:cs="Arial"/>
                <w:i/>
                <w:iCs/>
                <w:sz w:val="18"/>
                <w:szCs w:val="18"/>
              </w:rPr>
              <w:t xml:space="preserve"> (1991-1998) and wJBTERM1 (1999-2008).  </w:t>
            </w:r>
            <w:proofErr w:type="spellStart"/>
            <w:r w:rsidRPr="00E351D2">
              <w:rPr>
                <w:rFonts w:cs="Arial"/>
                <w:i/>
                <w:iCs/>
                <w:sz w:val="18"/>
                <w:szCs w:val="18"/>
              </w:rPr>
              <w:t>wJBTERM</w:t>
            </w:r>
            <w:proofErr w:type="spellEnd"/>
            <w:r w:rsidRPr="00E351D2">
              <w:rPr>
                <w:rFonts w:cs="Arial"/>
                <w:i/>
                <w:iCs/>
                <w:sz w:val="18"/>
                <w:szCs w:val="18"/>
              </w:rPr>
              <w:t xml:space="preserve"> was recoded such that a temporary job = 'seasonal/</w:t>
            </w:r>
            <w:proofErr w:type="spellStart"/>
            <w:r w:rsidRPr="00E351D2">
              <w:rPr>
                <w:rFonts w:cs="Arial"/>
                <w:i/>
                <w:iCs/>
                <w:sz w:val="18"/>
                <w:szCs w:val="18"/>
              </w:rPr>
              <w:t>tmp</w:t>
            </w:r>
            <w:proofErr w:type="spellEnd"/>
            <w:r w:rsidRPr="00E351D2">
              <w:rPr>
                <w:rFonts w:cs="Arial"/>
                <w:i/>
                <w:iCs/>
                <w:sz w:val="18"/>
                <w:szCs w:val="18"/>
              </w:rPr>
              <w:t xml:space="preserve"> job' or 'contract/fixed time'; for wJBTERM1 a temporary job = 'non-permanent job'</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140"/>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Size of workplace</w:t>
            </w:r>
            <w:r w:rsidRPr="00E351D2">
              <w:rPr>
                <w:rFonts w:cs="Arial"/>
                <w:i/>
                <w:iCs/>
                <w:u w:val="single"/>
              </w:rPr>
              <w:br/>
            </w:r>
            <w:r w:rsidRPr="00E351D2">
              <w:rPr>
                <w:rFonts w:cs="Arial"/>
              </w:rPr>
              <w:t>Small</w:t>
            </w:r>
            <w:r w:rsidRPr="00E351D2">
              <w:rPr>
                <w:rFonts w:cs="Arial"/>
              </w:rPr>
              <w:br/>
              <w:t>Medium</w:t>
            </w:r>
            <w:r w:rsidRPr="00E351D2">
              <w:rPr>
                <w:rFonts w:cs="Arial"/>
              </w:rPr>
              <w:br/>
              <w:t>Large</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Size of workplace</w:t>
            </w:r>
            <w:r w:rsidRPr="00E351D2">
              <w:rPr>
                <w:rFonts w:cs="Arial"/>
              </w:rPr>
              <w:br/>
            </w:r>
            <w:r w:rsidRPr="00E351D2">
              <w:rPr>
                <w:rFonts w:cs="Arial"/>
                <w:i/>
                <w:iCs/>
                <w:sz w:val="18"/>
                <w:szCs w:val="18"/>
              </w:rPr>
              <w:t xml:space="preserve">From </w:t>
            </w:r>
            <w:proofErr w:type="spellStart"/>
            <w:r w:rsidRPr="00E351D2">
              <w:rPr>
                <w:rFonts w:cs="Arial"/>
                <w:i/>
                <w:iCs/>
                <w:sz w:val="18"/>
                <w:szCs w:val="18"/>
              </w:rPr>
              <w:t>wJBSIZE</w:t>
            </w:r>
            <w:proofErr w:type="spellEnd"/>
            <w:r w:rsidRPr="00E351D2">
              <w:rPr>
                <w:rFonts w:cs="Arial"/>
                <w:i/>
                <w:iCs/>
                <w:sz w:val="18"/>
                <w:szCs w:val="18"/>
              </w:rPr>
              <w:t>, recoded into &lt;25 employees (small), 25-199 employees (medium), and 200+ employees (large)</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42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Hours of work</w:t>
            </w:r>
            <w:r w:rsidRPr="00E351D2">
              <w:rPr>
                <w:rFonts w:cs="Arial"/>
                <w:i/>
                <w:iCs/>
                <w:u w:val="single"/>
              </w:rPr>
              <w:br/>
            </w:r>
            <w:r w:rsidRPr="00E351D2">
              <w:rPr>
                <w:rFonts w:cs="Arial"/>
              </w:rPr>
              <w:t>&lt;16hrs</w:t>
            </w:r>
            <w:r w:rsidRPr="00E351D2">
              <w:rPr>
                <w:rFonts w:cs="Arial"/>
              </w:rPr>
              <w:br/>
              <w:t>16-29hrs</w:t>
            </w:r>
            <w:r w:rsidRPr="00E351D2">
              <w:rPr>
                <w:rFonts w:cs="Arial"/>
              </w:rPr>
              <w:br/>
              <w:t>30-45hrs</w:t>
            </w:r>
            <w:r w:rsidRPr="00E351D2">
              <w:rPr>
                <w:rFonts w:cs="Arial"/>
              </w:rPr>
              <w:br/>
              <w:t>&gt;45hrs</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Total hours of work per week, including overtime</w:t>
            </w:r>
            <w:r w:rsidRPr="00E351D2">
              <w:rPr>
                <w:rFonts w:cs="Arial"/>
              </w:rPr>
              <w:br/>
            </w:r>
            <w:r w:rsidRPr="00E351D2">
              <w:rPr>
                <w:rFonts w:cs="Arial"/>
                <w:i/>
                <w:iCs/>
                <w:sz w:val="18"/>
                <w:szCs w:val="18"/>
              </w:rPr>
              <w:t xml:space="preserve">Sum of </w:t>
            </w:r>
            <w:proofErr w:type="spellStart"/>
            <w:r w:rsidRPr="00E351D2">
              <w:rPr>
                <w:rFonts w:cs="Arial"/>
                <w:i/>
                <w:iCs/>
                <w:sz w:val="18"/>
                <w:szCs w:val="18"/>
              </w:rPr>
              <w:t>wJBHRS</w:t>
            </w:r>
            <w:proofErr w:type="spellEnd"/>
            <w:r w:rsidRPr="00E351D2">
              <w:rPr>
                <w:rFonts w:cs="Arial"/>
                <w:i/>
                <w:iCs/>
                <w:sz w:val="18"/>
                <w:szCs w:val="18"/>
              </w:rPr>
              <w:t xml:space="preserve"> and </w:t>
            </w:r>
            <w:proofErr w:type="spellStart"/>
            <w:r w:rsidRPr="00E351D2">
              <w:rPr>
                <w:rFonts w:cs="Arial"/>
                <w:i/>
                <w:iCs/>
                <w:sz w:val="18"/>
                <w:szCs w:val="18"/>
              </w:rPr>
              <w:t>wJBOT</w:t>
            </w:r>
            <w:proofErr w:type="spellEnd"/>
            <w:r w:rsidRPr="00E351D2">
              <w:rPr>
                <w:rFonts w:cs="Arial"/>
                <w:i/>
                <w:iCs/>
                <w:sz w:val="18"/>
                <w:szCs w:val="18"/>
              </w:rPr>
              <w:t>, recoded into bands</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24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Occupational pension</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Member of employer's occupational pension scheme</w:t>
            </w:r>
            <w:r w:rsidRPr="00E351D2">
              <w:rPr>
                <w:rFonts w:cs="Arial"/>
              </w:rPr>
              <w:br/>
            </w:r>
            <w:r w:rsidRPr="00E351D2">
              <w:rPr>
                <w:rFonts w:cs="Arial"/>
                <w:i/>
                <w:iCs/>
                <w:sz w:val="18"/>
                <w:szCs w:val="18"/>
              </w:rPr>
              <w:t>Coded as 1 if respondent reports being a member of employer's pension scheme (</w:t>
            </w:r>
            <w:proofErr w:type="spellStart"/>
            <w:r w:rsidRPr="00E351D2">
              <w:rPr>
                <w:rFonts w:cs="Arial"/>
                <w:i/>
                <w:iCs/>
                <w:sz w:val="18"/>
                <w:szCs w:val="18"/>
              </w:rPr>
              <w:t>wJBPENM</w:t>
            </w:r>
            <w:proofErr w:type="spellEnd"/>
            <w:r w:rsidRPr="00E351D2">
              <w:rPr>
                <w:rFonts w:cs="Arial"/>
                <w:i/>
                <w:iCs/>
                <w:sz w:val="18"/>
                <w:szCs w:val="18"/>
              </w:rPr>
              <w:t>), and 0 if either not a member, employer doesn't run an pension scheme, or respondent is uncertain if employer runs a scheme (</w:t>
            </w:r>
            <w:proofErr w:type="spellStart"/>
            <w:r w:rsidRPr="00E351D2">
              <w:rPr>
                <w:rFonts w:cs="Arial"/>
                <w:i/>
                <w:iCs/>
                <w:sz w:val="18"/>
                <w:szCs w:val="18"/>
              </w:rPr>
              <w:t>wJBPEN</w:t>
            </w:r>
            <w:proofErr w:type="spellEnd"/>
            <w:r w:rsidRPr="00E351D2">
              <w:rPr>
                <w:rFonts w:cs="Arial"/>
                <w:i/>
                <w:iCs/>
                <w:sz w:val="18"/>
                <w:szCs w:val="18"/>
              </w:rPr>
              <w:t>)</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360"/>
        </w:trPr>
        <w:tc>
          <w:tcPr>
            <w:tcW w:w="8788" w:type="dxa"/>
            <w:gridSpan w:val="12"/>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Health</w:t>
            </w:r>
          </w:p>
        </w:tc>
      </w:tr>
      <w:tr w:rsidR="00177B3C" w:rsidRPr="00E351D2" w:rsidTr="00350537">
        <w:trPr>
          <w:gridAfter w:val="1"/>
          <w:wAfter w:w="142" w:type="dxa"/>
          <w:trHeight w:val="300"/>
        </w:trPr>
        <w:tc>
          <w:tcPr>
            <w:tcW w:w="2482"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Label</w:t>
            </w:r>
          </w:p>
        </w:tc>
        <w:tc>
          <w:tcPr>
            <w:tcW w:w="5226" w:type="dxa"/>
            <w:gridSpan w:val="6"/>
            <w:tcBorders>
              <w:top w:val="nil"/>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1080" w:type="dxa"/>
            <w:gridSpan w:val="5"/>
            <w:tcBorders>
              <w:top w:val="nil"/>
              <w:left w:val="nil"/>
              <w:bottom w:val="single" w:sz="4" w:space="0" w:color="auto"/>
              <w:right w:val="single" w:sz="4" w:space="0" w:color="auto"/>
            </w:tcBorders>
            <w:shd w:val="clear" w:color="auto" w:fill="auto"/>
            <w:noWrap/>
            <w:tcMar>
              <w:left w:w="57" w:type="dxa"/>
            </w:tcMar>
            <w:vAlign w:val="center"/>
            <w:hideMark/>
          </w:tcPr>
          <w:p w:rsidR="00177B3C" w:rsidRPr="00E351D2" w:rsidRDefault="00177B3C" w:rsidP="00350537">
            <w:pPr>
              <w:jc w:val="center"/>
              <w:rPr>
                <w:rFonts w:cs="Arial"/>
                <w:b/>
                <w:bCs/>
              </w:rPr>
            </w:pPr>
            <w:r w:rsidRPr="00E351D2">
              <w:rPr>
                <w:rFonts w:cs="Arial"/>
                <w:b/>
                <w:bCs/>
              </w:rPr>
              <w:t>Waves</w:t>
            </w:r>
          </w:p>
        </w:tc>
      </w:tr>
      <w:tr w:rsidR="00177B3C" w:rsidRPr="00E351D2" w:rsidTr="00350537">
        <w:trPr>
          <w:gridAfter w:val="1"/>
          <w:wAfter w:w="142" w:type="dxa"/>
          <w:trHeight w:val="525"/>
        </w:trPr>
        <w:tc>
          <w:tcPr>
            <w:tcW w:w="2491" w:type="dxa"/>
            <w:gridSpan w:val="2"/>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GP visits</w:t>
            </w:r>
          </w:p>
        </w:tc>
        <w:tc>
          <w:tcPr>
            <w:tcW w:w="5205" w:type="dxa"/>
            <w:gridSpan w:val="4"/>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GP visits in past year</w:t>
            </w:r>
            <w:r w:rsidRPr="00E351D2">
              <w:rPr>
                <w:rFonts w:cs="Arial"/>
              </w:rPr>
              <w:br/>
            </w:r>
            <w:r w:rsidRPr="00E351D2">
              <w:rPr>
                <w:rFonts w:cs="Arial"/>
                <w:i/>
                <w:iCs/>
                <w:sz w:val="18"/>
                <w:szCs w:val="18"/>
              </w:rPr>
              <w:t>From wHL2GP</w:t>
            </w:r>
          </w:p>
        </w:tc>
        <w:tc>
          <w:tcPr>
            <w:tcW w:w="1092" w:type="dxa"/>
            <w:gridSpan w:val="6"/>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24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 xml:space="preserve">GHQ </w:t>
            </w:r>
            <w:proofErr w:type="spellStart"/>
            <w:r w:rsidRPr="00E351D2">
              <w:rPr>
                <w:rFonts w:cs="Arial"/>
              </w:rPr>
              <w:t>caseness</w:t>
            </w:r>
            <w:proofErr w:type="spellEnd"/>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 xml:space="preserve">Minor </w:t>
            </w:r>
            <w:proofErr w:type="spellStart"/>
            <w:r w:rsidRPr="00E351D2">
              <w:rPr>
                <w:rFonts w:cs="Arial"/>
              </w:rPr>
              <w:t>psychistric</w:t>
            </w:r>
            <w:proofErr w:type="spellEnd"/>
            <w:r w:rsidRPr="00E351D2">
              <w:rPr>
                <w:rFonts w:cs="Arial"/>
              </w:rPr>
              <w:t xml:space="preserve"> morbidity (GHQ </w:t>
            </w:r>
            <w:proofErr w:type="spellStart"/>
            <w:r w:rsidRPr="00E351D2">
              <w:rPr>
                <w:rFonts w:cs="Arial"/>
              </w:rPr>
              <w:t>caseness</w:t>
            </w:r>
            <w:proofErr w:type="spellEnd"/>
            <w:proofErr w:type="gramStart"/>
            <w:r w:rsidRPr="00E351D2">
              <w:rPr>
                <w:rFonts w:cs="Arial"/>
              </w:rPr>
              <w:t>)</w:t>
            </w:r>
            <w:proofErr w:type="gramEnd"/>
            <w:r w:rsidRPr="00E351D2">
              <w:rPr>
                <w:rFonts w:cs="Arial"/>
              </w:rPr>
              <w:br/>
            </w:r>
            <w:r w:rsidRPr="00E351D2">
              <w:rPr>
                <w:rFonts w:cs="Arial"/>
                <w:i/>
                <w:iCs/>
                <w:sz w:val="18"/>
                <w:szCs w:val="18"/>
              </w:rPr>
              <w:t xml:space="preserve">Based on GHQ-12 score (wHLGHQ2), with scores of 3+ being considered a 'case' (following the recommendations of Goldberg et al 2000, </w:t>
            </w:r>
            <w:r w:rsidRPr="00E351D2">
              <w:rPr>
                <w:rFonts w:cs="Arial"/>
                <w:sz w:val="18"/>
                <w:szCs w:val="18"/>
              </w:rPr>
              <w:t xml:space="preserve">Psychological Medicine </w:t>
            </w:r>
            <w:r w:rsidRPr="00E351D2">
              <w:rPr>
                <w:rFonts w:cs="Arial"/>
                <w:i/>
                <w:iCs/>
                <w:sz w:val="18"/>
                <w:szCs w:val="18"/>
              </w:rPr>
              <w:t>28:915-921).  The original scale score is used in a sensitivity analysis.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Musculoskeletal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Problem with arms, legs, hands, feet or back</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wHLPRBA</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00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Vision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Difficulty in seeing</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wHLPRBB</w:t>
            </w:r>
            <w:proofErr w:type="spellEnd"/>
            <w:r w:rsidRPr="00E351D2">
              <w:rPr>
                <w:rFonts w:cs="Arial"/>
                <w:i/>
                <w:iCs/>
                <w:sz w:val="18"/>
                <w:szCs w:val="18"/>
              </w:rPr>
              <w:t>, part of the list of problem types.  Respondents were asked to exclude temporary conditions.  Excludes needing glasses to read normal size print.</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Hearing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Difficulty in hearing</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wHLPRBC</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Allergy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Problem with skin/allergies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wHLPRBD</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lastRenderedPageBreak/>
              <w:t>Breathing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Problem with chest/breathing, asthma or bronchitis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wHLPRBE</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Heart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Problem with heart, circulation, or high blood pressure</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wHLPRBF</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Digestive problems</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Problem with stomach, liver, kidneys, or digestion</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wHLPRBG</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Diabetes</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Diabetes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wHLPRBH</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Anxiety/depression</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Anxiety, depression, or psychiatric problems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wHLPRBI</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Addiction problems</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Alcohol or drug-related problems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wHLPRBJ</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Epilepsy</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Epilepsy</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wHLPRBK</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Migraine</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Migraine or frequent headaches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wHLPRBL</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Other health problem</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Other health problems</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wHLPRBM</w:t>
            </w:r>
            <w:proofErr w:type="spellEnd"/>
            <w:r w:rsidRPr="00E351D2">
              <w:rPr>
                <w:rFonts w:cs="Arial"/>
                <w:i/>
                <w:iCs/>
                <w:sz w:val="18"/>
                <w:szCs w:val="18"/>
              </w:rPr>
              <w:t>, part of the list of problem types.  Respondents were asked to exclude temporary conditions.</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85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Activity limitation: housework</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Limitations in doing the housework</w:t>
            </w:r>
            <w:r w:rsidRPr="00E351D2">
              <w:rPr>
                <w:rFonts w:cs="Arial"/>
              </w:rPr>
              <w:br/>
            </w:r>
            <w:r w:rsidRPr="00E351D2">
              <w:rPr>
                <w:rFonts w:cs="Arial"/>
                <w:i/>
                <w:iCs/>
                <w:sz w:val="18"/>
                <w:szCs w:val="18"/>
              </w:rPr>
              <w:t xml:space="preserve">From </w:t>
            </w:r>
            <w:proofErr w:type="spellStart"/>
            <w:r w:rsidRPr="00E351D2">
              <w:rPr>
                <w:rFonts w:cs="Arial"/>
                <w:i/>
                <w:iCs/>
                <w:sz w:val="18"/>
                <w:szCs w:val="18"/>
              </w:rPr>
              <w:t>wHLLTA</w:t>
            </w:r>
            <w:proofErr w:type="spellEnd"/>
            <w:r w:rsidRPr="00E351D2">
              <w:rPr>
                <w:rFonts w:cs="Arial"/>
                <w:i/>
                <w:iCs/>
                <w:sz w:val="18"/>
                <w:szCs w:val="18"/>
              </w:rPr>
              <w:t>, asked if respondents have an LLSI (those without LLSI are coded as 0).</w:t>
            </w:r>
          </w:p>
        </w:tc>
        <w:tc>
          <w:tcPr>
            <w:tcW w:w="1080" w:type="dxa"/>
            <w:gridSpan w:val="5"/>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jc w:val="center"/>
              <w:rPr>
                <w:rFonts w:cs="Arial"/>
              </w:rPr>
            </w:pPr>
            <w:r w:rsidRPr="00E351D2">
              <w:rPr>
                <w:rFonts w:cs="Arial"/>
              </w:rPr>
              <w:t>All bar 1999 and 2004</w:t>
            </w:r>
          </w:p>
        </w:tc>
      </w:tr>
      <w:tr w:rsidR="00177B3C" w:rsidRPr="00E351D2" w:rsidTr="00350537">
        <w:trPr>
          <w:gridAfter w:val="1"/>
          <w:wAfter w:w="142" w:type="dxa"/>
          <w:trHeight w:val="85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 xml:space="preserve">Activity limitation: </w:t>
            </w:r>
            <w:r w:rsidRPr="00E351D2">
              <w:rPr>
                <w:rFonts w:cs="Arial"/>
              </w:rPr>
              <w:br/>
              <w:t>climbing stairs</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Limitations in climbing stairs</w:t>
            </w:r>
            <w:r w:rsidRPr="00E351D2">
              <w:rPr>
                <w:rFonts w:cs="Arial"/>
              </w:rPr>
              <w:br/>
            </w:r>
            <w:r w:rsidRPr="00E351D2">
              <w:rPr>
                <w:rFonts w:cs="Arial"/>
                <w:i/>
                <w:iCs/>
                <w:sz w:val="18"/>
                <w:szCs w:val="18"/>
              </w:rPr>
              <w:t xml:space="preserve">From </w:t>
            </w:r>
            <w:proofErr w:type="spellStart"/>
            <w:r w:rsidRPr="00E351D2">
              <w:rPr>
                <w:rFonts w:cs="Arial"/>
                <w:i/>
                <w:iCs/>
                <w:sz w:val="18"/>
                <w:szCs w:val="18"/>
              </w:rPr>
              <w:t>wHLLTB</w:t>
            </w:r>
            <w:proofErr w:type="spellEnd"/>
            <w:r w:rsidRPr="00E351D2">
              <w:rPr>
                <w:rFonts w:cs="Arial"/>
                <w:i/>
                <w:iCs/>
                <w:sz w:val="18"/>
                <w:szCs w:val="18"/>
              </w:rPr>
              <w:t>, asked if respondents have an LLSI (those without LLSI are coded as 0).</w:t>
            </w:r>
          </w:p>
        </w:tc>
        <w:tc>
          <w:tcPr>
            <w:tcW w:w="1080" w:type="dxa"/>
            <w:gridSpan w:val="5"/>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jc w:val="center"/>
              <w:rPr>
                <w:rFonts w:cs="Arial"/>
              </w:rPr>
            </w:pPr>
            <w:r w:rsidRPr="00E351D2">
              <w:rPr>
                <w:rFonts w:cs="Arial"/>
              </w:rPr>
              <w:t>All bar 1999 and 2004</w:t>
            </w:r>
          </w:p>
        </w:tc>
      </w:tr>
      <w:tr w:rsidR="00177B3C" w:rsidRPr="00E351D2" w:rsidTr="00350537">
        <w:trPr>
          <w:gridAfter w:val="1"/>
          <w:wAfter w:w="142" w:type="dxa"/>
          <w:trHeight w:val="85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Activity limitation: dressing</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Limitations in dressing yourself</w:t>
            </w:r>
            <w:r w:rsidRPr="00E351D2">
              <w:rPr>
                <w:rFonts w:cs="Arial"/>
              </w:rPr>
              <w:br/>
            </w:r>
            <w:r w:rsidRPr="00E351D2">
              <w:rPr>
                <w:rFonts w:cs="Arial"/>
                <w:i/>
                <w:iCs/>
                <w:sz w:val="18"/>
                <w:szCs w:val="18"/>
              </w:rPr>
              <w:t xml:space="preserve">From </w:t>
            </w:r>
            <w:proofErr w:type="spellStart"/>
            <w:r w:rsidRPr="00E351D2">
              <w:rPr>
                <w:rFonts w:cs="Arial"/>
                <w:i/>
                <w:iCs/>
                <w:sz w:val="18"/>
                <w:szCs w:val="18"/>
              </w:rPr>
              <w:t>wHLLTC</w:t>
            </w:r>
            <w:proofErr w:type="spellEnd"/>
            <w:r w:rsidRPr="00E351D2">
              <w:rPr>
                <w:rFonts w:cs="Arial"/>
                <w:i/>
                <w:iCs/>
                <w:sz w:val="18"/>
                <w:szCs w:val="18"/>
              </w:rPr>
              <w:t>, asked if respondents have an LLSI (those without LLSI are coded as 0).</w:t>
            </w:r>
          </w:p>
        </w:tc>
        <w:tc>
          <w:tcPr>
            <w:tcW w:w="1080" w:type="dxa"/>
            <w:gridSpan w:val="5"/>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jc w:val="center"/>
              <w:rPr>
                <w:rFonts w:cs="Arial"/>
              </w:rPr>
            </w:pPr>
            <w:r w:rsidRPr="00E351D2">
              <w:rPr>
                <w:rFonts w:cs="Arial"/>
              </w:rPr>
              <w:t>All bar 1999 and 2004</w:t>
            </w:r>
          </w:p>
        </w:tc>
      </w:tr>
      <w:tr w:rsidR="00177B3C" w:rsidRPr="00E351D2" w:rsidTr="00350537">
        <w:trPr>
          <w:gridAfter w:val="1"/>
          <w:wAfter w:w="142" w:type="dxa"/>
          <w:trHeight w:val="85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Activity limitation: walking</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Limitations in walking for at least 10 minutes</w:t>
            </w:r>
            <w:r w:rsidRPr="00E351D2">
              <w:rPr>
                <w:rFonts w:cs="Arial"/>
              </w:rPr>
              <w:br/>
            </w:r>
            <w:r w:rsidRPr="00E351D2">
              <w:rPr>
                <w:rFonts w:cs="Arial"/>
                <w:i/>
                <w:iCs/>
                <w:sz w:val="18"/>
                <w:szCs w:val="18"/>
              </w:rPr>
              <w:t xml:space="preserve">From </w:t>
            </w:r>
            <w:proofErr w:type="spellStart"/>
            <w:r w:rsidRPr="00E351D2">
              <w:rPr>
                <w:rFonts w:cs="Arial"/>
                <w:i/>
                <w:iCs/>
                <w:sz w:val="18"/>
                <w:szCs w:val="18"/>
              </w:rPr>
              <w:t>wHLLTD</w:t>
            </w:r>
            <w:proofErr w:type="spellEnd"/>
            <w:r w:rsidRPr="00E351D2">
              <w:rPr>
                <w:rFonts w:cs="Arial"/>
                <w:i/>
                <w:iCs/>
                <w:sz w:val="18"/>
                <w:szCs w:val="18"/>
              </w:rPr>
              <w:t>, asked if respondents have an LLSI (those without LLSI are coded as 0).</w:t>
            </w:r>
          </w:p>
        </w:tc>
        <w:tc>
          <w:tcPr>
            <w:tcW w:w="1080" w:type="dxa"/>
            <w:gridSpan w:val="5"/>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jc w:val="center"/>
              <w:rPr>
                <w:rFonts w:cs="Arial"/>
              </w:rPr>
            </w:pPr>
            <w:r w:rsidRPr="00E351D2">
              <w:rPr>
                <w:rFonts w:cs="Arial"/>
              </w:rPr>
              <w:t>All bar 1999 and 2004</w:t>
            </w:r>
          </w:p>
        </w:tc>
      </w:tr>
      <w:tr w:rsidR="00177B3C" w:rsidRPr="00E351D2" w:rsidTr="00350537">
        <w:trPr>
          <w:gridAfter w:val="1"/>
          <w:wAfter w:w="142" w:type="dxa"/>
          <w:trHeight w:val="765"/>
        </w:trPr>
        <w:tc>
          <w:tcPr>
            <w:tcW w:w="2482" w:type="dxa"/>
            <w:tcBorders>
              <w:top w:val="nil"/>
              <w:left w:val="single" w:sz="8" w:space="0" w:color="auto"/>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lastRenderedPageBreak/>
              <w:t>Hospital in-patient</w:t>
            </w:r>
          </w:p>
        </w:tc>
        <w:tc>
          <w:tcPr>
            <w:tcW w:w="5226" w:type="dxa"/>
            <w:gridSpan w:val="6"/>
            <w:tcBorders>
              <w:top w:val="nil"/>
              <w:left w:val="nil"/>
              <w:bottom w:val="single" w:sz="4" w:space="0" w:color="auto"/>
              <w:right w:val="single" w:sz="4" w:space="0" w:color="auto"/>
            </w:tcBorders>
            <w:shd w:val="clear" w:color="auto" w:fill="BFBFBF" w:themeFill="background1" w:themeFillShade="BF"/>
            <w:tcMar>
              <w:left w:w="57" w:type="dxa"/>
            </w:tcMar>
            <w:vAlign w:val="center"/>
            <w:hideMark/>
          </w:tcPr>
          <w:p w:rsidR="00177B3C" w:rsidRPr="00E351D2" w:rsidRDefault="00177B3C" w:rsidP="00350537">
            <w:pPr>
              <w:rPr>
                <w:rFonts w:cs="Arial"/>
              </w:rPr>
            </w:pPr>
            <w:r w:rsidRPr="00E351D2">
              <w:rPr>
                <w:rFonts w:cs="Arial"/>
              </w:rPr>
              <w:t>Hospital in-patient in past year</w:t>
            </w:r>
            <w:r w:rsidRPr="00E351D2">
              <w:rPr>
                <w:rFonts w:cs="Arial"/>
              </w:rPr>
              <w:br/>
            </w:r>
            <w:r w:rsidRPr="00E351D2">
              <w:rPr>
                <w:rFonts w:cs="Arial"/>
                <w:i/>
                <w:iCs/>
                <w:sz w:val="18"/>
                <w:szCs w:val="18"/>
              </w:rPr>
              <w:t xml:space="preserve">From </w:t>
            </w:r>
            <w:proofErr w:type="spellStart"/>
            <w:r w:rsidRPr="00E351D2">
              <w:rPr>
                <w:rFonts w:cs="Arial"/>
                <w:i/>
                <w:iCs/>
                <w:sz w:val="18"/>
                <w:szCs w:val="18"/>
              </w:rPr>
              <w:t>wHOSP</w:t>
            </w:r>
            <w:proofErr w:type="spellEnd"/>
            <w:r w:rsidRPr="00E351D2">
              <w:rPr>
                <w:rFonts w:cs="Arial"/>
                <w:i/>
                <w:iCs/>
                <w:sz w:val="18"/>
                <w:szCs w:val="18"/>
              </w:rPr>
              <w:t xml:space="preserve"> and </w:t>
            </w:r>
            <w:proofErr w:type="spellStart"/>
            <w:r w:rsidRPr="00E351D2">
              <w:rPr>
                <w:rFonts w:cs="Arial"/>
                <w:i/>
                <w:iCs/>
                <w:sz w:val="18"/>
                <w:szCs w:val="18"/>
              </w:rPr>
              <w:t>wHOSPCH</w:t>
            </w:r>
            <w:proofErr w:type="spellEnd"/>
            <w:r w:rsidRPr="00E351D2">
              <w:rPr>
                <w:rFonts w:cs="Arial"/>
                <w:i/>
                <w:iCs/>
                <w:sz w:val="18"/>
                <w:szCs w:val="18"/>
              </w:rPr>
              <w:t>, including all hospital visits except those for childbirth</w:t>
            </w:r>
          </w:p>
        </w:tc>
        <w:tc>
          <w:tcPr>
            <w:tcW w:w="1080" w:type="dxa"/>
            <w:gridSpan w:val="5"/>
            <w:tcBorders>
              <w:top w:val="nil"/>
              <w:left w:val="nil"/>
              <w:bottom w:val="single" w:sz="4" w:space="0" w:color="auto"/>
              <w:right w:val="single" w:sz="4" w:space="0" w:color="auto"/>
            </w:tcBorders>
            <w:shd w:val="clear" w:color="auto" w:fill="BFBFBF" w:themeFill="background1" w:themeFillShade="BF"/>
            <w:noWrap/>
            <w:tcMar>
              <w:left w:w="57" w:type="dxa"/>
            </w:tcMar>
            <w:vAlign w:val="center"/>
            <w:hideMark/>
          </w:tcPr>
          <w:p w:rsidR="00177B3C" w:rsidRPr="00E351D2" w:rsidRDefault="00177B3C" w:rsidP="00350537">
            <w:pPr>
              <w:jc w:val="center"/>
              <w:rPr>
                <w:rFonts w:cs="Arial"/>
              </w:rPr>
            </w:pPr>
            <w:r w:rsidRPr="00E351D2">
              <w:rPr>
                <w:rFonts w:cs="Arial"/>
              </w:rPr>
              <w:t>All waves</w:t>
            </w:r>
          </w:p>
        </w:tc>
      </w:tr>
      <w:tr w:rsidR="00177B3C" w:rsidRPr="00E351D2" w:rsidTr="00350537">
        <w:trPr>
          <w:gridAfter w:val="1"/>
          <w:wAfter w:w="142" w:type="dxa"/>
          <w:trHeight w:val="360"/>
        </w:trPr>
        <w:tc>
          <w:tcPr>
            <w:tcW w:w="8788" w:type="dxa"/>
            <w:gridSpan w:val="12"/>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Partner's characteristics</w:t>
            </w:r>
          </w:p>
        </w:tc>
      </w:tr>
      <w:tr w:rsidR="00177B3C" w:rsidRPr="00E351D2" w:rsidTr="00350537">
        <w:trPr>
          <w:gridAfter w:val="1"/>
          <w:wAfter w:w="142" w:type="dxa"/>
          <w:trHeight w:val="300"/>
        </w:trPr>
        <w:tc>
          <w:tcPr>
            <w:tcW w:w="2482" w:type="dxa"/>
            <w:tcBorders>
              <w:top w:val="nil"/>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Label</w:t>
            </w:r>
          </w:p>
        </w:tc>
        <w:tc>
          <w:tcPr>
            <w:tcW w:w="5518" w:type="dxa"/>
            <w:gridSpan w:val="8"/>
            <w:tcBorders>
              <w:top w:val="nil"/>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788" w:type="dxa"/>
            <w:gridSpan w:val="3"/>
            <w:tcBorders>
              <w:top w:val="nil"/>
              <w:left w:val="nil"/>
              <w:bottom w:val="single" w:sz="4" w:space="0" w:color="auto"/>
              <w:right w:val="single" w:sz="4" w:space="0" w:color="auto"/>
            </w:tcBorders>
            <w:shd w:val="clear" w:color="auto" w:fill="auto"/>
            <w:noWrap/>
            <w:tcMar>
              <w:left w:w="57" w:type="dxa"/>
            </w:tcMar>
            <w:vAlign w:val="center"/>
            <w:hideMark/>
          </w:tcPr>
          <w:p w:rsidR="00177B3C" w:rsidRPr="00E351D2" w:rsidRDefault="00177B3C" w:rsidP="00350537">
            <w:pPr>
              <w:jc w:val="center"/>
              <w:rPr>
                <w:rFonts w:cs="Arial"/>
                <w:b/>
                <w:bCs/>
              </w:rPr>
            </w:pPr>
            <w:r w:rsidRPr="00E351D2">
              <w:rPr>
                <w:rFonts w:cs="Arial"/>
                <w:b/>
                <w:bCs/>
              </w:rPr>
              <w:t>Waves</w:t>
            </w:r>
          </w:p>
        </w:tc>
      </w:tr>
      <w:tr w:rsidR="00177B3C" w:rsidRPr="00E351D2" w:rsidTr="00350537">
        <w:trPr>
          <w:gridAfter w:val="1"/>
          <w:wAfter w:w="142" w:type="dxa"/>
          <w:trHeight w:val="28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Partnered</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Whether has partner in household</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48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Partner's employment</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Whether partner is working</w:t>
            </w:r>
            <w:r w:rsidRPr="00E351D2">
              <w:rPr>
                <w:rFonts w:cs="Arial"/>
              </w:rPr>
              <w:br/>
            </w:r>
            <w:r w:rsidRPr="00E351D2">
              <w:rPr>
                <w:rFonts w:cs="Arial"/>
                <w:i/>
                <w:iCs/>
                <w:sz w:val="18"/>
                <w:szCs w:val="18"/>
              </w:rPr>
              <w:t xml:space="preserve">Derived from </w:t>
            </w:r>
            <w:proofErr w:type="spellStart"/>
            <w:r w:rsidRPr="00E351D2">
              <w:rPr>
                <w:rFonts w:cs="Arial"/>
                <w:i/>
                <w:iCs/>
                <w:sz w:val="18"/>
                <w:szCs w:val="18"/>
              </w:rPr>
              <w:t>wJBHAS</w:t>
            </w:r>
            <w:proofErr w:type="spellEnd"/>
            <w:r w:rsidRPr="00E351D2">
              <w:rPr>
                <w:rFonts w:cs="Arial"/>
                <w:i/>
                <w:iCs/>
                <w:sz w:val="18"/>
                <w:szCs w:val="18"/>
              </w:rPr>
              <w:t xml:space="preserve"> (whether did any paid work in the past week) and </w:t>
            </w:r>
            <w:proofErr w:type="spellStart"/>
            <w:r w:rsidRPr="00E351D2">
              <w:rPr>
                <w:rFonts w:cs="Arial"/>
                <w:i/>
                <w:iCs/>
                <w:sz w:val="18"/>
                <w:szCs w:val="18"/>
              </w:rPr>
              <w:t>wJBOFF</w:t>
            </w:r>
            <w:proofErr w:type="spellEnd"/>
            <w:r w:rsidRPr="00E351D2">
              <w:rPr>
                <w:rFonts w:cs="Arial"/>
                <w:i/>
                <w:iCs/>
                <w:sz w:val="18"/>
                <w:szCs w:val="18"/>
              </w:rPr>
              <w:t xml:space="preserve"> (whether had a job that was away from, even though wasn't working in the past week).  Respondents without partners coded to zero; respondents whose partners do not respond are coded missing</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1"/>
          <w:wAfter w:w="142" w:type="dxa"/>
          <w:trHeight w:val="1005"/>
        </w:trPr>
        <w:tc>
          <w:tcPr>
            <w:tcW w:w="2482" w:type="dxa"/>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Partner's IB receipt</w:t>
            </w:r>
          </w:p>
        </w:tc>
        <w:tc>
          <w:tcPr>
            <w:tcW w:w="5518" w:type="dxa"/>
            <w:gridSpan w:val="8"/>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Whether partner claims an incapacity benefit</w:t>
            </w:r>
            <w:r w:rsidRPr="00E351D2">
              <w:rPr>
                <w:rFonts w:cs="Arial"/>
              </w:rPr>
              <w:br/>
            </w:r>
            <w:r w:rsidRPr="00E351D2">
              <w:rPr>
                <w:rFonts w:cs="Arial"/>
                <w:i/>
                <w:iCs/>
                <w:sz w:val="18"/>
                <w:szCs w:val="18"/>
              </w:rPr>
              <w:t>See under IB in text for details of IB measure.  Respondents without partners coded to zero; respondents whose partners do not respond are coded missing</w:t>
            </w:r>
          </w:p>
        </w:tc>
        <w:tc>
          <w:tcPr>
            <w:tcW w:w="788"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2"/>
          <w:wAfter w:w="287" w:type="dxa"/>
          <w:trHeight w:val="840"/>
        </w:trPr>
        <w:tc>
          <w:tcPr>
            <w:tcW w:w="8643" w:type="dxa"/>
            <w:gridSpan w:val="11"/>
            <w:tcBorders>
              <w:top w:val="single" w:sz="4" w:space="0" w:color="auto"/>
              <w:left w:val="single" w:sz="8" w:space="0" w:color="auto"/>
              <w:bottom w:val="single" w:sz="4" w:space="0" w:color="auto"/>
              <w:right w:val="single" w:sz="4" w:space="0" w:color="000000"/>
            </w:tcBorders>
            <w:shd w:val="clear" w:color="auto" w:fill="auto"/>
            <w:tcMar>
              <w:left w:w="57" w:type="dxa"/>
            </w:tcMar>
            <w:vAlign w:val="center"/>
            <w:hideMark/>
          </w:tcPr>
          <w:p w:rsidR="00177B3C" w:rsidRPr="00E351D2" w:rsidRDefault="00177B3C" w:rsidP="00350537">
            <w:pPr>
              <w:rPr>
                <w:rFonts w:cs="Arial"/>
                <w:b/>
                <w:bCs/>
                <w:i/>
                <w:iCs/>
                <w:sz w:val="28"/>
                <w:szCs w:val="28"/>
              </w:rPr>
            </w:pPr>
            <w:r w:rsidRPr="00E351D2">
              <w:rPr>
                <w:rFonts w:cs="Arial"/>
                <w:b/>
                <w:bCs/>
                <w:i/>
                <w:iCs/>
                <w:sz w:val="28"/>
                <w:szCs w:val="28"/>
              </w:rPr>
              <w:t>Variables used in sensitivity analyses only</w:t>
            </w:r>
          </w:p>
        </w:tc>
      </w:tr>
      <w:tr w:rsidR="00177B3C" w:rsidRPr="00E351D2" w:rsidTr="00350537">
        <w:trPr>
          <w:gridAfter w:val="2"/>
          <w:wAfter w:w="287" w:type="dxa"/>
          <w:trHeight w:val="360"/>
        </w:trPr>
        <w:tc>
          <w:tcPr>
            <w:tcW w:w="8643" w:type="dxa"/>
            <w:gridSpan w:val="11"/>
            <w:tcBorders>
              <w:top w:val="single" w:sz="4" w:space="0" w:color="auto"/>
              <w:left w:val="single" w:sz="8" w:space="0" w:color="auto"/>
              <w:bottom w:val="single" w:sz="4" w:space="0" w:color="auto"/>
              <w:right w:val="single" w:sz="4" w:space="0" w:color="000000"/>
            </w:tcBorders>
            <w:shd w:val="clear" w:color="000000" w:fill="0D0D0D"/>
            <w:tcMar>
              <w:left w:w="57" w:type="dxa"/>
            </w:tcMar>
            <w:vAlign w:val="center"/>
            <w:hideMark/>
          </w:tcPr>
          <w:p w:rsidR="00177B3C" w:rsidRPr="00E351D2" w:rsidRDefault="00177B3C" w:rsidP="00350537">
            <w:pPr>
              <w:rPr>
                <w:rFonts w:cs="Arial"/>
                <w:b/>
                <w:bCs/>
                <w:i/>
                <w:iCs/>
                <w:color w:val="FFFFFF"/>
              </w:rPr>
            </w:pPr>
            <w:r w:rsidRPr="00E351D2">
              <w:rPr>
                <w:rFonts w:cs="Arial"/>
                <w:b/>
                <w:bCs/>
                <w:i/>
                <w:iCs/>
                <w:color w:val="FFFFFF"/>
              </w:rPr>
              <w:t>Other work characteristics</w:t>
            </w:r>
          </w:p>
        </w:tc>
      </w:tr>
      <w:tr w:rsidR="00177B3C" w:rsidRPr="00E351D2" w:rsidTr="00350537">
        <w:trPr>
          <w:gridAfter w:val="2"/>
          <w:wAfter w:w="287" w:type="dxa"/>
          <w:trHeight w:val="300"/>
        </w:trPr>
        <w:tc>
          <w:tcPr>
            <w:tcW w:w="2607" w:type="dxa"/>
            <w:gridSpan w:val="4"/>
            <w:tcBorders>
              <w:top w:val="nil"/>
              <w:left w:val="single" w:sz="8" w:space="0" w:color="auto"/>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Label</w:t>
            </w:r>
          </w:p>
        </w:tc>
        <w:tc>
          <w:tcPr>
            <w:tcW w:w="5252" w:type="dxa"/>
            <w:gridSpan w:val="4"/>
            <w:tcBorders>
              <w:top w:val="nil"/>
              <w:left w:val="nil"/>
              <w:bottom w:val="single" w:sz="4" w:space="0" w:color="auto"/>
              <w:right w:val="single" w:sz="4" w:space="0" w:color="auto"/>
            </w:tcBorders>
            <w:shd w:val="clear" w:color="auto" w:fill="auto"/>
            <w:tcMar>
              <w:left w:w="57" w:type="dxa"/>
            </w:tcMar>
            <w:vAlign w:val="center"/>
            <w:hideMark/>
          </w:tcPr>
          <w:p w:rsidR="00177B3C" w:rsidRPr="00E351D2" w:rsidRDefault="00177B3C" w:rsidP="00350537">
            <w:pPr>
              <w:rPr>
                <w:rFonts w:cs="Arial"/>
                <w:b/>
                <w:bCs/>
              </w:rPr>
            </w:pPr>
            <w:r w:rsidRPr="00E351D2">
              <w:rPr>
                <w:rFonts w:cs="Arial"/>
                <w:b/>
                <w:bCs/>
              </w:rPr>
              <w:t>Description</w:t>
            </w:r>
          </w:p>
        </w:tc>
        <w:tc>
          <w:tcPr>
            <w:tcW w:w="784" w:type="dxa"/>
            <w:gridSpan w:val="3"/>
            <w:tcBorders>
              <w:top w:val="nil"/>
              <w:left w:val="nil"/>
              <w:bottom w:val="single" w:sz="4" w:space="0" w:color="auto"/>
              <w:right w:val="single" w:sz="4" w:space="0" w:color="auto"/>
            </w:tcBorders>
            <w:shd w:val="clear" w:color="auto" w:fill="auto"/>
            <w:noWrap/>
            <w:tcMar>
              <w:left w:w="57" w:type="dxa"/>
            </w:tcMar>
            <w:vAlign w:val="center"/>
            <w:hideMark/>
          </w:tcPr>
          <w:p w:rsidR="00177B3C" w:rsidRPr="00E351D2" w:rsidRDefault="00177B3C" w:rsidP="00350537">
            <w:pPr>
              <w:jc w:val="center"/>
              <w:rPr>
                <w:rFonts w:cs="Arial"/>
                <w:b/>
                <w:bCs/>
              </w:rPr>
            </w:pPr>
            <w:r w:rsidRPr="00E351D2">
              <w:rPr>
                <w:rFonts w:cs="Arial"/>
                <w:b/>
                <w:bCs/>
              </w:rPr>
              <w:t>Waves</w:t>
            </w:r>
          </w:p>
        </w:tc>
      </w:tr>
      <w:tr w:rsidR="00177B3C" w:rsidRPr="00E351D2" w:rsidTr="00350537">
        <w:trPr>
          <w:gridAfter w:val="2"/>
          <w:wAfter w:w="287" w:type="dxa"/>
          <w:trHeight w:val="244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Job satisfaction</w:t>
            </w:r>
            <w:r w:rsidRPr="00E351D2">
              <w:rPr>
                <w:rFonts w:cs="Arial"/>
                <w:i/>
                <w:iCs/>
                <w:u w:val="single"/>
              </w:rPr>
              <w:br/>
            </w:r>
            <w:r w:rsidRPr="00E351D2">
              <w:rPr>
                <w:rFonts w:cs="Arial"/>
              </w:rPr>
              <w:t>Dissatisfied</w:t>
            </w:r>
            <w:r w:rsidRPr="00E351D2">
              <w:rPr>
                <w:rFonts w:cs="Arial"/>
              </w:rPr>
              <w:br/>
              <w:t>Neither satisfied</w:t>
            </w:r>
            <w:r>
              <w:rPr>
                <w:rFonts w:cs="Arial"/>
              </w:rPr>
              <w:t xml:space="preserve"> </w:t>
            </w:r>
            <w:r w:rsidRPr="00E351D2">
              <w:rPr>
                <w:rFonts w:cs="Arial"/>
              </w:rPr>
              <w:t>/dissatisfied</w:t>
            </w:r>
            <w:r w:rsidRPr="00E351D2">
              <w:rPr>
                <w:rFonts w:cs="Arial"/>
              </w:rPr>
              <w:br/>
              <w:t>Satisfied</w:t>
            </w:r>
            <w:r w:rsidRPr="00E351D2">
              <w:rPr>
                <w:rFonts w:cs="Arial"/>
              </w:rPr>
              <w:br/>
              <w:t>Completely satisfied</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Satisfaction with present job overall</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wJBSAT</w:t>
            </w:r>
            <w:proofErr w:type="spellEnd"/>
            <w:r w:rsidRPr="00E351D2">
              <w:rPr>
                <w:rFonts w:cs="Arial"/>
                <w:i/>
                <w:iCs/>
                <w:sz w:val="18"/>
                <w:szCs w:val="18"/>
              </w:rPr>
              <w:t>, recoded from the original 7-point scale as follows:</w:t>
            </w:r>
            <w:r w:rsidRPr="00E351D2">
              <w:rPr>
                <w:rFonts w:cs="Arial"/>
                <w:i/>
                <w:iCs/>
                <w:sz w:val="18"/>
                <w:szCs w:val="18"/>
              </w:rPr>
              <w:br/>
              <w:t>- 1/3 = Dissatisfied</w:t>
            </w:r>
            <w:r w:rsidRPr="00E351D2">
              <w:rPr>
                <w:rFonts w:cs="Arial"/>
                <w:i/>
                <w:iCs/>
                <w:sz w:val="18"/>
                <w:szCs w:val="18"/>
              </w:rPr>
              <w:br/>
              <w:t>- 4/5 = Neither satisfied nor dissatisfied</w:t>
            </w:r>
            <w:r w:rsidRPr="00E351D2">
              <w:rPr>
                <w:rFonts w:cs="Arial"/>
                <w:i/>
                <w:iCs/>
                <w:sz w:val="18"/>
                <w:szCs w:val="18"/>
              </w:rPr>
              <w:br/>
              <w:t>- 6 = Satisfied</w:t>
            </w:r>
            <w:r w:rsidRPr="00E351D2">
              <w:rPr>
                <w:rFonts w:cs="Arial"/>
                <w:i/>
                <w:iCs/>
                <w:sz w:val="18"/>
                <w:szCs w:val="18"/>
              </w:rPr>
              <w:br/>
              <w:t>- 7 = Completely satisfied</w:t>
            </w:r>
            <w:r w:rsidRPr="00E351D2">
              <w:rPr>
                <w:rFonts w:cs="Arial"/>
                <w:i/>
                <w:iCs/>
                <w:sz w:val="18"/>
                <w:szCs w:val="18"/>
              </w:rPr>
              <w:br/>
              <w:t>Note that the labelling of the response options changed during the lifetime of the BHPS, with significant effects on the distribution of the results (see ISER Working paper 2008-39).</w:t>
            </w:r>
          </w:p>
        </w:tc>
        <w:tc>
          <w:tcPr>
            <w:tcW w:w="784"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2"/>
          <w:wAfter w:w="287" w:type="dxa"/>
          <w:trHeight w:val="142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u w:val="single"/>
              </w:rPr>
            </w:pPr>
            <w:r w:rsidRPr="00E351D2">
              <w:rPr>
                <w:rFonts w:cs="Arial"/>
                <w:i/>
                <w:iCs/>
                <w:u w:val="single"/>
              </w:rPr>
              <w:t>Satisfaction with security</w:t>
            </w:r>
            <w:r w:rsidRPr="00E351D2">
              <w:rPr>
                <w:rFonts w:cs="Arial"/>
                <w:i/>
                <w:iCs/>
                <w:u w:val="single"/>
              </w:rPr>
              <w:br/>
            </w:r>
            <w:r w:rsidRPr="00E351D2">
              <w:rPr>
                <w:rFonts w:cs="Arial"/>
              </w:rPr>
              <w:t>Dissatisfied</w:t>
            </w:r>
            <w:r w:rsidRPr="00E351D2">
              <w:rPr>
                <w:rFonts w:cs="Arial"/>
              </w:rPr>
              <w:br/>
              <w:t>Neither satisfied</w:t>
            </w:r>
            <w:r>
              <w:rPr>
                <w:rFonts w:cs="Arial"/>
              </w:rPr>
              <w:t xml:space="preserve"> </w:t>
            </w:r>
            <w:r w:rsidRPr="00E351D2">
              <w:rPr>
                <w:rFonts w:cs="Arial"/>
              </w:rPr>
              <w:t>/dissatisfied</w:t>
            </w:r>
            <w:r w:rsidRPr="00E351D2">
              <w:rPr>
                <w:rFonts w:cs="Arial"/>
              </w:rPr>
              <w:br/>
              <w:t>Satisfied</w:t>
            </w:r>
            <w:r w:rsidRPr="00E351D2">
              <w:rPr>
                <w:rFonts w:cs="Arial"/>
              </w:rPr>
              <w:br/>
              <w:t>Completely satisfied</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Satisfaction with job security</w:t>
            </w:r>
            <w:r w:rsidRPr="00E351D2">
              <w:rPr>
                <w:rFonts w:cs="Arial"/>
              </w:rPr>
              <w:br/>
            </w:r>
            <w:r w:rsidRPr="00E351D2">
              <w:rPr>
                <w:rFonts w:cs="Arial"/>
                <w:i/>
                <w:iCs/>
                <w:sz w:val="18"/>
                <w:szCs w:val="18"/>
              </w:rPr>
              <w:t>Based on wJBSAT4, with same coding as job satisfaction</w:t>
            </w:r>
          </w:p>
        </w:tc>
        <w:tc>
          <w:tcPr>
            <w:tcW w:w="784"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2"/>
          <w:wAfter w:w="287" w:type="dxa"/>
          <w:trHeight w:val="148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u w:val="single"/>
              </w:rPr>
            </w:pPr>
            <w:r w:rsidRPr="00E351D2">
              <w:rPr>
                <w:rFonts w:cs="Arial"/>
                <w:i/>
                <w:iCs/>
                <w:u w:val="single"/>
              </w:rPr>
              <w:t>Satisfaction with pay</w:t>
            </w:r>
            <w:r w:rsidRPr="00E351D2">
              <w:rPr>
                <w:rFonts w:cs="Arial"/>
                <w:i/>
                <w:iCs/>
                <w:u w:val="single"/>
              </w:rPr>
              <w:br/>
            </w:r>
            <w:r w:rsidRPr="00E351D2">
              <w:rPr>
                <w:rFonts w:cs="Arial"/>
              </w:rPr>
              <w:t>Dissatisfied</w:t>
            </w:r>
            <w:r w:rsidRPr="00E351D2">
              <w:rPr>
                <w:rFonts w:cs="Arial"/>
              </w:rPr>
              <w:br/>
              <w:t>Neither satisfied</w:t>
            </w:r>
            <w:r>
              <w:rPr>
                <w:rFonts w:cs="Arial"/>
              </w:rPr>
              <w:t xml:space="preserve"> </w:t>
            </w:r>
            <w:r w:rsidRPr="00E351D2">
              <w:rPr>
                <w:rFonts w:cs="Arial"/>
              </w:rPr>
              <w:t>/dissatisfied</w:t>
            </w:r>
            <w:r w:rsidRPr="00E351D2">
              <w:rPr>
                <w:rFonts w:cs="Arial"/>
              </w:rPr>
              <w:br/>
              <w:t>Satisfied</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Satisfaction with relations with supervisor/manager</w:t>
            </w:r>
            <w:r w:rsidRPr="00E351D2">
              <w:rPr>
                <w:rFonts w:cs="Arial"/>
              </w:rPr>
              <w:br/>
            </w:r>
            <w:r w:rsidRPr="00E351D2">
              <w:rPr>
                <w:rFonts w:cs="Arial"/>
                <w:i/>
                <w:iCs/>
                <w:sz w:val="18"/>
                <w:szCs w:val="18"/>
              </w:rPr>
              <w:t>Based on wJBSAT2, recoded from the original 7-point scale as follows:</w:t>
            </w:r>
            <w:r w:rsidRPr="00E351D2">
              <w:rPr>
                <w:rFonts w:cs="Arial"/>
                <w:i/>
                <w:iCs/>
                <w:sz w:val="18"/>
                <w:szCs w:val="18"/>
              </w:rPr>
              <w:br/>
              <w:t>- 1/3 = Dissatisfied</w:t>
            </w:r>
            <w:r w:rsidRPr="00E351D2">
              <w:rPr>
                <w:rFonts w:cs="Arial"/>
                <w:i/>
                <w:iCs/>
                <w:sz w:val="18"/>
                <w:szCs w:val="18"/>
              </w:rPr>
              <w:br/>
              <w:t>- 4/5 = Neither satisfied nor dissatisfied</w:t>
            </w:r>
            <w:r w:rsidRPr="00E351D2">
              <w:rPr>
                <w:rFonts w:cs="Arial"/>
                <w:i/>
                <w:iCs/>
                <w:sz w:val="18"/>
                <w:szCs w:val="18"/>
              </w:rPr>
              <w:br/>
              <w:t>- 6/7 = Satisfied</w:t>
            </w:r>
          </w:p>
        </w:tc>
        <w:tc>
          <w:tcPr>
            <w:tcW w:w="784" w:type="dxa"/>
            <w:gridSpan w:val="3"/>
            <w:tcBorders>
              <w:top w:val="nil"/>
              <w:left w:val="nil"/>
              <w:bottom w:val="single" w:sz="4" w:space="0" w:color="auto"/>
              <w:right w:val="single" w:sz="4" w:space="0" w:color="auto"/>
            </w:tcBorders>
            <w:shd w:val="clear" w:color="auto" w:fill="EAEAEA"/>
            <w:noWrap/>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2"/>
          <w:wAfter w:w="287" w:type="dxa"/>
          <w:trHeight w:val="142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u w:val="single"/>
              </w:rPr>
            </w:pPr>
            <w:r w:rsidRPr="00E351D2">
              <w:rPr>
                <w:rFonts w:cs="Arial"/>
                <w:i/>
                <w:iCs/>
                <w:u w:val="single"/>
              </w:rPr>
              <w:lastRenderedPageBreak/>
              <w:t>Satisfaction with boss</w:t>
            </w:r>
            <w:r w:rsidRPr="00E351D2">
              <w:rPr>
                <w:rFonts w:cs="Arial"/>
                <w:i/>
                <w:iCs/>
                <w:u w:val="single"/>
              </w:rPr>
              <w:br/>
            </w:r>
            <w:r w:rsidRPr="00E351D2">
              <w:rPr>
                <w:rFonts w:cs="Arial"/>
              </w:rPr>
              <w:t>Dissatisfied</w:t>
            </w:r>
            <w:r w:rsidRPr="00E351D2">
              <w:rPr>
                <w:rFonts w:cs="Arial"/>
              </w:rPr>
              <w:br/>
              <w:t>Neither satisfied</w:t>
            </w:r>
            <w:r>
              <w:rPr>
                <w:rFonts w:cs="Arial"/>
              </w:rPr>
              <w:t xml:space="preserve"> </w:t>
            </w:r>
            <w:r w:rsidRPr="00E351D2">
              <w:rPr>
                <w:rFonts w:cs="Arial"/>
              </w:rPr>
              <w:t>/dissatisfied</w:t>
            </w:r>
            <w:r w:rsidRPr="00E351D2">
              <w:rPr>
                <w:rFonts w:cs="Arial"/>
              </w:rPr>
              <w:br/>
              <w:t>Satisfied</w:t>
            </w:r>
            <w:r w:rsidRPr="00E351D2">
              <w:rPr>
                <w:rFonts w:cs="Arial"/>
              </w:rPr>
              <w:br/>
              <w:t>Completely satisfied</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Satisfaction with relations with supervisor/manager</w:t>
            </w:r>
            <w:r w:rsidRPr="00E351D2">
              <w:rPr>
                <w:rFonts w:cs="Arial"/>
              </w:rPr>
              <w:br/>
            </w:r>
            <w:r w:rsidRPr="00E351D2">
              <w:rPr>
                <w:rFonts w:cs="Arial"/>
                <w:i/>
                <w:iCs/>
                <w:sz w:val="18"/>
                <w:szCs w:val="18"/>
              </w:rPr>
              <w:t>Based on wJBSAT3, with same coding as job satisfaction</w:t>
            </w:r>
          </w:p>
        </w:tc>
        <w:tc>
          <w:tcPr>
            <w:tcW w:w="784" w:type="dxa"/>
            <w:gridSpan w:val="3"/>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jc w:val="center"/>
              <w:rPr>
                <w:rFonts w:cs="Arial"/>
              </w:rPr>
            </w:pPr>
            <w:r w:rsidRPr="00E351D2">
              <w:rPr>
                <w:rFonts w:cs="Arial"/>
              </w:rPr>
              <w:t>1991-</w:t>
            </w:r>
            <w:r w:rsidRPr="00E351D2">
              <w:rPr>
                <w:rFonts w:cs="Arial"/>
              </w:rPr>
              <w:br/>
              <w:t>1997</w:t>
            </w:r>
          </w:p>
        </w:tc>
      </w:tr>
      <w:tr w:rsidR="00177B3C" w:rsidRPr="00E351D2" w:rsidTr="00350537">
        <w:trPr>
          <w:gridAfter w:val="2"/>
          <w:wAfter w:w="287" w:type="dxa"/>
          <w:trHeight w:val="142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i/>
                <w:iCs/>
                <w:u w:val="single"/>
              </w:rPr>
            </w:pPr>
            <w:r w:rsidRPr="00E351D2">
              <w:rPr>
                <w:rFonts w:cs="Arial"/>
                <w:i/>
                <w:iCs/>
                <w:u w:val="single"/>
              </w:rPr>
              <w:t>Satisfaction with initiative</w:t>
            </w:r>
            <w:r w:rsidRPr="00E351D2">
              <w:rPr>
                <w:rFonts w:cs="Arial"/>
              </w:rPr>
              <w:br/>
              <w:t>Dissatisfied</w:t>
            </w:r>
            <w:r w:rsidRPr="00E351D2">
              <w:rPr>
                <w:rFonts w:cs="Arial"/>
              </w:rPr>
              <w:br/>
              <w:t>Neither satisfied</w:t>
            </w:r>
            <w:r>
              <w:rPr>
                <w:rFonts w:cs="Arial"/>
              </w:rPr>
              <w:t xml:space="preserve"> </w:t>
            </w:r>
            <w:r w:rsidRPr="00E351D2">
              <w:rPr>
                <w:rFonts w:cs="Arial"/>
              </w:rPr>
              <w:t>/dissatisfied</w:t>
            </w:r>
            <w:r w:rsidRPr="00E351D2">
              <w:rPr>
                <w:rFonts w:cs="Arial"/>
              </w:rPr>
              <w:br/>
              <w:t>Satisfied</w:t>
            </w:r>
            <w:r w:rsidRPr="00E351D2">
              <w:rPr>
                <w:rFonts w:cs="Arial"/>
              </w:rPr>
              <w:br/>
              <w:t>Completely satisfied</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Satisfaction with being able to use own initiative</w:t>
            </w:r>
            <w:r w:rsidRPr="00E351D2">
              <w:rPr>
                <w:rFonts w:cs="Arial"/>
              </w:rPr>
              <w:br/>
            </w:r>
            <w:r w:rsidRPr="00E351D2">
              <w:rPr>
                <w:rFonts w:cs="Arial"/>
                <w:i/>
                <w:iCs/>
                <w:sz w:val="18"/>
                <w:szCs w:val="18"/>
              </w:rPr>
              <w:t>Based on wJBSAT5, with same coding as job satisfaction</w:t>
            </w:r>
          </w:p>
        </w:tc>
        <w:tc>
          <w:tcPr>
            <w:tcW w:w="784" w:type="dxa"/>
            <w:gridSpan w:val="3"/>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jc w:val="center"/>
              <w:rPr>
                <w:rFonts w:cs="Arial"/>
              </w:rPr>
            </w:pPr>
            <w:r w:rsidRPr="00E351D2">
              <w:rPr>
                <w:rFonts w:cs="Arial"/>
              </w:rPr>
              <w:t>1991-</w:t>
            </w:r>
            <w:r w:rsidRPr="00E351D2">
              <w:rPr>
                <w:rFonts w:cs="Arial"/>
              </w:rPr>
              <w:br/>
              <w:t>1997</w:t>
            </w:r>
          </w:p>
        </w:tc>
      </w:tr>
      <w:tr w:rsidR="00177B3C" w:rsidRPr="00E351D2" w:rsidTr="00350537">
        <w:trPr>
          <w:gridAfter w:val="2"/>
          <w:wAfter w:w="287" w:type="dxa"/>
          <w:trHeight w:val="100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Opportunities for promotion</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Whether has current opportunities for promotion</w:t>
            </w:r>
            <w:r w:rsidRPr="00E351D2">
              <w:rPr>
                <w:rFonts w:cs="Arial"/>
              </w:rPr>
              <w:br/>
            </w:r>
            <w:r w:rsidRPr="00E351D2">
              <w:rPr>
                <w:rFonts w:cs="Arial"/>
                <w:i/>
                <w:iCs/>
                <w:sz w:val="18"/>
                <w:szCs w:val="18"/>
              </w:rPr>
              <w:t xml:space="preserve">Based on </w:t>
            </w:r>
            <w:proofErr w:type="spellStart"/>
            <w:proofErr w:type="gramStart"/>
            <w:r w:rsidRPr="00E351D2">
              <w:rPr>
                <w:rFonts w:cs="Arial"/>
                <w:i/>
                <w:iCs/>
                <w:sz w:val="18"/>
                <w:szCs w:val="18"/>
              </w:rPr>
              <w:t>wJBOPPS</w:t>
            </w:r>
            <w:proofErr w:type="spellEnd"/>
            <w:r w:rsidRPr="00E351D2">
              <w:rPr>
                <w:rFonts w:cs="Arial"/>
                <w:i/>
                <w:iCs/>
                <w:sz w:val="18"/>
                <w:szCs w:val="18"/>
              </w:rPr>
              <w:t>.</w:t>
            </w:r>
            <w:proofErr w:type="gramEnd"/>
            <w:r w:rsidRPr="00E351D2">
              <w:rPr>
                <w:rFonts w:cs="Arial"/>
                <w:i/>
                <w:iCs/>
                <w:sz w:val="18"/>
                <w:szCs w:val="18"/>
              </w:rPr>
              <w:t xml:space="preserve">  Note that wasn't asked in 1992-1994 if respondent had not changed jobs since previous wave; response therefore copied from previous response</w:t>
            </w:r>
          </w:p>
        </w:tc>
        <w:tc>
          <w:tcPr>
            <w:tcW w:w="784" w:type="dxa"/>
            <w:gridSpan w:val="3"/>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jc w:val="center"/>
              <w:rPr>
                <w:rFonts w:cs="Arial"/>
              </w:rPr>
            </w:pPr>
            <w:r w:rsidRPr="00E351D2">
              <w:rPr>
                <w:rFonts w:cs="Arial"/>
              </w:rPr>
              <w:t>All</w:t>
            </w:r>
          </w:p>
        </w:tc>
      </w:tr>
      <w:tr w:rsidR="00177B3C" w:rsidRPr="00E351D2" w:rsidTr="00350537">
        <w:trPr>
          <w:gridAfter w:val="2"/>
          <w:wAfter w:w="287" w:type="dxa"/>
          <w:trHeight w:val="148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Self-reported class</w:t>
            </w:r>
            <w:r w:rsidRPr="00E351D2">
              <w:rPr>
                <w:rFonts w:cs="Arial"/>
                <w:i/>
                <w:iCs/>
                <w:u w:val="single"/>
              </w:rPr>
              <w:br/>
            </w:r>
            <w:r w:rsidRPr="00E351D2">
              <w:rPr>
                <w:rFonts w:cs="Arial"/>
              </w:rPr>
              <w:t>Working class</w:t>
            </w:r>
            <w:r w:rsidRPr="00E351D2">
              <w:rPr>
                <w:rFonts w:cs="Arial"/>
              </w:rPr>
              <w:br/>
              <w:t>Middle class</w:t>
            </w:r>
            <w:r w:rsidRPr="00E351D2">
              <w:rPr>
                <w:rFonts w:cs="Arial"/>
              </w:rPr>
              <w:br/>
              <w:t>Other</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Self-reported social class</w:t>
            </w:r>
            <w:r w:rsidRPr="00E351D2">
              <w:rPr>
                <w:rFonts w:cs="Arial"/>
              </w:rPr>
              <w:br/>
            </w:r>
            <w:r w:rsidRPr="00E351D2">
              <w:rPr>
                <w:rFonts w:cs="Arial"/>
                <w:i/>
                <w:iCs/>
                <w:sz w:val="18"/>
                <w:szCs w:val="18"/>
              </w:rPr>
              <w:t>Based on wOPCLS2, "which social class would you say you belong to?"  Responses recoded into working class (inc. lower/upper w/c), middle class (</w:t>
            </w:r>
            <w:proofErr w:type="spellStart"/>
            <w:r w:rsidRPr="00E351D2">
              <w:rPr>
                <w:rFonts w:cs="Arial"/>
                <w:i/>
                <w:iCs/>
                <w:sz w:val="18"/>
                <w:szCs w:val="18"/>
              </w:rPr>
              <w:t>inc</w:t>
            </w:r>
            <w:proofErr w:type="spellEnd"/>
            <w:r w:rsidRPr="00E351D2">
              <w:rPr>
                <w:rFonts w:cs="Arial"/>
                <w:i/>
                <w:iCs/>
                <w:sz w:val="18"/>
                <w:szCs w:val="18"/>
              </w:rPr>
              <w:t xml:space="preserve"> lower/upper m/c and upper class) and other (</w:t>
            </w:r>
            <w:proofErr w:type="spellStart"/>
            <w:r w:rsidRPr="00E351D2">
              <w:rPr>
                <w:rFonts w:cs="Arial"/>
                <w:i/>
                <w:iCs/>
                <w:sz w:val="18"/>
                <w:szCs w:val="18"/>
              </w:rPr>
              <w:t>inc</w:t>
            </w:r>
            <w:proofErr w:type="spellEnd"/>
            <w:r w:rsidRPr="00E351D2">
              <w:rPr>
                <w:rFonts w:cs="Arial"/>
                <w:i/>
                <w:iCs/>
                <w:sz w:val="18"/>
                <w:szCs w:val="18"/>
              </w:rPr>
              <w:t xml:space="preserve"> no particular class, refuses class category, other not class, and other)</w:t>
            </w:r>
          </w:p>
        </w:tc>
        <w:tc>
          <w:tcPr>
            <w:tcW w:w="784" w:type="dxa"/>
            <w:gridSpan w:val="3"/>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jc w:val="center"/>
              <w:rPr>
                <w:rFonts w:cs="Arial"/>
              </w:rPr>
            </w:pPr>
            <w:r w:rsidRPr="00E351D2">
              <w:rPr>
                <w:rFonts w:cs="Arial"/>
              </w:rPr>
              <w:t xml:space="preserve">1991, </w:t>
            </w:r>
            <w:r w:rsidRPr="00E351D2">
              <w:rPr>
                <w:rFonts w:cs="Arial"/>
              </w:rPr>
              <w:br/>
              <w:t xml:space="preserve">1996, </w:t>
            </w:r>
            <w:r w:rsidRPr="00E351D2">
              <w:rPr>
                <w:rFonts w:cs="Arial"/>
              </w:rPr>
              <w:br/>
              <w:t xml:space="preserve">2000, </w:t>
            </w:r>
            <w:r w:rsidRPr="00E351D2">
              <w:rPr>
                <w:rFonts w:cs="Arial"/>
              </w:rPr>
              <w:br/>
              <w:t>2005</w:t>
            </w:r>
          </w:p>
        </w:tc>
      </w:tr>
      <w:tr w:rsidR="00177B3C" w:rsidRPr="00E351D2" w:rsidTr="00350537">
        <w:trPr>
          <w:gridAfter w:val="2"/>
          <w:wAfter w:w="287" w:type="dxa"/>
          <w:trHeight w:val="2205"/>
        </w:trPr>
        <w:tc>
          <w:tcPr>
            <w:tcW w:w="2607" w:type="dxa"/>
            <w:gridSpan w:val="4"/>
            <w:tcBorders>
              <w:top w:val="nil"/>
              <w:left w:val="single" w:sz="8" w:space="0" w:color="auto"/>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i/>
                <w:iCs/>
                <w:u w:val="single"/>
              </w:rPr>
              <w:t>Value of work</w:t>
            </w:r>
            <w:r w:rsidRPr="00E351D2">
              <w:rPr>
                <w:rFonts w:cs="Arial"/>
                <w:i/>
                <w:iCs/>
                <w:u w:val="single"/>
              </w:rPr>
              <w:br/>
            </w:r>
            <w:r w:rsidRPr="00E351D2">
              <w:rPr>
                <w:rFonts w:cs="Arial"/>
              </w:rPr>
              <w:t>Not important</w:t>
            </w:r>
            <w:r w:rsidRPr="00E351D2">
              <w:rPr>
                <w:rFonts w:cs="Arial"/>
              </w:rPr>
              <w:br/>
              <w:t>Quite unimportant</w:t>
            </w:r>
            <w:r w:rsidRPr="00E351D2">
              <w:rPr>
                <w:rFonts w:cs="Arial"/>
              </w:rPr>
              <w:br/>
              <w:t>Quite important</w:t>
            </w:r>
            <w:r w:rsidRPr="00E351D2">
              <w:rPr>
                <w:rFonts w:cs="Arial"/>
              </w:rPr>
              <w:br/>
              <w:t>Very important</w:t>
            </w:r>
          </w:p>
        </w:tc>
        <w:tc>
          <w:tcPr>
            <w:tcW w:w="5252" w:type="dxa"/>
            <w:gridSpan w:val="4"/>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rPr>
                <w:rFonts w:cs="Arial"/>
              </w:rPr>
            </w:pPr>
            <w:r w:rsidRPr="00E351D2">
              <w:rPr>
                <w:rFonts w:cs="Arial"/>
              </w:rPr>
              <w:t>Importance of having a fulfilling job</w:t>
            </w:r>
            <w:r w:rsidRPr="00E351D2">
              <w:rPr>
                <w:rFonts w:cs="Arial"/>
              </w:rPr>
              <w:br/>
            </w:r>
            <w:r w:rsidRPr="00E351D2">
              <w:rPr>
                <w:rFonts w:cs="Arial"/>
                <w:i/>
                <w:iCs/>
                <w:sz w:val="18"/>
                <w:szCs w:val="18"/>
              </w:rPr>
              <w:t xml:space="preserve">Based on </w:t>
            </w:r>
            <w:proofErr w:type="spellStart"/>
            <w:r w:rsidRPr="00E351D2">
              <w:rPr>
                <w:rFonts w:cs="Arial"/>
                <w:i/>
                <w:iCs/>
                <w:sz w:val="18"/>
                <w:szCs w:val="18"/>
              </w:rPr>
              <w:t>wLFIMPD</w:t>
            </w:r>
            <w:proofErr w:type="spellEnd"/>
            <w:r w:rsidRPr="00E351D2">
              <w:rPr>
                <w:rFonts w:cs="Arial"/>
                <w:i/>
                <w:iCs/>
                <w:sz w:val="18"/>
                <w:szCs w:val="18"/>
              </w:rPr>
              <w:t>, with the 1-10 scale recoded into not important (1-4), quite unimportant (5-6), quite important (7-8) and very important (9-10).  Because this variable was not available at any baseline wave at which WLD was asked, respondents at all waves from 1998 onwards were given their last reported value of work score (for most respondents, this means the 1998 score in 1999-2002, and the 2003 score in 2004-6).</w:t>
            </w:r>
          </w:p>
        </w:tc>
        <w:tc>
          <w:tcPr>
            <w:tcW w:w="784" w:type="dxa"/>
            <w:gridSpan w:val="3"/>
            <w:tcBorders>
              <w:top w:val="nil"/>
              <w:left w:val="nil"/>
              <w:bottom w:val="single" w:sz="4" w:space="0" w:color="auto"/>
              <w:right w:val="single" w:sz="4" w:space="0" w:color="auto"/>
            </w:tcBorders>
            <w:shd w:val="clear" w:color="auto" w:fill="EAEAEA"/>
            <w:tcMar>
              <w:left w:w="57" w:type="dxa"/>
            </w:tcMar>
            <w:vAlign w:val="center"/>
            <w:hideMark/>
          </w:tcPr>
          <w:p w:rsidR="00177B3C" w:rsidRPr="00E351D2" w:rsidRDefault="00177B3C" w:rsidP="00350537">
            <w:pPr>
              <w:jc w:val="center"/>
              <w:rPr>
                <w:rFonts w:cs="Arial"/>
              </w:rPr>
            </w:pPr>
            <w:r w:rsidRPr="00E351D2">
              <w:rPr>
                <w:rFonts w:cs="Arial"/>
              </w:rPr>
              <w:t xml:space="preserve">1998, </w:t>
            </w:r>
            <w:r w:rsidRPr="00E351D2">
              <w:rPr>
                <w:rFonts w:cs="Arial"/>
              </w:rPr>
              <w:br/>
              <w:t xml:space="preserve">2003, </w:t>
            </w:r>
            <w:r w:rsidRPr="00E351D2">
              <w:rPr>
                <w:rFonts w:cs="Arial"/>
              </w:rPr>
              <w:br/>
              <w:t>2008</w:t>
            </w:r>
          </w:p>
        </w:tc>
      </w:tr>
    </w:tbl>
    <w:p w:rsidR="00177B3C" w:rsidRDefault="00177B3C" w:rsidP="00177B3C"/>
    <w:p w:rsidR="00177B3C" w:rsidRDefault="00177B3C" w:rsidP="00177B3C">
      <w:pPr>
        <w:rPr>
          <w:rFonts w:eastAsiaTheme="majorEastAsia" w:cstheme="majorBidi"/>
          <w:b/>
          <w:bCs/>
          <w:color w:val="4F81BD" w:themeColor="accent1"/>
        </w:rPr>
      </w:pPr>
      <w:r>
        <w:br w:type="page"/>
      </w:r>
    </w:p>
    <w:p w:rsidR="00177B3C" w:rsidRDefault="00177B3C" w:rsidP="00177B3C">
      <w:pPr>
        <w:pStyle w:val="Heading3"/>
      </w:pPr>
      <w:r>
        <w:lastRenderedPageBreak/>
        <w:t>Descriptive statistics for main control variables</w:t>
      </w:r>
    </w:p>
    <w:tbl>
      <w:tblPr>
        <w:tblW w:w="8496" w:type="dxa"/>
        <w:tblInd w:w="94" w:type="dxa"/>
        <w:tblLook w:val="04A0" w:firstRow="1" w:lastRow="0" w:firstColumn="1" w:lastColumn="0" w:noHBand="0" w:noVBand="1"/>
      </w:tblPr>
      <w:tblGrid>
        <w:gridCol w:w="3600"/>
        <w:gridCol w:w="764"/>
        <w:gridCol w:w="3368"/>
        <w:gridCol w:w="764"/>
      </w:tblGrid>
      <w:tr w:rsidR="00177B3C" w:rsidRPr="00A75F07" w:rsidTr="00350537">
        <w:trPr>
          <w:trHeight w:val="300"/>
        </w:trPr>
        <w:tc>
          <w:tcPr>
            <w:tcW w:w="8496" w:type="dxa"/>
            <w:gridSpan w:val="4"/>
            <w:tcBorders>
              <w:top w:val="single" w:sz="4" w:space="0" w:color="auto"/>
              <w:left w:val="single" w:sz="4" w:space="0" w:color="auto"/>
              <w:bottom w:val="single" w:sz="4" w:space="0" w:color="auto"/>
              <w:right w:val="single" w:sz="4" w:space="0" w:color="000000"/>
            </w:tcBorders>
            <w:shd w:val="clear" w:color="000000" w:fill="7F7F7F"/>
            <w:noWrap/>
            <w:vAlign w:val="bottom"/>
            <w:hideMark/>
          </w:tcPr>
          <w:p w:rsidR="00177B3C" w:rsidRPr="00A75F07" w:rsidRDefault="00177B3C" w:rsidP="00350537">
            <w:pPr>
              <w:spacing w:after="0" w:line="240" w:lineRule="auto"/>
              <w:jc w:val="center"/>
              <w:rPr>
                <w:rFonts w:ascii="Calibri" w:eastAsia="Times New Roman" w:hAnsi="Calibri" w:cs="Times New Roman"/>
                <w:b/>
                <w:bCs/>
                <w:color w:val="FFFFFF"/>
                <w:lang w:eastAsia="en-GB"/>
              </w:rPr>
            </w:pPr>
            <w:r w:rsidRPr="00A75F07">
              <w:rPr>
                <w:rFonts w:ascii="Calibri" w:eastAsia="Times New Roman" w:hAnsi="Calibri" w:cs="Times New Roman"/>
                <w:b/>
                <w:bCs/>
                <w:color w:val="FFFFFF"/>
                <w:lang w:eastAsia="en-GB"/>
              </w:rPr>
              <w:t>Sociodemographic controls</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Age group</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Region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&gt;20-24</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14.1%</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&gt;North-East</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&gt;25-29</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15.7%</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&gt;North-West</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10.7%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&gt;30-34</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15.9%</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w:t>
            </w:r>
            <w:proofErr w:type="spellStart"/>
            <w:r w:rsidRPr="00A75F07">
              <w:rPr>
                <w:rFonts w:ascii="Calibri" w:eastAsia="Times New Roman" w:hAnsi="Calibri" w:cs="Times New Roman"/>
                <w:color w:val="000000"/>
                <w:lang w:eastAsia="en-GB"/>
              </w:rPr>
              <w:t>Yorkshire&amp;Humber</w:t>
            </w:r>
            <w:proofErr w:type="spellEnd"/>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8.1%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&gt;35-39</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14.0%</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&gt;East Midlands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7.6%</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&gt;40-44</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12.3%</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&gt;West Midlands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7.5%</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&gt;45-49</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9.8%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&gt;East of England</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7.9%</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&gt;50-54</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6.3%</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&gt;London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7.7%</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&gt;55-59</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1.5%</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&gt;South-East</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12.3%</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Male</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49.6%</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&gt;South-West</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Marital status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&gt;Wales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11.1%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&gt;Married</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61.0%</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&gt;Scotland</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15.3%</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&gt;Separated/divorced/widowed</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11.9%</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Maximum qualifications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&gt;Never married</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27.1%</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&gt;No qualifications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11.1%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Number of children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&gt;Level 1</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4.3%</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&gt;0</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58.8%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&gt;Level 2</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22.4%</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&gt;1</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17.9%</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&gt;Level 3</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14.5%</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&gt;2</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17.8%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&gt;Level 4 - other</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31.0%</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&gt;3+</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5.5%</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&gt;Level 4 - degree</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16.7%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Tenure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Black / ethnic minority</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&gt;Owns home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81.1%</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Partner in household</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75.4%</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&gt;Social housing</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10.9%</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Partner's IB receipt</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2.5%</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&gt;Other rented</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8.0%</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Partner is employed</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64.0%</w:t>
            </w:r>
          </w:p>
        </w:tc>
      </w:tr>
      <w:tr w:rsidR="00177B3C" w:rsidRPr="00A75F07" w:rsidTr="00350537">
        <w:trPr>
          <w:trHeight w:val="300"/>
        </w:trPr>
        <w:tc>
          <w:tcPr>
            <w:tcW w:w="8496" w:type="dxa"/>
            <w:gridSpan w:val="4"/>
            <w:tcBorders>
              <w:top w:val="single" w:sz="4" w:space="0" w:color="auto"/>
              <w:left w:val="single" w:sz="4" w:space="0" w:color="auto"/>
              <w:bottom w:val="single" w:sz="4" w:space="0" w:color="auto"/>
              <w:right w:val="single" w:sz="4" w:space="0" w:color="000000"/>
            </w:tcBorders>
            <w:shd w:val="clear" w:color="000000" w:fill="7F7F7F"/>
            <w:noWrap/>
            <w:vAlign w:val="bottom"/>
            <w:hideMark/>
          </w:tcPr>
          <w:p w:rsidR="00177B3C" w:rsidRPr="00A75F07" w:rsidRDefault="00177B3C" w:rsidP="00350537">
            <w:pPr>
              <w:spacing w:after="0" w:line="240" w:lineRule="auto"/>
              <w:jc w:val="center"/>
              <w:rPr>
                <w:rFonts w:ascii="Calibri" w:eastAsia="Times New Roman" w:hAnsi="Calibri" w:cs="Times New Roman"/>
                <w:b/>
                <w:bCs/>
                <w:color w:val="FFFFFF"/>
                <w:lang w:eastAsia="en-GB"/>
              </w:rPr>
            </w:pPr>
            <w:r w:rsidRPr="00A75F07">
              <w:rPr>
                <w:rFonts w:ascii="Calibri" w:eastAsia="Times New Roman" w:hAnsi="Calibri" w:cs="Times New Roman"/>
                <w:b/>
                <w:bCs/>
                <w:color w:val="FFFFFF"/>
                <w:lang w:eastAsia="en-GB"/>
              </w:rPr>
              <w:t>Health controls</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Musculoskeletal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17.4%</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Anxiety/depression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4.9%</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Vision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2.2%</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Addiction problems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0.2%</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Hearing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4.1%</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Other health problem</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Allergy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12.7%</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Limitations for housework</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1.3%</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Breathing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9.6%</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Limitations climbing stairs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Heart problem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6.6%</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Limitations getting dressed</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0.3%</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Digestive problems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5.1%</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Limitations walking &gt;10mins</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1.2%</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Diabetes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1.5%</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Hospitalised in past year</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5.8%</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Epilepsy</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0.6%</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xml:space="preserve">GHQ </w:t>
            </w:r>
            <w:proofErr w:type="spellStart"/>
            <w:r w:rsidRPr="00A75F07">
              <w:rPr>
                <w:rFonts w:ascii="Calibri" w:eastAsia="Times New Roman" w:hAnsi="Calibri" w:cs="Times New Roman"/>
                <w:color w:val="000000"/>
                <w:lang w:eastAsia="en-GB"/>
              </w:rPr>
              <w:t>Caseness</w:t>
            </w:r>
            <w:proofErr w:type="spellEnd"/>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23.4%</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Migraine</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8.9%</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r>
    </w:tbl>
    <w:p w:rsidR="00177B3C" w:rsidRDefault="00177B3C" w:rsidP="00177B3C">
      <w:r>
        <w:br w:type="page"/>
      </w:r>
    </w:p>
    <w:tbl>
      <w:tblPr>
        <w:tblW w:w="8496" w:type="dxa"/>
        <w:tblInd w:w="94" w:type="dxa"/>
        <w:tblLook w:val="04A0" w:firstRow="1" w:lastRow="0" w:firstColumn="1" w:lastColumn="0" w:noHBand="0" w:noVBand="1"/>
      </w:tblPr>
      <w:tblGrid>
        <w:gridCol w:w="3600"/>
        <w:gridCol w:w="764"/>
        <w:gridCol w:w="3368"/>
        <w:gridCol w:w="764"/>
      </w:tblGrid>
      <w:tr w:rsidR="00177B3C" w:rsidRPr="00A75F07" w:rsidTr="00350537">
        <w:trPr>
          <w:trHeight w:val="300"/>
        </w:trPr>
        <w:tc>
          <w:tcPr>
            <w:tcW w:w="8496" w:type="dxa"/>
            <w:gridSpan w:val="4"/>
            <w:tcBorders>
              <w:top w:val="single" w:sz="4" w:space="0" w:color="auto"/>
              <w:left w:val="single" w:sz="4" w:space="0" w:color="auto"/>
              <w:bottom w:val="single" w:sz="4" w:space="0" w:color="auto"/>
              <w:right w:val="single" w:sz="4" w:space="0" w:color="000000"/>
            </w:tcBorders>
            <w:shd w:val="clear" w:color="000000" w:fill="7F7F7F"/>
            <w:noWrap/>
            <w:vAlign w:val="bottom"/>
            <w:hideMark/>
          </w:tcPr>
          <w:p w:rsidR="00177B3C" w:rsidRPr="00A75F07" w:rsidRDefault="00177B3C" w:rsidP="00350537">
            <w:pPr>
              <w:spacing w:after="0" w:line="240" w:lineRule="auto"/>
              <w:jc w:val="center"/>
              <w:rPr>
                <w:rFonts w:ascii="Calibri" w:eastAsia="Times New Roman" w:hAnsi="Calibri" w:cs="Times New Roman"/>
                <w:b/>
                <w:bCs/>
                <w:color w:val="FFFFFF"/>
                <w:lang w:eastAsia="en-GB"/>
              </w:rPr>
            </w:pPr>
            <w:r w:rsidRPr="00A75F07">
              <w:rPr>
                <w:rFonts w:ascii="Calibri" w:eastAsia="Times New Roman" w:hAnsi="Calibri" w:cs="Times New Roman"/>
                <w:b/>
                <w:bCs/>
                <w:color w:val="FFFFFF"/>
                <w:lang w:eastAsia="en-GB"/>
              </w:rPr>
              <w:lastRenderedPageBreak/>
              <w:t>Work controls</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Sector</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Industry</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&gt;Private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67.5%</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&gt;Agric., Hunting and Forestry</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0.9%</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&gt;Public</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28.8%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&gt;Mining and Quarrying</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0.5%</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w:t>
            </w:r>
            <w:proofErr w:type="spellStart"/>
            <w:r w:rsidRPr="00A75F07">
              <w:rPr>
                <w:rFonts w:ascii="Calibri" w:eastAsia="Times New Roman" w:hAnsi="Calibri" w:cs="Times New Roman"/>
                <w:i/>
                <w:iCs/>
                <w:color w:val="000000"/>
                <w:lang w:eastAsia="en-GB"/>
              </w:rPr>
              <w:t>Nonprofit</w:t>
            </w:r>
            <w:proofErr w:type="spellEnd"/>
            <w:r w:rsidRPr="00A75F07">
              <w:rPr>
                <w:rFonts w:ascii="Calibri" w:eastAsia="Times New Roman" w:hAnsi="Calibri" w:cs="Times New Roman"/>
                <w:i/>
                <w:iCs/>
                <w:color w:val="000000"/>
                <w:lang w:eastAsia="en-GB"/>
              </w:rPr>
              <w:t>/other</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3.7%</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&gt;Manufacturing</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20.4%</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Temporary job</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&gt;Electricity/Gas/Water</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Size of workplace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&gt;Construction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4.0%</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&gt;Small</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46.3%</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&gt;Wholesale and Retail Trade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13.7%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&gt;Medium</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22.7%</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&gt;Hotels and Restaurants</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3.5%</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&gt;Large</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31.1%</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&gt;Transport &amp; Storage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6.1%</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Hours of work</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 </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&gt;Financial Intermediation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5.8%</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 xml:space="preserve">&gt; Less than 16 </w:t>
            </w:r>
            <w:proofErr w:type="spellStart"/>
            <w:r w:rsidRPr="00A75F07">
              <w:rPr>
                <w:rFonts w:ascii="Calibri" w:eastAsia="Times New Roman" w:hAnsi="Calibri" w:cs="Times New Roman"/>
                <w:i/>
                <w:iCs/>
                <w:color w:val="000000"/>
                <w:lang w:eastAsia="en-GB"/>
              </w:rPr>
              <w:t>hrs</w:t>
            </w:r>
            <w:proofErr w:type="spellEnd"/>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5.8%</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&gt;Real Estate</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9.4%</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 xml:space="preserve">&gt;16-29 </w:t>
            </w:r>
            <w:proofErr w:type="spellStart"/>
            <w:r w:rsidRPr="00A75F07">
              <w:rPr>
                <w:rFonts w:ascii="Calibri" w:eastAsia="Times New Roman" w:hAnsi="Calibri" w:cs="Times New Roman"/>
                <w:i/>
                <w:iCs/>
                <w:color w:val="000000"/>
                <w:lang w:eastAsia="en-GB"/>
              </w:rPr>
              <w:t>hrs</w:t>
            </w:r>
            <w:proofErr w:type="spellEnd"/>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13.0%</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&gt;Public Administration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8.7%</w:t>
            </w:r>
          </w:p>
        </w:tc>
      </w:tr>
      <w:tr w:rsidR="00177B3C" w:rsidRPr="00A75F07" w:rsidTr="00350537">
        <w:trPr>
          <w:trHeight w:val="300"/>
        </w:trPr>
        <w:tc>
          <w:tcPr>
            <w:tcW w:w="3600" w:type="dxa"/>
            <w:tcBorders>
              <w:top w:val="nil"/>
              <w:left w:val="single" w:sz="4" w:space="0" w:color="auto"/>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 xml:space="preserve">&gt;30-45 </w:t>
            </w:r>
            <w:proofErr w:type="spellStart"/>
            <w:r w:rsidRPr="00A75F07">
              <w:rPr>
                <w:rFonts w:ascii="Calibri" w:eastAsia="Times New Roman" w:hAnsi="Calibri" w:cs="Times New Roman"/>
                <w:i/>
                <w:iCs/>
                <w:color w:val="000000"/>
                <w:lang w:eastAsia="en-GB"/>
              </w:rPr>
              <w:t>hrs</w:t>
            </w:r>
            <w:proofErr w:type="spellEnd"/>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57.0%</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&gt;Education</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9.6%</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 xml:space="preserve">&gt; 45+ </w:t>
            </w:r>
            <w:proofErr w:type="spellStart"/>
            <w:r w:rsidRPr="00A75F07">
              <w:rPr>
                <w:rFonts w:ascii="Calibri" w:eastAsia="Times New Roman" w:hAnsi="Calibri" w:cs="Times New Roman"/>
                <w:i/>
                <w:iCs/>
                <w:color w:val="000000"/>
                <w:lang w:eastAsia="en-GB"/>
              </w:rPr>
              <w:t>hrs</w:t>
            </w:r>
            <w:proofErr w:type="spellEnd"/>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24.2%</w:t>
            </w:r>
          </w:p>
        </w:tc>
        <w:tc>
          <w:tcPr>
            <w:tcW w:w="3368" w:type="dxa"/>
            <w:tcBorders>
              <w:top w:val="nil"/>
              <w:left w:val="nil"/>
              <w:bottom w:val="nil"/>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&gt;Health and Social Work</w:t>
            </w:r>
          </w:p>
        </w:tc>
        <w:tc>
          <w:tcPr>
            <w:tcW w:w="764" w:type="dxa"/>
            <w:tcBorders>
              <w:top w:val="nil"/>
              <w:left w:val="nil"/>
              <w:bottom w:val="nil"/>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12.6%</w:t>
            </w:r>
          </w:p>
        </w:tc>
      </w:tr>
      <w:tr w:rsidR="00177B3C" w:rsidRPr="00A75F07" w:rsidTr="00350537">
        <w:trPr>
          <w:trHeight w:val="300"/>
        </w:trPr>
        <w:tc>
          <w:tcPr>
            <w:tcW w:w="3600" w:type="dxa"/>
            <w:tcBorders>
              <w:top w:val="nil"/>
              <w:left w:val="single" w:sz="4" w:space="0" w:color="auto"/>
              <w:bottom w:val="single" w:sz="4" w:space="0" w:color="auto"/>
              <w:right w:val="nil"/>
            </w:tcBorders>
            <w:shd w:val="clear" w:color="auto" w:fill="auto"/>
            <w:noWrap/>
            <w:vAlign w:val="bottom"/>
            <w:hideMark/>
          </w:tcPr>
          <w:p w:rsidR="00177B3C" w:rsidRPr="00A75F07" w:rsidRDefault="00177B3C" w:rsidP="00350537">
            <w:pPr>
              <w:spacing w:after="0" w:line="240" w:lineRule="auto"/>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Occupational pension</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54.9%</w:t>
            </w:r>
          </w:p>
        </w:tc>
        <w:tc>
          <w:tcPr>
            <w:tcW w:w="3368" w:type="dxa"/>
            <w:tcBorders>
              <w:top w:val="nil"/>
              <w:left w:val="nil"/>
              <w:bottom w:val="single" w:sz="4" w:space="0" w:color="auto"/>
              <w:right w:val="nil"/>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i/>
                <w:iCs/>
                <w:color w:val="000000"/>
                <w:lang w:eastAsia="en-GB"/>
              </w:rPr>
            </w:pPr>
            <w:r w:rsidRPr="00A75F07">
              <w:rPr>
                <w:rFonts w:ascii="Calibri" w:eastAsia="Times New Roman" w:hAnsi="Calibri" w:cs="Times New Roman"/>
                <w:i/>
                <w:iCs/>
                <w:color w:val="000000"/>
                <w:lang w:eastAsia="en-GB"/>
              </w:rPr>
              <w:t>&gt;Other Comm./Social/Pers.</w:t>
            </w:r>
          </w:p>
        </w:tc>
        <w:tc>
          <w:tcPr>
            <w:tcW w:w="764" w:type="dxa"/>
            <w:tcBorders>
              <w:top w:val="nil"/>
              <w:left w:val="nil"/>
              <w:bottom w:val="single" w:sz="4" w:space="0" w:color="auto"/>
              <w:right w:val="single" w:sz="4" w:space="0" w:color="auto"/>
            </w:tcBorders>
            <w:shd w:val="clear" w:color="auto" w:fill="auto"/>
            <w:noWrap/>
            <w:vAlign w:val="bottom"/>
            <w:hideMark/>
          </w:tcPr>
          <w:p w:rsidR="00177B3C" w:rsidRPr="00A75F07" w:rsidRDefault="00177B3C" w:rsidP="00350537">
            <w:pPr>
              <w:spacing w:after="0" w:line="240" w:lineRule="auto"/>
              <w:jc w:val="right"/>
              <w:rPr>
                <w:rFonts w:ascii="Calibri" w:eastAsia="Times New Roman" w:hAnsi="Calibri" w:cs="Times New Roman"/>
                <w:color w:val="000000"/>
                <w:lang w:eastAsia="en-GB"/>
              </w:rPr>
            </w:pPr>
            <w:r w:rsidRPr="00A75F07">
              <w:rPr>
                <w:rFonts w:ascii="Calibri" w:eastAsia="Times New Roman" w:hAnsi="Calibri" w:cs="Times New Roman"/>
                <w:color w:val="000000"/>
                <w:lang w:eastAsia="en-GB"/>
              </w:rPr>
              <w:t>3.7%</w:t>
            </w:r>
          </w:p>
        </w:tc>
      </w:tr>
    </w:tbl>
    <w:p w:rsidR="00177B3C" w:rsidRDefault="00177B3C" w:rsidP="00177B3C"/>
    <w:p w:rsidR="00177B3C" w:rsidRDefault="00177B3C" w:rsidP="00177B3C">
      <w:pPr>
        <w:pStyle w:val="Heading3"/>
      </w:pPr>
      <w:r>
        <w:t>Estimated effects of control variables on incapacity receipt</w:t>
      </w:r>
    </w:p>
    <w:p w:rsidR="00177B3C" w:rsidRDefault="00177B3C" w:rsidP="00177B3C">
      <w:r>
        <w:t>For reasons of space, the full tables of coefficients for the final model (Model 7 in Table 2) are not included in the main paper, but are instead reproduced below</w:t>
      </w:r>
    </w:p>
    <w:tbl>
      <w:tblPr>
        <w:tblW w:w="8240" w:type="dxa"/>
        <w:jc w:val="center"/>
        <w:tblLook w:val="04A0" w:firstRow="1" w:lastRow="0" w:firstColumn="1" w:lastColumn="0" w:noHBand="0" w:noVBand="1"/>
      </w:tblPr>
      <w:tblGrid>
        <w:gridCol w:w="6754"/>
        <w:gridCol w:w="1486"/>
      </w:tblGrid>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b/>
                <w:color w:val="000000"/>
                <w:lang w:eastAsia="en-GB"/>
              </w:rPr>
            </w:pPr>
            <w:r w:rsidRPr="00D517A9">
              <w:rPr>
                <w:rFonts w:ascii="Calibri" w:eastAsia="Times New Roman" w:hAnsi="Calibri" w:cs="Times New Roman"/>
                <w:b/>
                <w:color w:val="000000"/>
                <w:lang w:eastAsia="en-GB"/>
              </w:rPr>
              <w:t>Odds Ratio</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Low control (base)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Moderate control</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 control</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Low demands (base)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Moderate demands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1.15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 demands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0.93</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Low physicality (base)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Moderate physicality</w:t>
            </w:r>
          </w:p>
        </w:tc>
        <w:tc>
          <w:tcPr>
            <w:tcW w:w="1486"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1.61**</w:t>
            </w:r>
          </w:p>
        </w:tc>
      </w:tr>
      <w:tr w:rsidR="00177B3C" w:rsidRPr="00D517A9" w:rsidTr="00350537">
        <w:trPr>
          <w:trHeight w:val="300"/>
          <w:jc w:val="center"/>
        </w:trPr>
        <w:tc>
          <w:tcPr>
            <w:tcW w:w="6754"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 physicality</w:t>
            </w:r>
          </w:p>
        </w:tc>
        <w:tc>
          <w:tcPr>
            <w:tcW w:w="1486"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1.70**</w:t>
            </w:r>
          </w:p>
        </w:tc>
      </w:tr>
      <w:tr w:rsidR="00177B3C" w:rsidRPr="00D517A9" w:rsidTr="00350537">
        <w:trPr>
          <w:trHeight w:val="300"/>
          <w:jc w:val="center"/>
        </w:trPr>
        <w:tc>
          <w:tcPr>
            <w:tcW w:w="6754"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Receipt of incapacity benefits in past year</w:t>
            </w:r>
            <w:r>
              <w:rPr>
                <w:rFonts w:ascii="Calibri" w:eastAsia="Times New Roman" w:hAnsi="Calibri" w:cs="Times New Roman"/>
                <w:color w:val="000000"/>
                <w:lang w:eastAsia="en-GB"/>
              </w:rPr>
              <w:t xml:space="preserve"> at baseline</w:t>
            </w:r>
          </w:p>
        </w:tc>
        <w:tc>
          <w:tcPr>
            <w:tcW w:w="1486"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11.52***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18-24</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25-29</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30-34</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35-39</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40-44</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45-49</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50-54</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55-59</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1.45+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Age: 60-64</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1.84*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Sex: female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Marital status: married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Marital status: separated/widowed/divorced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Marital status: never married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Number of own children in household: 0</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lastRenderedPageBreak/>
              <w:t>Number of own children in household: 1</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Number of own children in household: 2</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0.58**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Number of own children in household: 3+</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North-East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3.25***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North-West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2.25**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Yorkshire &amp; Humber</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1.44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East Midlands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1.77*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West Midlands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1.38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East of England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London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South-East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South-West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1.17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Wales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2.29**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Region: Scotland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1.76*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Ethnic minority</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1.31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1991b.wave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1992.wave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0.93</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1993.wave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1994.wave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1995.wave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0.59*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1996.wave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0.63*</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1997.wave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0.35***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1998.wave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0.58*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2000.wave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0.42***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2001.wave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0.42***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2002.wave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0.36***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2003.wave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0.38***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2005.wave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0.30***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2006.wave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0.20***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arms, legs, hands, etc</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1.88***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sight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hearing</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skin conditions/allergy</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chest/breathing</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1.30+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heart/blood pressure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1.46**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stomach or digestion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diabetes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1.59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anxiety, depression, et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alcohol or drugs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2.3</w:t>
            </w:r>
            <w:r>
              <w:rPr>
                <w:rFonts w:ascii="Calibri" w:eastAsia="Times New Roman" w:hAnsi="Calibri" w:cs="Times New Roman"/>
                <w:color w:val="000000"/>
                <w:lang w:eastAsia="en-GB"/>
              </w:rPr>
              <w:t>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epilepsy</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migraine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problems: other</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2.03***</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hinders doing the housework</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1.80*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hinders climbing the stairs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health hinders getting dressed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health hinders walking more than 10 </w:t>
            </w:r>
            <w:proofErr w:type="spellStart"/>
            <w:r w:rsidRPr="00D517A9">
              <w:rPr>
                <w:rFonts w:ascii="Calibri" w:eastAsia="Times New Roman" w:hAnsi="Calibri" w:cs="Times New Roman"/>
                <w:color w:val="000000"/>
                <w:lang w:eastAsia="en-GB"/>
              </w:rPr>
              <w:t>mins</w:t>
            </w:r>
            <w:proofErr w:type="spellEnd"/>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2.75***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lastRenderedPageBreak/>
              <w:t xml:space="preserve">Hospital inpatient in past year </w:t>
            </w:r>
            <w:proofErr w:type="spellStart"/>
            <w:r w:rsidRPr="00D517A9">
              <w:rPr>
                <w:rFonts w:ascii="Calibri" w:eastAsia="Times New Roman" w:hAnsi="Calibri" w:cs="Times New Roman"/>
                <w:color w:val="000000"/>
                <w:lang w:eastAsia="en-GB"/>
              </w:rPr>
              <w:t>exc</w:t>
            </w:r>
            <w:proofErr w:type="spellEnd"/>
            <w:r w:rsidRPr="00D517A9">
              <w:rPr>
                <w:rFonts w:ascii="Calibri" w:eastAsia="Times New Roman" w:hAnsi="Calibri" w:cs="Times New Roman"/>
                <w:color w:val="000000"/>
                <w:lang w:eastAsia="en-GB"/>
              </w:rPr>
              <w:t xml:space="preserve"> childbirth</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1.96***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GHQ </w:t>
            </w:r>
            <w:proofErr w:type="spellStart"/>
            <w:r w:rsidRPr="00D517A9">
              <w:rPr>
                <w:rFonts w:ascii="Calibri" w:eastAsia="Times New Roman" w:hAnsi="Calibri" w:cs="Times New Roman"/>
                <w:color w:val="000000"/>
                <w:lang w:eastAsia="en-GB"/>
              </w:rPr>
              <w:t>caseness</w:t>
            </w:r>
            <w:proofErr w:type="spellEnd"/>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1.89***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Usual hours of work: &lt;16hrs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Usual hours of work: 16-29hrs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Usual hours of work: 30-45 hours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Usual hours of work: 45+ hours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Member of occupational pension scheme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w:t>
            </w:r>
            <w:r>
              <w:rPr>
                <w:rFonts w:ascii="Calibri" w:eastAsia="Times New Roman" w:hAnsi="Calibri" w:cs="Times New Roman"/>
                <w:color w:val="000000"/>
                <w:lang w:eastAsia="en-GB"/>
              </w:rPr>
              <w:t>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Sector: private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Sector: public</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1.18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Sector: </w:t>
            </w:r>
            <w:proofErr w:type="spellStart"/>
            <w:r w:rsidRPr="00D517A9">
              <w:rPr>
                <w:rFonts w:ascii="Calibri" w:eastAsia="Times New Roman" w:hAnsi="Calibri" w:cs="Times New Roman"/>
                <w:color w:val="000000"/>
                <w:lang w:eastAsia="en-GB"/>
              </w:rPr>
              <w:t>nonprofit</w:t>
            </w:r>
            <w:proofErr w:type="spellEnd"/>
            <w:r w:rsidRPr="00D517A9">
              <w:rPr>
                <w:rFonts w:ascii="Calibri" w:eastAsia="Times New Roman" w:hAnsi="Calibri" w:cs="Times New Roman"/>
                <w:color w:val="000000"/>
                <w:lang w:eastAsia="en-GB"/>
              </w:rPr>
              <w:t>/other</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Temporary contract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1.27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Workplace size: small (&lt;50)</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Workplace size: medium (50-200)</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Workplace size: large (200+)</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agric., hunting, forestry, fishing</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mining &amp; quarrying</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1.49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manufacturing</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electricity/gas/water supply</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1.39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construction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wholesale &amp; retail</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hotels &amp; restaurants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transport, storage &amp; communication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 financial intermediation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Real estate, renting, &amp; business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Public administration &amp; defence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Education</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Health and social work</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Industry (SIC92): Other service activities</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0.64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Has spouse/partner in </w:t>
            </w:r>
            <w:proofErr w:type="spellStart"/>
            <w:r w:rsidRPr="00D517A9">
              <w:rPr>
                <w:rFonts w:ascii="Calibri" w:eastAsia="Times New Roman" w:hAnsi="Calibri" w:cs="Times New Roman"/>
                <w:color w:val="000000"/>
                <w:lang w:eastAsia="en-GB"/>
              </w:rPr>
              <w:t>hhld</w:t>
            </w:r>
            <w:proofErr w:type="spellEnd"/>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1.16</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Spouse/partner: Receipt of incapacity benefit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1.47+</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Spouse/partner: Employed</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0.99</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none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Level 1</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Level 2</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0.88</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Level 3</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0.8</w:t>
            </w:r>
            <w:r>
              <w:rPr>
                <w:rFonts w:ascii="Calibri" w:eastAsia="Times New Roman" w:hAnsi="Calibri" w:cs="Times New Roman"/>
                <w:color w:val="000000"/>
                <w:lang w:eastAsia="en-GB"/>
              </w:rPr>
              <w:t>0</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Level 4+ (</w:t>
            </w:r>
            <w:proofErr w:type="spellStart"/>
            <w:r w:rsidRPr="00D517A9">
              <w:rPr>
                <w:rFonts w:ascii="Calibri" w:eastAsia="Times New Roman" w:hAnsi="Calibri" w:cs="Times New Roman"/>
                <w:color w:val="000000"/>
                <w:lang w:eastAsia="en-GB"/>
              </w:rPr>
              <w:t>exc</w:t>
            </w:r>
            <w:proofErr w:type="spellEnd"/>
            <w:r w:rsidRPr="00D517A9">
              <w:rPr>
                <w:rFonts w:ascii="Calibri" w:eastAsia="Times New Roman" w:hAnsi="Calibri" w:cs="Times New Roman"/>
                <w:color w:val="000000"/>
                <w:lang w:eastAsia="en-GB"/>
              </w:rPr>
              <w:t xml:space="preserve"> </w:t>
            </w:r>
            <w:proofErr w:type="spellStart"/>
            <w:r w:rsidRPr="00D517A9">
              <w:rPr>
                <w:rFonts w:ascii="Calibri" w:eastAsia="Times New Roman" w:hAnsi="Calibri" w:cs="Times New Roman"/>
                <w:color w:val="000000"/>
                <w:lang w:eastAsia="en-GB"/>
              </w:rPr>
              <w:t>deg</w:t>
            </w:r>
            <w:proofErr w:type="spellEnd"/>
            <w:r w:rsidRPr="00D517A9">
              <w:rPr>
                <w:rFonts w:ascii="Calibri" w:eastAsia="Times New Roman" w:hAnsi="Calibri" w:cs="Times New Roman"/>
                <w:color w:val="000000"/>
                <w:lang w:eastAsia="en-GB"/>
              </w:rPr>
              <w:t>)</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0.94</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Highest educational qualification, Degree+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0.52*</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Log </w:t>
            </w:r>
            <w:proofErr w:type="spellStart"/>
            <w:r w:rsidRPr="00D517A9">
              <w:rPr>
                <w:rFonts w:ascii="Calibri" w:eastAsia="Times New Roman" w:hAnsi="Calibri" w:cs="Times New Roman"/>
                <w:color w:val="000000"/>
                <w:lang w:eastAsia="en-GB"/>
              </w:rPr>
              <w:t>hhld</w:t>
            </w:r>
            <w:proofErr w:type="spellEnd"/>
            <w:r w:rsidRPr="00D517A9">
              <w:rPr>
                <w:rFonts w:ascii="Calibri" w:eastAsia="Times New Roman" w:hAnsi="Calibri" w:cs="Times New Roman"/>
                <w:color w:val="000000"/>
                <w:lang w:eastAsia="en-GB"/>
              </w:rPr>
              <w:t xml:space="preserve"> net income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0.75+</w:t>
            </w:r>
          </w:p>
        </w:tc>
      </w:tr>
      <w:tr w:rsidR="00177B3C" w:rsidRPr="00D517A9" w:rsidTr="00350537">
        <w:trPr>
          <w:trHeight w:val="300"/>
          <w:jc w:val="center"/>
        </w:trPr>
        <w:tc>
          <w:tcPr>
            <w:tcW w:w="6754"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Housing tenure: owns home</w:t>
            </w:r>
          </w:p>
        </w:tc>
        <w:tc>
          <w:tcPr>
            <w:tcW w:w="1486" w:type="dxa"/>
            <w:tcBorders>
              <w:top w:val="nil"/>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w:t>
            </w:r>
          </w:p>
        </w:tc>
      </w:tr>
      <w:tr w:rsidR="00177B3C" w:rsidRPr="00D517A9" w:rsidTr="00350537">
        <w:trPr>
          <w:trHeight w:val="300"/>
          <w:jc w:val="center"/>
        </w:trPr>
        <w:tc>
          <w:tcPr>
            <w:tcW w:w="6754"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Housing tenure: social housing</w:t>
            </w:r>
          </w:p>
        </w:tc>
        <w:tc>
          <w:tcPr>
            <w:tcW w:w="1486"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1.60***</w:t>
            </w:r>
          </w:p>
        </w:tc>
      </w:tr>
      <w:tr w:rsidR="00177B3C" w:rsidRPr="00D517A9" w:rsidTr="00350537">
        <w:trPr>
          <w:trHeight w:val="300"/>
          <w:jc w:val="center"/>
        </w:trPr>
        <w:tc>
          <w:tcPr>
            <w:tcW w:w="6754"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Housing tenure: other rented</w:t>
            </w:r>
          </w:p>
        </w:tc>
        <w:tc>
          <w:tcPr>
            <w:tcW w:w="1486"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1.01</w:t>
            </w:r>
          </w:p>
        </w:tc>
      </w:tr>
      <w:tr w:rsidR="00177B3C" w:rsidRPr="00D517A9" w:rsidTr="00350537">
        <w:trPr>
          <w:trHeight w:val="300"/>
          <w:jc w:val="center"/>
        </w:trPr>
        <w:tc>
          <w:tcPr>
            <w:tcW w:w="6754"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 xml:space="preserve">Observations                                         </w:t>
            </w:r>
          </w:p>
        </w:tc>
        <w:tc>
          <w:tcPr>
            <w:tcW w:w="1486"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Pr="00D517A9">
              <w:rPr>
                <w:rFonts w:ascii="Calibri" w:eastAsia="Times New Roman" w:hAnsi="Calibri" w:cs="Times New Roman"/>
                <w:color w:val="000000"/>
                <w:lang w:eastAsia="en-GB"/>
              </w:rPr>
              <w:t>2608</w:t>
            </w:r>
          </w:p>
        </w:tc>
      </w:tr>
      <w:tr w:rsidR="00177B3C" w:rsidRPr="00D517A9" w:rsidTr="00350537">
        <w:trPr>
          <w:trHeight w:val="300"/>
          <w:jc w:val="center"/>
        </w:trPr>
        <w:tc>
          <w:tcPr>
            <w:tcW w:w="6754"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proofErr w:type="spellStart"/>
            <w:r w:rsidRPr="00D517A9">
              <w:rPr>
                <w:rFonts w:ascii="Calibri" w:eastAsia="Times New Roman" w:hAnsi="Calibri" w:cs="Times New Roman"/>
                <w:color w:val="000000"/>
                <w:lang w:eastAsia="en-GB"/>
              </w:rPr>
              <w:t>Num</w:t>
            </w:r>
            <w:proofErr w:type="spellEnd"/>
            <w:r w:rsidRPr="00D517A9">
              <w:rPr>
                <w:rFonts w:ascii="Calibri" w:eastAsia="Times New Roman" w:hAnsi="Calibri" w:cs="Times New Roman"/>
                <w:color w:val="000000"/>
                <w:lang w:eastAsia="en-GB"/>
              </w:rPr>
              <w:t xml:space="preserve"> persons                                </w:t>
            </w:r>
          </w:p>
        </w:tc>
        <w:tc>
          <w:tcPr>
            <w:tcW w:w="1486" w:type="dxa"/>
            <w:tcBorders>
              <w:top w:val="nil"/>
              <w:left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Pr="00D517A9">
              <w:rPr>
                <w:rFonts w:ascii="Calibri" w:eastAsia="Times New Roman" w:hAnsi="Calibri" w:cs="Times New Roman"/>
                <w:color w:val="000000"/>
                <w:lang w:eastAsia="en-GB"/>
              </w:rPr>
              <w:t>742</w:t>
            </w:r>
          </w:p>
        </w:tc>
      </w:tr>
      <w:tr w:rsidR="00177B3C" w:rsidRPr="00D517A9" w:rsidTr="00350537">
        <w:trPr>
          <w:trHeight w:val="300"/>
          <w:jc w:val="center"/>
        </w:trPr>
        <w:tc>
          <w:tcPr>
            <w:tcW w:w="6754"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Parameters</w:t>
            </w:r>
          </w:p>
        </w:tc>
        <w:tc>
          <w:tcPr>
            <w:tcW w:w="1486" w:type="dxa"/>
            <w:tcBorders>
              <w:top w:val="nil"/>
              <w:left w:val="nil"/>
              <w:bottom w:val="single" w:sz="4" w:space="0" w:color="auto"/>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r w:rsidRPr="00D517A9">
              <w:rPr>
                <w:rFonts w:ascii="Calibri" w:eastAsia="Times New Roman" w:hAnsi="Calibri" w:cs="Times New Roman"/>
                <w:color w:val="000000"/>
                <w:lang w:eastAsia="en-GB"/>
              </w:rPr>
              <w:t>97</w:t>
            </w:r>
          </w:p>
        </w:tc>
      </w:tr>
      <w:tr w:rsidR="00177B3C" w:rsidRPr="00D517A9" w:rsidTr="00350537">
        <w:trPr>
          <w:trHeight w:val="300"/>
          <w:jc w:val="center"/>
        </w:trPr>
        <w:tc>
          <w:tcPr>
            <w:tcW w:w="6754"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i/>
                <w:iCs/>
                <w:color w:val="000000"/>
                <w:lang w:eastAsia="en-GB"/>
              </w:rPr>
            </w:pPr>
            <w:r w:rsidRPr="00D517A9">
              <w:rPr>
                <w:rFonts w:ascii="Calibri" w:eastAsia="Times New Roman" w:hAnsi="Calibri" w:cs="Times New Roman"/>
                <w:i/>
                <w:iCs/>
                <w:color w:val="000000"/>
                <w:lang w:eastAsia="en-GB"/>
              </w:rPr>
              <w:t>+ p&lt;0.10, * p&lt;0.05, ** p&lt;0.01, *** p&lt;0.001</w:t>
            </w:r>
          </w:p>
        </w:tc>
        <w:tc>
          <w:tcPr>
            <w:tcW w:w="1486" w:type="dxa"/>
            <w:tcBorders>
              <w:top w:val="single" w:sz="4" w:space="0" w:color="auto"/>
              <w:left w:val="nil"/>
              <w:bottom w:val="nil"/>
              <w:right w:val="nil"/>
            </w:tcBorders>
            <w:shd w:val="clear" w:color="auto" w:fill="auto"/>
            <w:noWrap/>
            <w:vAlign w:val="bottom"/>
            <w:hideMark/>
          </w:tcPr>
          <w:p w:rsidR="00177B3C" w:rsidRPr="00D517A9" w:rsidRDefault="00177B3C" w:rsidP="00350537">
            <w:pPr>
              <w:spacing w:after="0" w:line="240" w:lineRule="auto"/>
              <w:rPr>
                <w:rFonts w:ascii="Calibri" w:eastAsia="Times New Roman" w:hAnsi="Calibri" w:cs="Times New Roman"/>
                <w:color w:val="000000"/>
                <w:lang w:eastAsia="en-GB"/>
              </w:rPr>
            </w:pPr>
          </w:p>
        </w:tc>
      </w:tr>
    </w:tbl>
    <w:p w:rsidR="00177B3C" w:rsidRPr="00905990" w:rsidRDefault="00177B3C" w:rsidP="00177B3C"/>
    <w:p w:rsidR="00177B3C" w:rsidRDefault="00177B3C" w:rsidP="00177B3C"/>
    <w:p w:rsidR="00177B3C" w:rsidRDefault="00177B3C" w:rsidP="00177B3C">
      <w:pPr>
        <w:pStyle w:val="Heading3"/>
      </w:pPr>
      <w:r>
        <w:t>Secondary outcome variables</w:t>
      </w:r>
    </w:p>
    <w:p w:rsidR="00177B3C" w:rsidRDefault="00177B3C" w:rsidP="00177B3C">
      <w:r>
        <w:t>Several secondary outcomes were considered to see if the effect was specific to measures theoretically linked to incapacity receipt.  This includes:</w:t>
      </w:r>
    </w:p>
    <w:p w:rsidR="00177B3C" w:rsidRDefault="00177B3C" w:rsidP="00177B3C">
      <w:pPr>
        <w:pStyle w:val="ListParagraph"/>
        <w:numPr>
          <w:ilvl w:val="0"/>
          <w:numId w:val="10"/>
        </w:numPr>
        <w:ind w:left="714" w:hanging="357"/>
        <w:contextualSpacing w:val="0"/>
      </w:pPr>
      <w:r w:rsidRPr="00905990">
        <w:rPr>
          <w:b/>
        </w:rPr>
        <w:t>A broader measure of disability benefits receipt</w:t>
      </w:r>
      <w:r>
        <w:rPr>
          <w:b/>
        </w:rPr>
        <w:t>:</w:t>
      </w:r>
      <w:r>
        <w:t xml:space="preserve"> this included </w:t>
      </w:r>
      <w:r w:rsidRPr="004C48DF">
        <w:t xml:space="preserve">a number of other benefits that could conceivably have included </w:t>
      </w:r>
      <w:proofErr w:type="spellStart"/>
      <w:r w:rsidRPr="004C48DF">
        <w:t>mis</w:t>
      </w:r>
      <w:proofErr w:type="spellEnd"/>
      <w:r w:rsidRPr="004C48DF">
        <w:t>-reported incapacity benefit receipt.  This includes Disability Living Allowance (1992</w:t>
      </w:r>
      <w:proofErr w:type="gramStart"/>
      <w:r w:rsidRPr="004C48DF">
        <w:t>-)</w:t>
      </w:r>
      <w:proofErr w:type="gramEnd"/>
      <w:r w:rsidRPr="004C48DF">
        <w:t xml:space="preserve">, Attendance Allowance, Mobility Allowance (1991-7), and Industrial Injuries Disablement Benefit. </w:t>
      </w:r>
      <w:r w:rsidRPr="004C48DF">
        <w:rPr>
          <w:lang w:eastAsia="zh-CN"/>
        </w:rPr>
        <w:t xml:space="preserve"> Income Support was not included, as this would primarily include non-disabled lone parents.</w:t>
      </w:r>
    </w:p>
    <w:p w:rsidR="00177B3C" w:rsidRDefault="00177B3C" w:rsidP="00177B3C">
      <w:pPr>
        <w:pStyle w:val="ListParagraph"/>
        <w:numPr>
          <w:ilvl w:val="0"/>
          <w:numId w:val="10"/>
        </w:numPr>
        <w:ind w:left="714" w:hanging="357"/>
        <w:contextualSpacing w:val="0"/>
      </w:pPr>
      <w:r w:rsidRPr="00905990">
        <w:rPr>
          <w:b/>
        </w:rPr>
        <w:t>Long-term sickness/disability:</w:t>
      </w:r>
      <w:r w:rsidRPr="004C48DF">
        <w:t xml:space="preserve"> individuals were asked to </w:t>
      </w:r>
      <w:proofErr w:type="gramStart"/>
      <w:r w:rsidRPr="004C48DF">
        <w:t>described</w:t>
      </w:r>
      <w:proofErr w:type="gramEnd"/>
      <w:r w:rsidRPr="004C48DF">
        <w:t xml:space="preserve"> their employment situation and could give the response ‘</w:t>
      </w:r>
      <w:r w:rsidRPr="00905990">
        <w:t xml:space="preserve">long-term sick/disabled’.  </w:t>
      </w:r>
    </w:p>
    <w:p w:rsidR="00177B3C" w:rsidRDefault="00177B3C" w:rsidP="00177B3C">
      <w:pPr>
        <w:pStyle w:val="ListParagraph"/>
        <w:numPr>
          <w:ilvl w:val="0"/>
          <w:numId w:val="10"/>
        </w:numPr>
        <w:ind w:left="714" w:hanging="357"/>
        <w:contextualSpacing w:val="0"/>
      </w:pPr>
      <w:r w:rsidRPr="00905990">
        <w:rPr>
          <w:b/>
        </w:rPr>
        <w:t>Non-employment per se</w:t>
      </w:r>
      <w:r>
        <w:t>: t</w:t>
      </w:r>
      <w:r w:rsidRPr="004C48DF">
        <w:t>his used the standard BHPS measure of employment, based on (i) whether the respondent reported working in the past week; and (ii) for respondents not working, whether they said they had a job that they were away from last week.</w:t>
      </w:r>
    </w:p>
    <w:p w:rsidR="00177B3C" w:rsidRDefault="00177B3C" w:rsidP="00177B3C">
      <w:pPr>
        <w:pStyle w:val="ListParagraph"/>
        <w:numPr>
          <w:ilvl w:val="0"/>
          <w:numId w:val="10"/>
        </w:numPr>
        <w:ind w:left="714" w:hanging="357"/>
        <w:contextualSpacing w:val="0"/>
      </w:pPr>
      <w:r w:rsidRPr="00905990">
        <w:t>Reasons for job loss</w:t>
      </w:r>
      <w:r w:rsidRPr="00905990">
        <w:rPr>
          <w:b/>
        </w:rPr>
        <w:t>:</w:t>
      </w:r>
      <w:r w:rsidRPr="00905990">
        <w:t xml:space="preserve"> at every wave respondents reported if they had lost a job in the previous year, and if so, the reasons that they lost the job.  From this annual employment history, I created a dummy variable for whether respondents said ‘I gave up work for health reasons’ (hereafter </w:t>
      </w:r>
      <w:proofErr w:type="gramStart"/>
      <w:r w:rsidRPr="00905990">
        <w:t>‘</w:t>
      </w:r>
      <w:r w:rsidRPr="00905990">
        <w:rPr>
          <w:b/>
        </w:rPr>
        <w:t>health-related job loss</w:t>
      </w:r>
      <w:r w:rsidRPr="00905990">
        <w:t>’</w:t>
      </w:r>
      <w:proofErr w:type="gramEnd"/>
      <w:r w:rsidRPr="00905990">
        <w:t>), ‘I was made redundant’ (</w:t>
      </w:r>
      <w:r w:rsidRPr="00905990">
        <w:rPr>
          <w:b/>
        </w:rPr>
        <w:t>redundancy</w:t>
      </w:r>
      <w:r w:rsidRPr="00905990">
        <w:t>), or ‘I was dismissed/sacked’ (</w:t>
      </w:r>
      <w:r w:rsidRPr="00905990">
        <w:rPr>
          <w:b/>
        </w:rPr>
        <w:t>sacked</w:t>
      </w:r>
      <w:r w:rsidRPr="00905990">
        <w:t xml:space="preserve">).  Health-related job losses did not necessarily lead to a spell of long-term sickness; respondents would often report moving to other jobs or being unemployed. </w:t>
      </w:r>
    </w:p>
    <w:p w:rsidR="00177B3C" w:rsidRDefault="00177B3C" w:rsidP="00177B3C">
      <w:pPr>
        <w:sectPr w:rsidR="00177B3C" w:rsidSect="00F5777F">
          <w:pgSz w:w="11906" w:h="16838"/>
          <w:pgMar w:top="1440" w:right="1440" w:bottom="1440" w:left="1440" w:header="708" w:footer="708" w:gutter="0"/>
          <w:cols w:space="708"/>
          <w:docGrid w:linePitch="360"/>
        </w:sectPr>
      </w:pPr>
    </w:p>
    <w:p w:rsidR="00177B3C" w:rsidRDefault="00177B3C" w:rsidP="00177B3C">
      <w:pPr>
        <w:pStyle w:val="Heading2"/>
        <w:numPr>
          <w:ilvl w:val="0"/>
          <w:numId w:val="13"/>
        </w:numPr>
      </w:pPr>
      <w:bookmarkStart w:id="10" w:name="_Toc360900315"/>
      <w:r>
        <w:lastRenderedPageBreak/>
        <w:t>Sensitivity analyses</w:t>
      </w:r>
      <w:bookmarkEnd w:id="10"/>
    </w:p>
    <w:p w:rsidR="00177B3C" w:rsidRDefault="00177B3C" w:rsidP="00177B3C">
      <w:r>
        <w:t xml:space="preserve">The results presented in the main text are robust to a wide variety of different sensitivity analyses.  These are reported in this Appendix and the syntax is available from the </w:t>
      </w:r>
      <w:proofErr w:type="spellStart"/>
      <w:r>
        <w:t>Stata</w:t>
      </w:r>
      <w:proofErr w:type="spellEnd"/>
      <w:r>
        <w:t xml:space="preserve"> files on the author’s website; more detailed tables are also available from the author on request.</w:t>
      </w:r>
    </w:p>
    <w:p w:rsidR="00177B3C" w:rsidRPr="006E65DC" w:rsidRDefault="00177B3C" w:rsidP="00177B3C">
      <w:pPr>
        <w:pStyle w:val="Heading4"/>
      </w:pPr>
      <w:r>
        <w:t>Different covariates when imputing demands/control/physicality</w:t>
      </w:r>
    </w:p>
    <w:p w:rsidR="00177B3C" w:rsidRDefault="00F27B62" w:rsidP="00177B3C">
      <w:proofErr w:type="gramStart"/>
      <w:r>
        <w:t>it</w:t>
      </w:r>
      <w:proofErr w:type="gramEnd"/>
      <w:r>
        <w:t xml:space="preserve"> is possible to capture more of the variation in working conditions by accounting for additional covariates such as age and gender – e.g. older men may have systematically more job control.  However, incorporating this may introduce the very reporting biases that the imputation method is designed to avoid.  The main analyses therefore estimate people’s level of demands/control/physicality simply from the combination of occupation and year,</w:t>
      </w:r>
      <w:r>
        <w:rPr>
          <w:rStyle w:val="FootnoteReference"/>
        </w:rPr>
        <w:footnoteReference w:id="2"/>
      </w:r>
      <w:r>
        <w:t xml:space="preserve"> to take account of changing demands/control over the 1990s. </w:t>
      </w:r>
      <w:r w:rsidR="00177B3C">
        <w:t>Aside from the main analyses (based on 135 unit occupations and year), I also imputed based on:</w:t>
      </w:r>
    </w:p>
    <w:p w:rsidR="00177B3C" w:rsidRDefault="00177B3C" w:rsidP="00177B3C">
      <w:pPr>
        <w:pStyle w:val="ListParagraph"/>
        <w:numPr>
          <w:ilvl w:val="0"/>
          <w:numId w:val="11"/>
        </w:numPr>
      </w:pPr>
      <w:r>
        <w:t xml:space="preserve">just occupation; </w:t>
      </w:r>
    </w:p>
    <w:p w:rsidR="00177B3C" w:rsidRDefault="00177B3C" w:rsidP="00177B3C">
      <w:pPr>
        <w:pStyle w:val="ListParagraph"/>
        <w:numPr>
          <w:ilvl w:val="0"/>
          <w:numId w:val="11"/>
        </w:numPr>
      </w:pPr>
      <w:r>
        <w:t xml:space="preserve">unit occupation and trends </w:t>
      </w:r>
      <w:r w:rsidRPr="005E2243">
        <w:rPr>
          <w:i/>
        </w:rPr>
        <w:t>within major occupational groups</w:t>
      </w:r>
      <w:r>
        <w:t xml:space="preserve">; </w:t>
      </w:r>
    </w:p>
    <w:p w:rsidR="00177B3C" w:rsidRDefault="00177B3C" w:rsidP="00177B3C">
      <w:pPr>
        <w:pStyle w:val="ListParagraph"/>
        <w:numPr>
          <w:ilvl w:val="0"/>
          <w:numId w:val="11"/>
        </w:numPr>
      </w:pPr>
      <w:r>
        <w:t xml:space="preserve">occupation, year, major industrial group and education; </w:t>
      </w:r>
    </w:p>
    <w:p w:rsidR="00177B3C" w:rsidRDefault="00177B3C" w:rsidP="00177B3C">
      <w:pPr>
        <w:pStyle w:val="ListParagraph"/>
        <w:numPr>
          <w:ilvl w:val="0"/>
          <w:numId w:val="11"/>
        </w:numPr>
      </w:pPr>
      <w:r>
        <w:t xml:space="preserve">as (3) plus age, gender and working hours; and </w:t>
      </w:r>
    </w:p>
    <w:p w:rsidR="00177B3C" w:rsidRDefault="00177B3C" w:rsidP="00177B3C">
      <w:pPr>
        <w:pStyle w:val="ListParagraph"/>
        <w:numPr>
          <w:ilvl w:val="0"/>
          <w:numId w:val="11"/>
        </w:numPr>
      </w:pPr>
      <w:r>
        <w:t xml:space="preserve">181 sufficiently large occupation-industry subgroups and year.  </w:t>
      </w:r>
    </w:p>
    <w:p w:rsidR="00177B3C" w:rsidRDefault="00177B3C" w:rsidP="00177B3C">
      <w:r>
        <w:t xml:space="preserve">The results were robust to these different forms of imputation.  Where </w:t>
      </w:r>
      <w:r w:rsidRPr="00E351D2">
        <w:t>the imputation used a greater amount of information</w:t>
      </w:r>
      <w:r>
        <w:t xml:space="preserve"> in 2-5</w:t>
      </w:r>
      <w:r w:rsidRPr="00E351D2">
        <w:t>, the strength of the effect of job control slightly increased</w:t>
      </w:r>
      <w:r>
        <w:t xml:space="preserve"> and became slightly more strongly significant</w:t>
      </w:r>
      <w:r w:rsidRPr="00E351D2">
        <w:t xml:space="preserve">. Where the imputation used less information – </w:t>
      </w:r>
      <w:r>
        <w:t xml:space="preserve"> 1 was </w:t>
      </w:r>
      <w:r w:rsidRPr="00E351D2">
        <w:t>based on occupation averages across 1992-2006, without adjusting for declining control over time – the effect was smaller (0.17</w:t>
      </w:r>
      <w:r>
        <w:t xml:space="preserve"> percentage points</w:t>
      </w:r>
      <w:r w:rsidRPr="00E351D2">
        <w:t>) and non-significant (p=0.29).  No effect was found for job demands in any model</w:t>
      </w:r>
      <w:r>
        <w:t>, while physicality remained strongly significant throughout</w:t>
      </w:r>
      <w:r w:rsidRPr="00E351D2">
        <w:t xml:space="preserve">.  These results are as we would expect: the </w:t>
      </w:r>
      <w:r>
        <w:t xml:space="preserve">more </w:t>
      </w:r>
      <w:r w:rsidRPr="00E351D2">
        <w:t xml:space="preserve">measurement error in the imputation technique, the </w:t>
      </w:r>
      <w:r>
        <w:t xml:space="preserve">more </w:t>
      </w:r>
      <w:r w:rsidRPr="00E351D2">
        <w:t>attenuation we would expect to see</w:t>
      </w:r>
      <w:r>
        <w:t>; but the direction of the effect was the same in all models, and in 5 out of 6 imputations the results for control were statistically significant</w:t>
      </w:r>
      <w:r w:rsidRPr="00E351D2">
        <w:t>.</w:t>
      </w:r>
    </w:p>
    <w:p w:rsidR="00177B3C" w:rsidRDefault="00177B3C" w:rsidP="00177B3C">
      <w:pPr>
        <w:pStyle w:val="Heading4"/>
      </w:pPr>
      <w:r w:rsidRPr="006E65DC">
        <w:t>Different forms of demands and control</w:t>
      </w:r>
      <w:r w:rsidRPr="00E351D2">
        <w:t xml:space="preserve"> </w:t>
      </w:r>
    </w:p>
    <w:p w:rsidR="00177B3C" w:rsidRDefault="00177B3C" w:rsidP="00177B3C">
      <w:r>
        <w:t xml:space="preserve">When the main models were repeated with </w:t>
      </w:r>
      <w:r w:rsidRPr="00E351D2">
        <w:t xml:space="preserve">linear </w:t>
      </w:r>
      <w:r>
        <w:t xml:space="preserve">rather than categorical versions of </w:t>
      </w:r>
      <w:r w:rsidRPr="00E351D2">
        <w:t>demands</w:t>
      </w:r>
      <w:r>
        <w:t xml:space="preserve">, </w:t>
      </w:r>
      <w:r w:rsidRPr="00E351D2">
        <w:t xml:space="preserve">control </w:t>
      </w:r>
      <w:r>
        <w:t xml:space="preserve">and physicality, then the results </w:t>
      </w:r>
      <w:r w:rsidRPr="00E351D2">
        <w:t>were similar to the main analyses.</w:t>
      </w:r>
      <w:r w:rsidRPr="00E351D2">
        <w:rPr>
          <w:rStyle w:val="FootnoteReference"/>
        </w:rPr>
        <w:footnoteReference w:id="3"/>
      </w:r>
      <w:r w:rsidRPr="00E351D2">
        <w:t xml:space="preserve">  When job demands and control were not mutually adjusted for one another, control was significant while demands was not, suggesting that an effect of job demands is not being concealed by any </w:t>
      </w:r>
      <w:proofErr w:type="spellStart"/>
      <w:r w:rsidRPr="00E351D2">
        <w:t>collinearity</w:t>
      </w:r>
      <w:proofErr w:type="spellEnd"/>
      <w:r w:rsidRPr="00E351D2">
        <w:t xml:space="preserve"> with control.</w:t>
      </w:r>
    </w:p>
    <w:p w:rsidR="00177B3C" w:rsidRPr="00E351D2" w:rsidRDefault="00177B3C" w:rsidP="00177B3C">
      <w:pPr>
        <w:pStyle w:val="Heading4"/>
      </w:pPr>
      <w:r>
        <w:t>Different time lags</w:t>
      </w:r>
    </w:p>
    <w:p w:rsidR="00177B3C" w:rsidRPr="00E351D2" w:rsidRDefault="00177B3C" w:rsidP="00177B3C">
      <w:r w:rsidRPr="00E351D2">
        <w:t xml:space="preserve">I checked the importance of different </w:t>
      </w:r>
      <w:r w:rsidRPr="006E65DC">
        <w:t>time lags</w:t>
      </w:r>
      <w:r w:rsidRPr="00E351D2">
        <w:rPr>
          <w:rStyle w:val="Heading3Char"/>
        </w:rPr>
        <w:t xml:space="preserve"> </w:t>
      </w:r>
      <w:r w:rsidRPr="00E351D2">
        <w:t xml:space="preserve">between control and incapacity benefits receipt.  If we exclude those who said they were away from work due to ‘temporary sickness’ in the week prior to the baseline interview, then the effect of job control becomes non-significant (although still large in size).  This removes from consideration some people who </w:t>
      </w:r>
      <w:r w:rsidRPr="00E351D2">
        <w:lastRenderedPageBreak/>
        <w:t xml:space="preserve">had already started down the pathway from job control to benefits receipt – and a one-year gap may be too short for other people to complete this pathway.  If we therefore repeat the analysis looking at effects </w:t>
      </w:r>
      <w:r w:rsidRPr="00E351D2">
        <w:rPr>
          <w:i/>
        </w:rPr>
        <w:t xml:space="preserve">two </w:t>
      </w:r>
      <w:r w:rsidRPr="00E351D2">
        <w:t>waves into the future (rather than one), and still excluding the temporarily sick, then we again see a large and statistically significant effect of job control.</w:t>
      </w:r>
      <w:r w:rsidRPr="00E351D2">
        <w:rPr>
          <w:rStyle w:val="FootnoteReference"/>
        </w:rPr>
        <w:footnoteReference w:id="4"/>
      </w:r>
    </w:p>
    <w:p w:rsidR="00177B3C" w:rsidRDefault="00177B3C" w:rsidP="00177B3C"/>
    <w:p w:rsidR="00177B3C" w:rsidRDefault="00177B3C" w:rsidP="00177B3C">
      <w:pPr>
        <w:pStyle w:val="Heading4"/>
      </w:pPr>
      <w:r w:rsidRPr="006E65DC">
        <w:t>Different estimation techniques</w:t>
      </w:r>
      <w:r w:rsidRPr="00E351D2">
        <w:t xml:space="preserve"> </w:t>
      </w:r>
    </w:p>
    <w:p w:rsidR="00177B3C" w:rsidRDefault="00177B3C" w:rsidP="00177B3C">
      <w:r w:rsidRPr="000F5805">
        <w:t xml:space="preserve">The main analyses below use an exchangeable correlation structure, assuming a constant person-specific correlation between waves.  The estimates are robust to </w:t>
      </w:r>
      <w:proofErr w:type="spellStart"/>
      <w:r w:rsidRPr="000F5805">
        <w:t>mis</w:t>
      </w:r>
      <w:proofErr w:type="spellEnd"/>
      <w:r w:rsidRPr="000F5805">
        <w:t xml:space="preserve">-specification of this matrix and a recent guide suggested that ‘intensive modelling’ of this structure would provide ‘negligible’ gains </w:t>
      </w:r>
      <w:r>
        <w:t xml:space="preserve">(Ziegler and </w:t>
      </w:r>
      <w:proofErr w:type="spellStart"/>
      <w:r>
        <w:t>Vens</w:t>
      </w:r>
      <w:proofErr w:type="spellEnd"/>
      <w:r>
        <w:t>, 2010)</w:t>
      </w:r>
      <w:r w:rsidRPr="000F5805">
        <w:t>.  Nevertheless, I check two other correlation structures</w:t>
      </w:r>
      <w:r>
        <w:t xml:space="preserve">: an </w:t>
      </w:r>
      <w:proofErr w:type="gramStart"/>
      <w:r>
        <w:t>autoregressive</w:t>
      </w:r>
      <w:r w:rsidRPr="000F5805">
        <w:t>(</w:t>
      </w:r>
      <w:proofErr w:type="gramEnd"/>
      <w:r w:rsidRPr="000F5805">
        <w:t xml:space="preserve">1) model where correlations are only estimated between successive waves; and an unstructured model that estimates the between-wave correlations with no constraints.  </w:t>
      </w:r>
      <w:r w:rsidRPr="00E351D2">
        <w:t xml:space="preserve">I also checked whether the loss of information in categorising the continuous covariates (age, income, GHQ and hours of work) led to residual confounding </w:t>
      </w:r>
      <w:r>
        <w:t>(Altman and Royston, 2006, Royston et al., 2006)</w:t>
      </w:r>
      <w:r w:rsidRPr="00E351D2">
        <w:t xml:space="preserve">, by using fractional polynomial transformations of these variables </w:t>
      </w:r>
      <w:r>
        <w:t xml:space="preserve">(Royston and </w:t>
      </w:r>
      <w:proofErr w:type="spellStart"/>
      <w:r>
        <w:t>Sauerbrei</w:t>
      </w:r>
      <w:proofErr w:type="spellEnd"/>
      <w:r>
        <w:t>, 2008)</w:t>
      </w:r>
      <w:r w:rsidRPr="00E351D2">
        <w:t>.  None of these variations led to even slight changes to the conclusions above.</w:t>
      </w:r>
      <w:r w:rsidRPr="00E351D2">
        <w:rPr>
          <w:rStyle w:val="FootnoteReference"/>
        </w:rPr>
        <w:footnoteReference w:id="5"/>
      </w:r>
      <w:r w:rsidRPr="00E351D2">
        <w:t xml:space="preserve">  </w:t>
      </w:r>
    </w:p>
    <w:p w:rsidR="00177B3C" w:rsidRPr="00E351D2" w:rsidRDefault="00177B3C" w:rsidP="00177B3C">
      <w:pPr>
        <w:rPr>
          <w:b/>
        </w:rPr>
      </w:pPr>
      <w:r w:rsidRPr="004C48DF">
        <w:t xml:space="preserve">I </w:t>
      </w:r>
      <w:r>
        <w:t xml:space="preserve">also </w:t>
      </w:r>
      <w:r w:rsidRPr="004C48DF">
        <w:t>check</w:t>
      </w:r>
      <w:r>
        <w:t>ed</w:t>
      </w:r>
      <w:r w:rsidRPr="004C48DF">
        <w:t xml:space="preserve"> the goodness-of-fit of the main model us</w:t>
      </w:r>
      <w:r w:rsidRPr="00A3459F">
        <w:t xml:space="preserve">ing an adapted form of the </w:t>
      </w:r>
      <w:r>
        <w:t xml:space="preserve">standard </w:t>
      </w:r>
      <w:proofErr w:type="spellStart"/>
      <w:r>
        <w:t>Hosmer-Lemeshow</w:t>
      </w:r>
      <w:proofErr w:type="spellEnd"/>
      <w:r>
        <w:t xml:space="preserve"> test</w:t>
      </w:r>
      <w:r w:rsidRPr="00A3459F">
        <w:t>.</w:t>
      </w:r>
      <w:r w:rsidRPr="004C48DF">
        <w:rPr>
          <w:rStyle w:val="FootnoteReference"/>
        </w:rPr>
        <w:footnoteReference w:id="6"/>
      </w:r>
      <w:r w:rsidRPr="004C48DF">
        <w:t xml:space="preserve">  </w:t>
      </w:r>
      <w:r>
        <w:t xml:space="preserve">This showed that the </w:t>
      </w:r>
      <w:r w:rsidRPr="00E351D2">
        <w:t>goodness-of-fit of the model was poor</w:t>
      </w:r>
      <w:r>
        <w:t xml:space="preserve">.  </w:t>
      </w:r>
      <w:r w:rsidRPr="00E351D2">
        <w:t xml:space="preserve">I </w:t>
      </w:r>
      <w:r>
        <w:t xml:space="preserve">therefore used </w:t>
      </w:r>
      <w:r w:rsidRPr="00E351D2">
        <w:t>a slightly different parameterisation that produced a better-fitting model, and this made little difference to the results.</w:t>
      </w:r>
      <w:r w:rsidRPr="00E351D2">
        <w:rPr>
          <w:rStyle w:val="FootnoteReference"/>
        </w:rPr>
        <w:footnoteReference w:id="7"/>
      </w:r>
      <w:r w:rsidRPr="00E351D2">
        <w:t xml:space="preserve">  </w:t>
      </w:r>
    </w:p>
    <w:p w:rsidR="00177B3C" w:rsidRPr="006E65DC" w:rsidRDefault="00177B3C" w:rsidP="00177B3C">
      <w:pPr>
        <w:pStyle w:val="Heading4"/>
      </w:pPr>
      <w:r>
        <w:t>C</w:t>
      </w:r>
      <w:r w:rsidRPr="006E65DC">
        <w:t xml:space="preserve">lustering of demands-control within occupations </w:t>
      </w:r>
    </w:p>
    <w:p w:rsidR="00177B3C" w:rsidRDefault="00177B3C" w:rsidP="00177B3C">
      <w:r w:rsidRPr="004C48DF">
        <w:t xml:space="preserve">Ideally I would account for </w:t>
      </w:r>
      <w:r>
        <w:t xml:space="preserve">not only the clustering of observations within people, but also </w:t>
      </w:r>
      <w:r w:rsidRPr="004C48DF">
        <w:t>the clustering of demands-control within particular occupations/years</w:t>
      </w:r>
      <w:r>
        <w:t>.  However</w:t>
      </w:r>
      <w:r w:rsidRPr="004C48DF">
        <w:t>, the computational burdens made this impractical</w:t>
      </w:r>
      <w:r>
        <w:t xml:space="preserve"> </w:t>
      </w:r>
      <w:r w:rsidRPr="00E351D2">
        <w:t xml:space="preserve">(the analyses were sufficiently burdensome that even in LSE’s ABACUS system, the first iteration – let alone convergence – had not been reached within several days).  </w:t>
      </w:r>
    </w:p>
    <w:p w:rsidR="00177B3C" w:rsidRDefault="00177B3C" w:rsidP="00177B3C">
      <w:pPr>
        <w:rPr>
          <w:b/>
        </w:rPr>
      </w:pPr>
      <w:r w:rsidRPr="00E351D2">
        <w:t xml:space="preserve">Instead, I tested whether the results were affected by (i) accounting for the clustering of occupations at a single baseline wave (1991); and (ii) by conducted a crossed-level model that treats the </w:t>
      </w:r>
      <w:r w:rsidRPr="00AC7C1A">
        <w:rPr>
          <w:i/>
        </w:rPr>
        <w:t>binary</w:t>
      </w:r>
      <w:r w:rsidRPr="00E351D2">
        <w:t xml:space="preserve"> outcomes as normally-distributed </w:t>
      </w:r>
      <w:r w:rsidRPr="00AC7C1A">
        <w:rPr>
          <w:i/>
        </w:rPr>
        <w:t>continuous</w:t>
      </w:r>
      <w:r w:rsidRPr="00E351D2">
        <w:t xml:space="preserve"> variables (which is easier computationally, but particularly problematic for rare outcomes like incapacity benefit receipt). In both cases, the standard errors were often (but not consistently) raised when </w:t>
      </w:r>
      <w:r w:rsidRPr="00E351D2">
        <w:lastRenderedPageBreak/>
        <w:t>accounting for clustering within occupations, but only by small amounts – and the impact on the conclusions in this chapter will therefore be minimal.</w:t>
      </w:r>
      <w:r w:rsidRPr="00E351D2">
        <w:rPr>
          <w:rStyle w:val="FootnoteReference"/>
        </w:rPr>
        <w:footnoteReference w:id="8"/>
      </w:r>
      <w:r w:rsidRPr="00E351D2">
        <w:rPr>
          <w:b/>
        </w:rPr>
        <w:t xml:space="preserve"> </w:t>
      </w:r>
    </w:p>
    <w:p w:rsidR="00177B3C" w:rsidRPr="00E351D2" w:rsidRDefault="00177B3C" w:rsidP="00177B3C"/>
    <w:p w:rsidR="00177B3C" w:rsidRDefault="00177B3C" w:rsidP="00177B3C">
      <w:pPr>
        <w:pStyle w:val="Heading4"/>
      </w:pPr>
      <w:r>
        <w:t>Missing data and weights</w:t>
      </w:r>
    </w:p>
    <w:p w:rsidR="00177B3C" w:rsidRPr="004C48DF" w:rsidRDefault="00177B3C" w:rsidP="00177B3C">
      <w:pPr>
        <w:rPr>
          <w:i/>
        </w:rPr>
      </w:pPr>
      <w:r w:rsidRPr="004C48DF">
        <w:t xml:space="preserve">The main analyses are a complete case analysis of British employees aged 20 to 59(f)/64(m) who personally provided the required data at both a baseline wave and a follow-up wave, one year later.  To make these analyses nationally representative – and also to account for any attrition biases – I would ideally use the weights supplied with BHPS.  However, weighting is problematic when looking at pairs of successive waves in panel studies; as Jenkins </w:t>
      </w:r>
      <w:r>
        <w:t>(2010:13)</w:t>
      </w:r>
      <w:r w:rsidRPr="004C48DF">
        <w:t xml:space="preserve"> notes, </w:t>
      </w:r>
      <w:r w:rsidRPr="004C48DF">
        <w:rPr>
          <w:i/>
        </w:rPr>
        <w:t xml:space="preserve">“in this case, it is unclear what population of interest the pooled transitions are intended to represent and hence how to calculate suitable longitudinal weights or to combine the weights typically supplied.”  </w:t>
      </w:r>
      <w:r w:rsidRPr="004C48DF">
        <w:t xml:space="preserve">Some analyses therefore ignore weights entirely </w:t>
      </w:r>
      <w:r>
        <w:t>(</w:t>
      </w:r>
      <w:proofErr w:type="spellStart"/>
      <w:r>
        <w:t>Cappellari</w:t>
      </w:r>
      <w:proofErr w:type="spellEnd"/>
      <w:r>
        <w:t xml:space="preserve"> and Jenkins, 2008)</w:t>
      </w:r>
      <w:r w:rsidRPr="004C48DF">
        <w:t xml:space="preserve">, which will produce unbiased estimates if the weights would simply depend on the observed covariates </w:t>
      </w:r>
      <w:r>
        <w:t>(</w:t>
      </w:r>
      <w:proofErr w:type="spellStart"/>
      <w:r>
        <w:t>Winship</w:t>
      </w:r>
      <w:proofErr w:type="spellEnd"/>
      <w:r>
        <w:t xml:space="preserve"> and </w:t>
      </w:r>
      <w:proofErr w:type="spellStart"/>
      <w:r>
        <w:t>Radbill</w:t>
      </w:r>
      <w:proofErr w:type="spellEnd"/>
      <w:r>
        <w:t>, 1994)</w:t>
      </w:r>
      <w:r w:rsidRPr="004C48DF">
        <w:t xml:space="preserve">.  </w:t>
      </w:r>
    </w:p>
    <w:p w:rsidR="00177B3C" w:rsidRDefault="00177B3C" w:rsidP="00177B3C">
      <w:r w:rsidRPr="004C48DF">
        <w:t xml:space="preserve">While the regression coefficients in properly-specified </w:t>
      </w:r>
      <w:proofErr w:type="spellStart"/>
      <w:r w:rsidRPr="004C48DF">
        <w:t>unweighted</w:t>
      </w:r>
      <w:proofErr w:type="spellEnd"/>
      <w:r w:rsidRPr="004C48DF">
        <w:t xml:space="preserve"> analyses would be unbiased, this would still lead to biases in the average marginal effects, which depend on the prevalence of different types of people in the data.  Here, I follow Jenkins’ suggestion to complement the main (</w:t>
      </w:r>
      <w:proofErr w:type="spellStart"/>
      <w:r w:rsidRPr="004C48DF">
        <w:t>unweighted</w:t>
      </w:r>
      <w:proofErr w:type="spellEnd"/>
      <w:r w:rsidRPr="004C48DF">
        <w:t>) analyses with various sensitivity analyses using the supplied weights.</w:t>
      </w:r>
      <w:r w:rsidRPr="004C48DF">
        <w:rPr>
          <w:rStyle w:val="FootnoteReference"/>
        </w:rPr>
        <w:footnoteReference w:id="9"/>
      </w:r>
      <w:r w:rsidRPr="004C48DF">
        <w:t xml:space="preserve">  </w:t>
      </w:r>
      <w:r>
        <w:t>However, u</w:t>
      </w:r>
      <w:r w:rsidRPr="00E351D2">
        <w:t>sing the supplied BHPS weights had little effect on the results</w:t>
      </w:r>
      <w:r>
        <w:t xml:space="preserve">; </w:t>
      </w:r>
      <w:r w:rsidRPr="00E351D2">
        <w:t>after weighting</w:t>
      </w:r>
      <w:r>
        <w:t xml:space="preserve">, </w:t>
      </w:r>
      <w:r w:rsidRPr="00E351D2">
        <w:t xml:space="preserve">job control had strong and marginally significant effects in both of the subsamples that allowed weighting.  </w:t>
      </w:r>
    </w:p>
    <w:p w:rsidR="00177B3C" w:rsidRDefault="00177B3C" w:rsidP="000E6626">
      <w:pPr>
        <w:spacing w:after="60"/>
        <w:sectPr w:rsidR="00177B3C" w:rsidSect="00F5777F">
          <w:pgSz w:w="11906" w:h="16838"/>
          <w:pgMar w:top="1440" w:right="1440" w:bottom="1440" w:left="1440" w:header="708" w:footer="708" w:gutter="0"/>
          <w:cols w:space="708"/>
          <w:docGrid w:linePitch="360"/>
        </w:sectPr>
      </w:pPr>
      <w:r w:rsidRPr="004C48DF">
        <w:t xml:space="preserve">I also use multiple imputation on the </w:t>
      </w:r>
      <w:proofErr w:type="spellStart"/>
      <w:r w:rsidRPr="004C48DF">
        <w:t>unweighted</w:t>
      </w:r>
      <w:proofErr w:type="spellEnd"/>
      <w:r w:rsidRPr="004C48DF">
        <w:t xml:space="preserve"> data to look at the impact of short-run attrition between the baseline and follo</w:t>
      </w:r>
      <w:r w:rsidRPr="00A3459F">
        <w:t>w-up waves</w:t>
      </w:r>
      <w:r>
        <w:t>, as well as missing data</w:t>
      </w:r>
      <w:r w:rsidRPr="00A3459F">
        <w:t>.</w:t>
      </w:r>
      <w:r>
        <w:t xml:space="preserve">  </w:t>
      </w:r>
      <w:r w:rsidRPr="00E351D2">
        <w:t xml:space="preserve">For the imputation I use multiple imputation by chained equations, which has been shown to perform well in simulations </w:t>
      </w:r>
      <w:r>
        <w:t xml:space="preserve">(Carpenter and </w:t>
      </w:r>
      <w:proofErr w:type="spellStart"/>
      <w:r>
        <w:t>Kenward</w:t>
      </w:r>
      <w:proofErr w:type="spellEnd"/>
      <w:r>
        <w:t xml:space="preserve">, 2008, </w:t>
      </w:r>
      <w:proofErr w:type="spellStart"/>
      <w:r>
        <w:t>Kenward</w:t>
      </w:r>
      <w:proofErr w:type="spellEnd"/>
      <w:r>
        <w:t xml:space="preserve"> and Carpenter, 2007), using </w:t>
      </w:r>
      <w:r w:rsidRPr="00E351D2">
        <w:t xml:space="preserve">the ICE and MIM commands in </w:t>
      </w:r>
      <w:proofErr w:type="spellStart"/>
      <w:r w:rsidRPr="00E351D2">
        <w:t>Stata</w:t>
      </w:r>
      <w:proofErr w:type="spellEnd"/>
      <w:r w:rsidRPr="00E351D2">
        <w:t xml:space="preserve"> </w:t>
      </w:r>
      <w:r>
        <w:t>(Royston, 2009, Royston et al., 2009).</w:t>
      </w:r>
      <w:r>
        <w:rPr>
          <w:rStyle w:val="FootnoteReference"/>
        </w:rPr>
        <w:footnoteReference w:id="10"/>
      </w:r>
      <w:r>
        <w:t xml:space="preserve">  A</w:t>
      </w:r>
      <w:r w:rsidRPr="00E351D2">
        <w:t xml:space="preserve">fter multiple </w:t>
      </w:r>
      <w:proofErr w:type="gramStart"/>
      <w:r w:rsidRPr="00E351D2">
        <w:t>imputation</w:t>
      </w:r>
      <w:proofErr w:type="gramEnd"/>
      <w:r w:rsidRPr="00E351D2">
        <w:t xml:space="preserve">, the difference </w:t>
      </w:r>
      <w:r>
        <w:t xml:space="preserve">in incapacity receipt </w:t>
      </w:r>
      <w:r w:rsidRPr="00E351D2">
        <w:t xml:space="preserve">between </w:t>
      </w:r>
      <w:r>
        <w:t xml:space="preserve">those in </w:t>
      </w:r>
      <w:r w:rsidRPr="00E351D2">
        <w:t xml:space="preserve">high and low control </w:t>
      </w:r>
      <w:r>
        <w:t xml:space="preserve">jobs </w:t>
      </w:r>
      <w:r w:rsidRPr="00E351D2">
        <w:t xml:space="preserve">was similar in size </w:t>
      </w:r>
      <w:r>
        <w:t xml:space="preserve">to the main analyses </w:t>
      </w:r>
      <w:r w:rsidRPr="00E351D2">
        <w:t>and significant at the 1% level.</w:t>
      </w:r>
      <w:r w:rsidR="000E6626">
        <w:t xml:space="preserve"> </w:t>
      </w:r>
    </w:p>
    <w:p w:rsidR="00177B3C" w:rsidRDefault="00177B3C" w:rsidP="00177B3C">
      <w:pPr>
        <w:pStyle w:val="Heading2"/>
      </w:pPr>
      <w:bookmarkStart w:id="11" w:name="_Toc360900316"/>
      <w:r>
        <w:lastRenderedPageBreak/>
        <w:t>Bibliography for Web Appendices</w:t>
      </w:r>
      <w:bookmarkEnd w:id="11"/>
    </w:p>
    <w:p w:rsidR="00177B3C" w:rsidRPr="00D517A9" w:rsidRDefault="00177B3C" w:rsidP="00177B3C"/>
    <w:p w:rsidR="00177B3C" w:rsidRPr="00344B45" w:rsidRDefault="00177B3C" w:rsidP="00177B3C">
      <w:pPr>
        <w:spacing w:after="0" w:line="240" w:lineRule="auto"/>
        <w:ind w:left="720" w:hanging="720"/>
        <w:rPr>
          <w:rFonts w:cs="Arial"/>
        </w:rPr>
      </w:pPr>
      <w:proofErr w:type="spellStart"/>
      <w:r w:rsidRPr="00344B45">
        <w:rPr>
          <w:rFonts w:cs="Arial"/>
        </w:rPr>
        <w:t>Alavinia</w:t>
      </w:r>
      <w:proofErr w:type="spellEnd"/>
      <w:r w:rsidRPr="00344B45">
        <w:rPr>
          <w:rFonts w:cs="Arial"/>
        </w:rPr>
        <w:t xml:space="preserve">, S., de Boer, A., van </w:t>
      </w:r>
      <w:proofErr w:type="spellStart"/>
      <w:r w:rsidRPr="00344B45">
        <w:rPr>
          <w:rFonts w:cs="Arial"/>
        </w:rPr>
        <w:t>Duivenbooden</w:t>
      </w:r>
      <w:proofErr w:type="spellEnd"/>
      <w:r w:rsidRPr="00344B45">
        <w:rPr>
          <w:rFonts w:cs="Arial"/>
        </w:rPr>
        <w:t xml:space="preserve">, J., </w:t>
      </w:r>
      <w:proofErr w:type="spellStart"/>
      <w:r w:rsidRPr="00344B45">
        <w:rPr>
          <w:rFonts w:cs="Arial"/>
        </w:rPr>
        <w:t>Frings-Dresen</w:t>
      </w:r>
      <w:proofErr w:type="spellEnd"/>
      <w:r w:rsidRPr="00344B45">
        <w:rPr>
          <w:rFonts w:cs="Arial"/>
        </w:rPr>
        <w:t xml:space="preserve">, M., and </w:t>
      </w:r>
      <w:proofErr w:type="spellStart"/>
      <w:r w:rsidRPr="00344B45">
        <w:rPr>
          <w:rFonts w:cs="Arial"/>
        </w:rPr>
        <w:t>Burdorf</w:t>
      </w:r>
      <w:proofErr w:type="spellEnd"/>
      <w:r w:rsidRPr="00344B45">
        <w:rPr>
          <w:rFonts w:cs="Arial"/>
        </w:rPr>
        <w:t xml:space="preserve">, A. (2009) 'Determinants of Work Ability and Its Predictive Value for Disability', </w:t>
      </w:r>
      <w:r w:rsidRPr="00344B45">
        <w:rPr>
          <w:rFonts w:cs="Arial"/>
          <w:i/>
        </w:rPr>
        <w:t>Occupational Medicine</w:t>
      </w:r>
      <w:r w:rsidRPr="00344B45">
        <w:rPr>
          <w:rFonts w:cs="Arial"/>
        </w:rPr>
        <w:t xml:space="preserve"> 59:32-37.</w:t>
      </w:r>
    </w:p>
    <w:p w:rsidR="00177B3C" w:rsidRPr="00344B45" w:rsidRDefault="00177B3C" w:rsidP="00177B3C">
      <w:pPr>
        <w:spacing w:after="0" w:line="240" w:lineRule="auto"/>
        <w:ind w:left="720" w:hanging="720"/>
        <w:rPr>
          <w:rFonts w:cs="Arial"/>
        </w:rPr>
      </w:pPr>
      <w:r w:rsidRPr="00344B45">
        <w:rPr>
          <w:rFonts w:cs="Arial"/>
        </w:rPr>
        <w:t xml:space="preserve">Altman, D. G., and Royston, P. (2006) 'The Cost of Dichotomising Continuous Variables', </w:t>
      </w:r>
      <w:r w:rsidRPr="00344B45">
        <w:rPr>
          <w:rFonts w:cs="Arial"/>
          <w:i/>
        </w:rPr>
        <w:t>BMJ</w:t>
      </w:r>
      <w:r w:rsidRPr="00344B45">
        <w:rPr>
          <w:rFonts w:cs="Arial"/>
        </w:rPr>
        <w:t xml:space="preserve"> 332:1080.</w:t>
      </w:r>
    </w:p>
    <w:p w:rsidR="00177B3C" w:rsidRPr="00344B45" w:rsidRDefault="00177B3C" w:rsidP="00177B3C">
      <w:pPr>
        <w:spacing w:after="0" w:line="240" w:lineRule="auto"/>
        <w:ind w:left="720" w:hanging="720"/>
        <w:rPr>
          <w:rFonts w:cs="Arial"/>
        </w:rPr>
      </w:pPr>
      <w:r w:rsidRPr="00344B45">
        <w:rPr>
          <w:rFonts w:cs="Arial"/>
        </w:rPr>
        <w:t xml:space="preserve">Bartholomew, D. J., Steele, F., </w:t>
      </w:r>
      <w:proofErr w:type="spellStart"/>
      <w:r w:rsidRPr="00344B45">
        <w:rPr>
          <w:rFonts w:cs="Arial"/>
        </w:rPr>
        <w:t>Moustaki</w:t>
      </w:r>
      <w:proofErr w:type="spellEnd"/>
      <w:r w:rsidRPr="00344B45">
        <w:rPr>
          <w:rFonts w:cs="Arial"/>
        </w:rPr>
        <w:t xml:space="preserve">, I., and Galbraith, J. I. (2008) </w:t>
      </w:r>
      <w:r w:rsidRPr="00344B45">
        <w:rPr>
          <w:rFonts w:cs="Arial"/>
          <w:i/>
        </w:rPr>
        <w:t>Analysis of Multivariate Social Science Data [2nd Edition]</w:t>
      </w:r>
      <w:r w:rsidRPr="00344B45">
        <w:rPr>
          <w:rFonts w:cs="Arial"/>
        </w:rPr>
        <w:t>, Boca Raton, FL: Chapman &amp; Hall/CRC.</w:t>
      </w:r>
    </w:p>
    <w:p w:rsidR="00177B3C" w:rsidRPr="00344B45" w:rsidRDefault="00177B3C" w:rsidP="00177B3C">
      <w:pPr>
        <w:spacing w:after="0" w:line="240" w:lineRule="auto"/>
        <w:ind w:left="720" w:hanging="720"/>
        <w:rPr>
          <w:rFonts w:cs="Arial"/>
        </w:rPr>
      </w:pPr>
      <w:proofErr w:type="spellStart"/>
      <w:r w:rsidRPr="00344B45">
        <w:rPr>
          <w:rFonts w:cs="Arial"/>
        </w:rPr>
        <w:t>Bertelli</w:t>
      </w:r>
      <w:proofErr w:type="spellEnd"/>
      <w:r w:rsidRPr="00344B45">
        <w:rPr>
          <w:rFonts w:cs="Arial"/>
        </w:rPr>
        <w:t xml:space="preserve">, A. M., and Richardson </w:t>
      </w:r>
      <w:proofErr w:type="spellStart"/>
      <w:r w:rsidRPr="00344B45">
        <w:rPr>
          <w:rFonts w:cs="Arial"/>
        </w:rPr>
        <w:t>Jr</w:t>
      </w:r>
      <w:proofErr w:type="spellEnd"/>
      <w:r w:rsidRPr="00344B45">
        <w:rPr>
          <w:rFonts w:cs="Arial"/>
        </w:rPr>
        <w:t xml:space="preserve">, L. E. (2008) 'The </w:t>
      </w:r>
      <w:proofErr w:type="spellStart"/>
      <w:r w:rsidRPr="00344B45">
        <w:rPr>
          <w:rFonts w:cs="Arial"/>
        </w:rPr>
        <w:t>Behavioral</w:t>
      </w:r>
      <w:proofErr w:type="spellEnd"/>
      <w:r w:rsidRPr="00344B45">
        <w:rPr>
          <w:rFonts w:cs="Arial"/>
        </w:rPr>
        <w:t xml:space="preserve"> Impact of Drinking and Driving Laws', </w:t>
      </w:r>
      <w:r w:rsidRPr="00344B45">
        <w:rPr>
          <w:rFonts w:cs="Arial"/>
          <w:i/>
        </w:rPr>
        <w:t>Policy Studies Journal</w:t>
      </w:r>
      <w:r w:rsidRPr="00344B45">
        <w:rPr>
          <w:rFonts w:cs="Arial"/>
        </w:rPr>
        <w:t xml:space="preserve"> 36:545-69.</w:t>
      </w:r>
    </w:p>
    <w:p w:rsidR="00177B3C" w:rsidRPr="00344B45" w:rsidRDefault="00177B3C" w:rsidP="00177B3C">
      <w:pPr>
        <w:spacing w:after="0" w:line="240" w:lineRule="auto"/>
        <w:ind w:left="720" w:hanging="720"/>
        <w:rPr>
          <w:rFonts w:cs="Arial"/>
        </w:rPr>
      </w:pPr>
      <w:proofErr w:type="spellStart"/>
      <w:r w:rsidRPr="00344B45">
        <w:rPr>
          <w:rFonts w:cs="Arial"/>
        </w:rPr>
        <w:t>Blekesaune</w:t>
      </w:r>
      <w:proofErr w:type="spellEnd"/>
      <w:r w:rsidRPr="00344B45">
        <w:rPr>
          <w:rFonts w:cs="Arial"/>
        </w:rPr>
        <w:t xml:space="preserve">, M., and </w:t>
      </w:r>
      <w:proofErr w:type="spellStart"/>
      <w:r w:rsidRPr="00344B45">
        <w:rPr>
          <w:rFonts w:cs="Arial"/>
        </w:rPr>
        <w:t>Solem</w:t>
      </w:r>
      <w:proofErr w:type="spellEnd"/>
      <w:r w:rsidRPr="00344B45">
        <w:rPr>
          <w:rFonts w:cs="Arial"/>
        </w:rPr>
        <w:t xml:space="preserve">, P. E. (2005) 'Working Conditions and Early Retirement: A Prospective Study of Retirement </w:t>
      </w:r>
      <w:proofErr w:type="spellStart"/>
      <w:r w:rsidRPr="00344B45">
        <w:rPr>
          <w:rFonts w:cs="Arial"/>
        </w:rPr>
        <w:t>Behavior</w:t>
      </w:r>
      <w:proofErr w:type="spellEnd"/>
      <w:r w:rsidRPr="00344B45">
        <w:rPr>
          <w:rFonts w:cs="Arial"/>
        </w:rPr>
        <w:t xml:space="preserve">', </w:t>
      </w:r>
      <w:r w:rsidRPr="00344B45">
        <w:rPr>
          <w:rFonts w:cs="Arial"/>
          <w:i/>
        </w:rPr>
        <w:t>Research on Aging</w:t>
      </w:r>
      <w:r w:rsidRPr="00344B45">
        <w:rPr>
          <w:rFonts w:cs="Arial"/>
        </w:rPr>
        <w:t xml:space="preserve"> 27:3.</w:t>
      </w:r>
    </w:p>
    <w:p w:rsidR="00177B3C" w:rsidRPr="00344B45" w:rsidRDefault="00177B3C" w:rsidP="00177B3C">
      <w:pPr>
        <w:spacing w:after="0" w:line="240" w:lineRule="auto"/>
        <w:ind w:left="720" w:hanging="720"/>
        <w:rPr>
          <w:rFonts w:cs="Arial"/>
        </w:rPr>
      </w:pPr>
      <w:r w:rsidRPr="00344B45">
        <w:rPr>
          <w:rFonts w:cs="Arial"/>
        </w:rPr>
        <w:t>Borsch-</w:t>
      </w:r>
      <w:proofErr w:type="spellStart"/>
      <w:r w:rsidRPr="00344B45">
        <w:rPr>
          <w:rFonts w:cs="Arial"/>
        </w:rPr>
        <w:t>Supan</w:t>
      </w:r>
      <w:proofErr w:type="spellEnd"/>
      <w:r w:rsidRPr="00344B45">
        <w:rPr>
          <w:rFonts w:cs="Arial"/>
        </w:rPr>
        <w:t xml:space="preserve">, A., and Roth, H. (2010) 'Work Disability and Health over the Life Course', </w:t>
      </w:r>
      <w:r w:rsidRPr="00344B45">
        <w:rPr>
          <w:rFonts w:cs="Arial"/>
          <w:i/>
        </w:rPr>
        <w:t>Working Paper 228-2010</w:t>
      </w:r>
      <w:r w:rsidRPr="00344B45">
        <w:rPr>
          <w:rFonts w:cs="Arial"/>
        </w:rPr>
        <w:t>, Mannheim: Mannheim Research Institute for the Economics of Aging.</w:t>
      </w:r>
    </w:p>
    <w:p w:rsidR="00177B3C" w:rsidRPr="00344B45" w:rsidRDefault="00177B3C" w:rsidP="00177B3C">
      <w:pPr>
        <w:spacing w:after="0" w:line="240" w:lineRule="auto"/>
        <w:ind w:left="720" w:hanging="720"/>
        <w:rPr>
          <w:rFonts w:cs="Arial"/>
        </w:rPr>
      </w:pPr>
      <w:proofErr w:type="spellStart"/>
      <w:r w:rsidRPr="00344B45">
        <w:rPr>
          <w:rFonts w:cs="Arial"/>
        </w:rPr>
        <w:t>Cappellari</w:t>
      </w:r>
      <w:proofErr w:type="spellEnd"/>
      <w:r w:rsidRPr="00344B45">
        <w:rPr>
          <w:rFonts w:cs="Arial"/>
        </w:rPr>
        <w:t>, L., and Jenkins, S. J. (2008) 'The Dynamics of Social Assistance Receipt: Measurement and Modelling Issues, with an Application to Britain', Essex: ISER.</w:t>
      </w:r>
    </w:p>
    <w:p w:rsidR="00177B3C" w:rsidRPr="00344B45" w:rsidRDefault="00177B3C" w:rsidP="00177B3C">
      <w:pPr>
        <w:spacing w:after="0" w:line="240" w:lineRule="auto"/>
        <w:ind w:left="720" w:hanging="720"/>
        <w:rPr>
          <w:rFonts w:cs="Arial"/>
        </w:rPr>
      </w:pPr>
      <w:r w:rsidRPr="00344B45">
        <w:rPr>
          <w:rFonts w:cs="Arial"/>
        </w:rPr>
        <w:t xml:space="preserve">Carpenter, J., and </w:t>
      </w:r>
      <w:proofErr w:type="spellStart"/>
      <w:r w:rsidRPr="00344B45">
        <w:rPr>
          <w:rFonts w:cs="Arial"/>
        </w:rPr>
        <w:t>Kenward</w:t>
      </w:r>
      <w:proofErr w:type="spellEnd"/>
      <w:r w:rsidRPr="00344B45">
        <w:rPr>
          <w:rFonts w:cs="Arial"/>
        </w:rPr>
        <w:t xml:space="preserve">, M. (2008) </w:t>
      </w:r>
      <w:r w:rsidRPr="00344B45">
        <w:rPr>
          <w:rFonts w:cs="Arial"/>
          <w:i/>
        </w:rPr>
        <w:t>Missing Data in Clinical Trials – a Practical Guide</w:t>
      </w:r>
      <w:r w:rsidRPr="00344B45">
        <w:rPr>
          <w:rFonts w:cs="Arial"/>
        </w:rPr>
        <w:t>, Birmingham: NHS Co-ordinating Centre for Research Methodology.</w:t>
      </w:r>
    </w:p>
    <w:p w:rsidR="00177B3C" w:rsidRPr="00344B45" w:rsidRDefault="00177B3C" w:rsidP="00177B3C">
      <w:pPr>
        <w:spacing w:after="0" w:line="240" w:lineRule="auto"/>
        <w:ind w:left="720" w:hanging="720"/>
        <w:rPr>
          <w:rFonts w:cs="Arial"/>
        </w:rPr>
      </w:pPr>
      <w:r w:rsidRPr="00344B45">
        <w:rPr>
          <w:rFonts w:cs="Arial"/>
        </w:rPr>
        <w:t xml:space="preserve">Christensen, K. B., </w:t>
      </w:r>
      <w:proofErr w:type="spellStart"/>
      <w:r w:rsidRPr="00344B45">
        <w:rPr>
          <w:rFonts w:cs="Arial"/>
        </w:rPr>
        <w:t>Feveile</w:t>
      </w:r>
      <w:proofErr w:type="spellEnd"/>
      <w:r w:rsidRPr="00344B45">
        <w:rPr>
          <w:rFonts w:cs="Arial"/>
        </w:rPr>
        <w:t xml:space="preserve">, H., </w:t>
      </w:r>
      <w:proofErr w:type="spellStart"/>
      <w:r w:rsidRPr="00344B45">
        <w:rPr>
          <w:rFonts w:cs="Arial"/>
        </w:rPr>
        <w:t>Labriola</w:t>
      </w:r>
      <w:proofErr w:type="spellEnd"/>
      <w:r w:rsidRPr="00344B45">
        <w:rPr>
          <w:rFonts w:cs="Arial"/>
        </w:rPr>
        <w:t xml:space="preserve">, M., and Lund, T. (2008) 'The Impact of Psychosocial Work Environment Factors on the Risk of Disability Pension in Denmark', </w:t>
      </w:r>
      <w:r w:rsidRPr="00344B45">
        <w:rPr>
          <w:rFonts w:cs="Arial"/>
          <w:i/>
        </w:rPr>
        <w:t>European Journal of Public Health</w:t>
      </w:r>
      <w:r w:rsidRPr="00344B45">
        <w:rPr>
          <w:rFonts w:cs="Arial"/>
        </w:rPr>
        <w:t xml:space="preserve"> 18:235-37.</w:t>
      </w:r>
    </w:p>
    <w:p w:rsidR="00177B3C" w:rsidRPr="00344B45" w:rsidRDefault="00177B3C" w:rsidP="00177B3C">
      <w:pPr>
        <w:spacing w:after="0" w:line="240" w:lineRule="auto"/>
        <w:ind w:left="720" w:hanging="720"/>
        <w:rPr>
          <w:rFonts w:cs="Arial"/>
        </w:rPr>
      </w:pPr>
      <w:proofErr w:type="spellStart"/>
      <w:r w:rsidRPr="00344B45">
        <w:rPr>
          <w:rFonts w:cs="Arial"/>
        </w:rPr>
        <w:t>Claussen</w:t>
      </w:r>
      <w:proofErr w:type="spellEnd"/>
      <w:r w:rsidRPr="00344B45">
        <w:rPr>
          <w:rFonts w:cs="Arial"/>
        </w:rPr>
        <w:t xml:space="preserve">, B., and </w:t>
      </w:r>
      <w:proofErr w:type="spellStart"/>
      <w:r w:rsidRPr="00344B45">
        <w:rPr>
          <w:rFonts w:cs="Arial"/>
        </w:rPr>
        <w:t>Dalgard</w:t>
      </w:r>
      <w:proofErr w:type="spellEnd"/>
      <w:r w:rsidRPr="00344B45">
        <w:rPr>
          <w:rFonts w:cs="Arial"/>
        </w:rPr>
        <w:t xml:space="preserve">, S. (2009) 'Disability Pensioning: The Gender Divide Can Be Explained by Occupation, Income, Mental Distress and Health', </w:t>
      </w:r>
      <w:r w:rsidRPr="00344B45">
        <w:rPr>
          <w:rFonts w:cs="Arial"/>
          <w:i/>
        </w:rPr>
        <w:t>Scandinavian Journal of Public Health</w:t>
      </w:r>
      <w:r w:rsidRPr="00344B45">
        <w:rPr>
          <w:rFonts w:cs="Arial"/>
        </w:rPr>
        <w:t xml:space="preserve"> 37:590-97.</w:t>
      </w:r>
    </w:p>
    <w:p w:rsidR="00177B3C" w:rsidRPr="00344B45" w:rsidRDefault="00177B3C" w:rsidP="00177B3C">
      <w:pPr>
        <w:spacing w:after="0" w:line="240" w:lineRule="auto"/>
        <w:ind w:left="720" w:hanging="720"/>
        <w:rPr>
          <w:rFonts w:cs="Arial"/>
        </w:rPr>
      </w:pPr>
      <w:r w:rsidRPr="00344B45">
        <w:rPr>
          <w:rFonts w:cs="Arial"/>
        </w:rPr>
        <w:t xml:space="preserve">DWP. (2010) 'Building Bridges to Work: New Approaches to Tackling Long-Term Worklessness', </w:t>
      </w:r>
      <w:r w:rsidRPr="00344B45">
        <w:rPr>
          <w:rFonts w:cs="Arial"/>
          <w:i/>
        </w:rPr>
        <w:t>Cm 7817</w:t>
      </w:r>
      <w:r w:rsidRPr="00344B45">
        <w:rPr>
          <w:rFonts w:cs="Arial"/>
        </w:rPr>
        <w:t xml:space="preserve">, </w:t>
      </w:r>
      <w:proofErr w:type="gramStart"/>
      <w:r w:rsidRPr="00344B45">
        <w:rPr>
          <w:rFonts w:cs="Arial"/>
        </w:rPr>
        <w:t>London</w:t>
      </w:r>
      <w:proofErr w:type="gramEnd"/>
      <w:r w:rsidRPr="00344B45">
        <w:rPr>
          <w:rFonts w:cs="Arial"/>
        </w:rPr>
        <w:t>: The Stationery Office, for the Department of Work and Pensions (DWP).</w:t>
      </w:r>
    </w:p>
    <w:p w:rsidR="00177B3C" w:rsidRPr="00344B45" w:rsidRDefault="00177B3C" w:rsidP="00177B3C">
      <w:pPr>
        <w:spacing w:after="0" w:line="240" w:lineRule="auto"/>
        <w:ind w:left="720" w:hanging="720"/>
        <w:rPr>
          <w:rFonts w:cs="Arial"/>
        </w:rPr>
      </w:pPr>
      <w:r w:rsidRPr="00344B45">
        <w:rPr>
          <w:rFonts w:cs="Arial"/>
        </w:rPr>
        <w:t xml:space="preserve">———. (2006) 'A New Deal for Welfare: Empowering People to Work', </w:t>
      </w:r>
      <w:r w:rsidRPr="00344B45">
        <w:rPr>
          <w:rFonts w:cs="Arial"/>
          <w:i/>
        </w:rPr>
        <w:t>Cm 6730</w:t>
      </w:r>
      <w:r w:rsidRPr="00344B45">
        <w:rPr>
          <w:rFonts w:cs="Arial"/>
        </w:rPr>
        <w:t>, London: The Stationery Office, for the Department of Work and Pensions (DWP).</w:t>
      </w:r>
    </w:p>
    <w:p w:rsidR="00177B3C" w:rsidRPr="00344B45" w:rsidRDefault="00177B3C" w:rsidP="00177B3C">
      <w:pPr>
        <w:spacing w:after="0" w:line="240" w:lineRule="auto"/>
        <w:ind w:left="720" w:hanging="720"/>
        <w:rPr>
          <w:rFonts w:cs="Arial"/>
        </w:rPr>
      </w:pPr>
      <w:r w:rsidRPr="00344B45">
        <w:rPr>
          <w:rFonts w:cs="Arial"/>
        </w:rPr>
        <w:t xml:space="preserve">———. (2008) 'No One Written Off: Reforming Welfare to Reward Responsibility [Public Consultation]', </w:t>
      </w:r>
      <w:r w:rsidRPr="00344B45">
        <w:rPr>
          <w:rFonts w:cs="Arial"/>
          <w:i/>
        </w:rPr>
        <w:t>Cm 7363</w:t>
      </w:r>
      <w:r w:rsidRPr="00344B45">
        <w:rPr>
          <w:rFonts w:cs="Arial"/>
        </w:rPr>
        <w:t>, London: The Stationery Office, for the Department of Work and Pensions (DWP).</w:t>
      </w:r>
    </w:p>
    <w:p w:rsidR="00177B3C" w:rsidRPr="00344B45" w:rsidRDefault="00177B3C" w:rsidP="00177B3C">
      <w:pPr>
        <w:spacing w:after="0" w:line="240" w:lineRule="auto"/>
        <w:ind w:left="720" w:hanging="720"/>
        <w:rPr>
          <w:rFonts w:cs="Arial"/>
        </w:rPr>
      </w:pPr>
      <w:r w:rsidRPr="00344B45">
        <w:rPr>
          <w:rFonts w:cs="Arial"/>
        </w:rPr>
        <w:t xml:space="preserve">———. (2008) 'Raising Expectations and Increasing Support: Reforming Welfare for the Future', </w:t>
      </w:r>
      <w:r w:rsidRPr="00344B45">
        <w:rPr>
          <w:rFonts w:cs="Arial"/>
          <w:i/>
        </w:rPr>
        <w:t>CM 7506</w:t>
      </w:r>
      <w:r w:rsidRPr="00344B45">
        <w:rPr>
          <w:rFonts w:cs="Arial"/>
        </w:rPr>
        <w:t>, London: The Stationery Office, for the Department of Work and Pensions (DWP).</w:t>
      </w:r>
    </w:p>
    <w:p w:rsidR="00177B3C" w:rsidRPr="00344B45" w:rsidRDefault="00177B3C" w:rsidP="00177B3C">
      <w:pPr>
        <w:spacing w:after="0" w:line="240" w:lineRule="auto"/>
        <w:ind w:left="720" w:hanging="720"/>
        <w:rPr>
          <w:rFonts w:cs="Arial"/>
        </w:rPr>
      </w:pPr>
      <w:r w:rsidRPr="00344B45">
        <w:rPr>
          <w:rFonts w:cs="Arial"/>
        </w:rPr>
        <w:t xml:space="preserve">———. (2010) 'Universal Credit: Welfare That Works', </w:t>
      </w:r>
      <w:r w:rsidRPr="00344B45">
        <w:rPr>
          <w:rFonts w:cs="Arial"/>
          <w:i/>
        </w:rPr>
        <w:t>Cm 7957</w:t>
      </w:r>
      <w:r w:rsidRPr="00344B45">
        <w:rPr>
          <w:rFonts w:cs="Arial"/>
        </w:rPr>
        <w:t>, London: The Stationery Office, for the Department of Work and Pensions (DWP).</w:t>
      </w:r>
    </w:p>
    <w:p w:rsidR="00177B3C" w:rsidRPr="00344B45" w:rsidRDefault="00177B3C" w:rsidP="00177B3C">
      <w:pPr>
        <w:spacing w:after="0" w:line="240" w:lineRule="auto"/>
        <w:ind w:left="720" w:hanging="720"/>
        <w:rPr>
          <w:rFonts w:cs="Arial"/>
        </w:rPr>
      </w:pPr>
      <w:r w:rsidRPr="00344B45">
        <w:rPr>
          <w:rFonts w:cs="Arial"/>
        </w:rPr>
        <w:t xml:space="preserve">Faye, O., </w:t>
      </w:r>
      <w:proofErr w:type="spellStart"/>
      <w:r w:rsidRPr="00344B45">
        <w:rPr>
          <w:rFonts w:cs="Arial"/>
        </w:rPr>
        <w:t>Baschieri</w:t>
      </w:r>
      <w:proofErr w:type="spellEnd"/>
      <w:r w:rsidRPr="00344B45">
        <w:rPr>
          <w:rFonts w:cs="Arial"/>
        </w:rPr>
        <w:t xml:space="preserve">, A., Jane </w:t>
      </w:r>
      <w:proofErr w:type="spellStart"/>
      <w:r w:rsidRPr="00344B45">
        <w:rPr>
          <w:rFonts w:cs="Arial"/>
        </w:rPr>
        <w:t>Falkingham</w:t>
      </w:r>
      <w:proofErr w:type="spellEnd"/>
      <w:r w:rsidRPr="00344B45">
        <w:rPr>
          <w:rFonts w:cs="Arial"/>
        </w:rPr>
        <w:t xml:space="preserve">, and </w:t>
      </w:r>
      <w:proofErr w:type="spellStart"/>
      <w:r w:rsidRPr="00344B45">
        <w:rPr>
          <w:rFonts w:cs="Arial"/>
        </w:rPr>
        <w:t>Muindi</w:t>
      </w:r>
      <w:proofErr w:type="spellEnd"/>
      <w:r w:rsidRPr="00344B45">
        <w:rPr>
          <w:rFonts w:cs="Arial"/>
        </w:rPr>
        <w:t xml:space="preserve">, K. (2011) 'The New York Academy of Medicine Hunger and Food Insecurity in Nairobi’s Slums: An Assessment Using </w:t>
      </w:r>
      <w:proofErr w:type="spellStart"/>
      <w:r w:rsidRPr="00344B45">
        <w:rPr>
          <w:rFonts w:cs="Arial"/>
        </w:rPr>
        <w:t>Irt</w:t>
      </w:r>
      <w:proofErr w:type="spellEnd"/>
      <w:r w:rsidRPr="00344B45">
        <w:rPr>
          <w:rFonts w:cs="Arial"/>
        </w:rPr>
        <w:t xml:space="preserve"> Models', </w:t>
      </w:r>
      <w:r w:rsidRPr="00344B45">
        <w:rPr>
          <w:rFonts w:cs="Arial"/>
          <w:i/>
        </w:rPr>
        <w:t>Journal of Urban Health: Bulletin of the New York Academy of Medicine</w:t>
      </w:r>
      <w:r w:rsidRPr="00344B45">
        <w:rPr>
          <w:rFonts w:cs="Arial"/>
        </w:rPr>
        <w:t>.</w:t>
      </w:r>
    </w:p>
    <w:p w:rsidR="00177B3C" w:rsidRPr="00344B45" w:rsidRDefault="00177B3C" w:rsidP="00177B3C">
      <w:pPr>
        <w:spacing w:after="0" w:line="240" w:lineRule="auto"/>
        <w:ind w:left="720" w:hanging="720"/>
        <w:rPr>
          <w:rFonts w:cs="Arial"/>
        </w:rPr>
      </w:pPr>
      <w:r w:rsidRPr="00344B45">
        <w:rPr>
          <w:rFonts w:cs="Arial"/>
        </w:rPr>
        <w:t>Freud, D. (2010) 'Speech to Health, Work and Well-Being Specialists, 14/10/2010', London: DWP Ministerial Speeches.</w:t>
      </w:r>
    </w:p>
    <w:p w:rsidR="00177B3C" w:rsidRPr="00344B45" w:rsidRDefault="00177B3C" w:rsidP="00177B3C">
      <w:pPr>
        <w:spacing w:after="0" w:line="240" w:lineRule="auto"/>
        <w:ind w:left="720" w:hanging="720"/>
        <w:rPr>
          <w:rFonts w:cs="Arial"/>
        </w:rPr>
      </w:pPr>
      <w:proofErr w:type="spellStart"/>
      <w:r w:rsidRPr="00344B45">
        <w:rPr>
          <w:rFonts w:cs="Arial"/>
        </w:rPr>
        <w:t>Friis</w:t>
      </w:r>
      <w:proofErr w:type="spellEnd"/>
      <w:r w:rsidRPr="00344B45">
        <w:rPr>
          <w:rFonts w:cs="Arial"/>
        </w:rPr>
        <w:t xml:space="preserve">, K., </w:t>
      </w:r>
      <w:proofErr w:type="spellStart"/>
      <w:r w:rsidRPr="00344B45">
        <w:rPr>
          <w:rFonts w:cs="Arial"/>
        </w:rPr>
        <w:t>Ekholm</w:t>
      </w:r>
      <w:proofErr w:type="spellEnd"/>
      <w:r w:rsidRPr="00344B45">
        <w:rPr>
          <w:rFonts w:cs="Arial"/>
        </w:rPr>
        <w:t xml:space="preserve">, O., and </w:t>
      </w:r>
      <w:proofErr w:type="spellStart"/>
      <w:r w:rsidRPr="00344B45">
        <w:rPr>
          <w:rFonts w:cs="Arial"/>
        </w:rPr>
        <w:t>Hundrup</w:t>
      </w:r>
      <w:proofErr w:type="spellEnd"/>
      <w:r w:rsidRPr="00344B45">
        <w:rPr>
          <w:rFonts w:cs="Arial"/>
        </w:rPr>
        <w:t xml:space="preserve">, Y. A. (2008) 'The Relationship between Lifestyle, Working Environment, Socio-Demographic Factors and Expulsion from the Labour Market Due to Disability Pension among Nurses', </w:t>
      </w:r>
      <w:r w:rsidRPr="00344B45">
        <w:rPr>
          <w:rFonts w:cs="Arial"/>
          <w:i/>
        </w:rPr>
        <w:t>Scandinavian Journal of Caring Sciences</w:t>
      </w:r>
      <w:r w:rsidRPr="00344B45">
        <w:rPr>
          <w:rFonts w:cs="Arial"/>
        </w:rPr>
        <w:t xml:space="preserve"> 22:241-48.</w:t>
      </w:r>
    </w:p>
    <w:p w:rsidR="00177B3C" w:rsidRPr="00344B45" w:rsidRDefault="00177B3C" w:rsidP="00177B3C">
      <w:pPr>
        <w:spacing w:after="0" w:line="240" w:lineRule="auto"/>
        <w:ind w:left="720" w:hanging="720"/>
        <w:rPr>
          <w:rFonts w:cs="Arial"/>
        </w:rPr>
      </w:pPr>
      <w:proofErr w:type="spellStart"/>
      <w:r w:rsidRPr="00344B45">
        <w:rPr>
          <w:rFonts w:cs="Arial"/>
        </w:rPr>
        <w:t>Goos</w:t>
      </w:r>
      <w:proofErr w:type="spellEnd"/>
      <w:r w:rsidRPr="00344B45">
        <w:rPr>
          <w:rFonts w:cs="Arial"/>
        </w:rPr>
        <w:t xml:space="preserve">, M., and Manning, A. (2007) 'Lousy and Lovely Jobs: The Rising Polarization of Work in Britain ', </w:t>
      </w:r>
      <w:r w:rsidRPr="00344B45">
        <w:rPr>
          <w:rFonts w:cs="Arial"/>
          <w:i/>
        </w:rPr>
        <w:t>Review of Economics and Statistics</w:t>
      </w:r>
      <w:r w:rsidRPr="00344B45">
        <w:rPr>
          <w:rFonts w:cs="Arial"/>
        </w:rPr>
        <w:t xml:space="preserve"> 89:118-33.</w:t>
      </w:r>
    </w:p>
    <w:p w:rsidR="00177B3C" w:rsidRPr="00344B45" w:rsidRDefault="00177B3C" w:rsidP="00177B3C">
      <w:pPr>
        <w:spacing w:after="0" w:line="240" w:lineRule="auto"/>
        <w:ind w:left="720" w:hanging="720"/>
        <w:rPr>
          <w:rFonts w:cs="Arial"/>
        </w:rPr>
      </w:pPr>
      <w:r w:rsidRPr="00344B45">
        <w:rPr>
          <w:rFonts w:cs="Arial"/>
        </w:rPr>
        <w:lastRenderedPageBreak/>
        <w:t xml:space="preserve">Hagen, K. B., </w:t>
      </w:r>
      <w:proofErr w:type="spellStart"/>
      <w:r w:rsidRPr="00344B45">
        <w:rPr>
          <w:rFonts w:cs="Arial"/>
        </w:rPr>
        <w:t>Tambs</w:t>
      </w:r>
      <w:proofErr w:type="spellEnd"/>
      <w:r w:rsidRPr="00344B45">
        <w:rPr>
          <w:rFonts w:cs="Arial"/>
        </w:rPr>
        <w:t xml:space="preserve">, K., and </w:t>
      </w:r>
      <w:proofErr w:type="spellStart"/>
      <w:r w:rsidRPr="00344B45">
        <w:rPr>
          <w:rFonts w:cs="Arial"/>
        </w:rPr>
        <w:t>Bjerkedal</w:t>
      </w:r>
      <w:proofErr w:type="spellEnd"/>
      <w:r w:rsidRPr="00344B45">
        <w:rPr>
          <w:rFonts w:cs="Arial"/>
        </w:rPr>
        <w:t xml:space="preserve">, T. M. (2002) 'A Prospective Cohort Study of Risk Factors for Disability Retirement Because of Back Pain in the General Working Population', </w:t>
      </w:r>
      <w:r w:rsidRPr="00344B45">
        <w:rPr>
          <w:rFonts w:cs="Arial"/>
          <w:i/>
        </w:rPr>
        <w:t>Spine</w:t>
      </w:r>
      <w:r w:rsidRPr="00344B45">
        <w:rPr>
          <w:rFonts w:cs="Arial"/>
        </w:rPr>
        <w:t xml:space="preserve"> 27:1790-96.</w:t>
      </w:r>
    </w:p>
    <w:p w:rsidR="00177B3C" w:rsidRPr="00344B45" w:rsidRDefault="00177B3C" w:rsidP="00177B3C">
      <w:pPr>
        <w:spacing w:after="0" w:line="240" w:lineRule="auto"/>
        <w:ind w:left="720" w:hanging="720"/>
        <w:rPr>
          <w:rFonts w:cs="Arial"/>
        </w:rPr>
      </w:pPr>
      <w:proofErr w:type="spellStart"/>
      <w:r w:rsidRPr="00344B45">
        <w:rPr>
          <w:rFonts w:cs="Arial"/>
        </w:rPr>
        <w:t>Haukenes</w:t>
      </w:r>
      <w:proofErr w:type="spellEnd"/>
      <w:r w:rsidRPr="00344B45">
        <w:rPr>
          <w:rFonts w:cs="Arial"/>
        </w:rPr>
        <w:t xml:space="preserve">, I., </w:t>
      </w:r>
      <w:proofErr w:type="spellStart"/>
      <w:r w:rsidRPr="00344B45">
        <w:rPr>
          <w:rFonts w:cs="Arial"/>
        </w:rPr>
        <w:t>Mykletun</w:t>
      </w:r>
      <w:proofErr w:type="spellEnd"/>
      <w:r w:rsidRPr="00344B45">
        <w:rPr>
          <w:rFonts w:cs="Arial"/>
        </w:rPr>
        <w:t xml:space="preserve">, A., Knudsen, A. K., Hansen, H.-T., and </w:t>
      </w:r>
      <w:proofErr w:type="spellStart"/>
      <w:r w:rsidRPr="00344B45">
        <w:rPr>
          <w:rFonts w:cs="Arial"/>
        </w:rPr>
        <w:t>Maeland</w:t>
      </w:r>
      <w:proofErr w:type="spellEnd"/>
      <w:r w:rsidRPr="00344B45">
        <w:rPr>
          <w:rFonts w:cs="Arial"/>
        </w:rPr>
        <w:t xml:space="preserve">, J. G. (2011) 'Disability Pension by Occupational Class - the Impact of Work-Related Factors: The </w:t>
      </w:r>
      <w:proofErr w:type="spellStart"/>
      <w:r w:rsidRPr="00344B45">
        <w:rPr>
          <w:rFonts w:cs="Arial"/>
        </w:rPr>
        <w:t>Hordaland</w:t>
      </w:r>
      <w:proofErr w:type="spellEnd"/>
      <w:r w:rsidRPr="00344B45">
        <w:rPr>
          <w:rFonts w:cs="Arial"/>
        </w:rPr>
        <w:t xml:space="preserve"> Health Study Cohort', </w:t>
      </w:r>
      <w:r w:rsidRPr="00344B45">
        <w:rPr>
          <w:rFonts w:cs="Arial"/>
          <w:i/>
        </w:rPr>
        <w:t>BMC Public Health</w:t>
      </w:r>
      <w:r w:rsidRPr="00344B45">
        <w:rPr>
          <w:rFonts w:cs="Arial"/>
        </w:rPr>
        <w:t xml:space="preserve"> 11:406.</w:t>
      </w:r>
    </w:p>
    <w:p w:rsidR="00177B3C" w:rsidRPr="00344B45" w:rsidRDefault="00177B3C" w:rsidP="00177B3C">
      <w:pPr>
        <w:spacing w:after="0" w:line="240" w:lineRule="auto"/>
        <w:ind w:left="720" w:hanging="720"/>
        <w:rPr>
          <w:rFonts w:cs="Arial"/>
        </w:rPr>
      </w:pPr>
      <w:proofErr w:type="spellStart"/>
      <w:r w:rsidRPr="00344B45">
        <w:rPr>
          <w:rFonts w:cs="Arial"/>
        </w:rPr>
        <w:t>Holgado-Tello</w:t>
      </w:r>
      <w:proofErr w:type="spellEnd"/>
      <w:r w:rsidRPr="00344B45">
        <w:rPr>
          <w:rFonts w:cs="Arial"/>
        </w:rPr>
        <w:t xml:space="preserve">, F. P., </w:t>
      </w:r>
      <w:proofErr w:type="spellStart"/>
      <w:r w:rsidRPr="00344B45">
        <w:rPr>
          <w:rFonts w:cs="Arial"/>
        </w:rPr>
        <w:t>Chacón-Moscoso</w:t>
      </w:r>
      <w:proofErr w:type="spellEnd"/>
      <w:r w:rsidRPr="00344B45">
        <w:rPr>
          <w:rFonts w:cs="Arial"/>
        </w:rPr>
        <w:t xml:space="preserve">, S., </w:t>
      </w:r>
      <w:proofErr w:type="spellStart"/>
      <w:r w:rsidRPr="00344B45">
        <w:rPr>
          <w:rFonts w:cs="Arial"/>
        </w:rPr>
        <w:t>Barbero-García</w:t>
      </w:r>
      <w:proofErr w:type="spellEnd"/>
      <w:r w:rsidRPr="00344B45">
        <w:rPr>
          <w:rFonts w:cs="Arial"/>
        </w:rPr>
        <w:t>, I., and Vila-Abad, E. (2008) '</w:t>
      </w:r>
      <w:proofErr w:type="spellStart"/>
      <w:r w:rsidRPr="00344B45">
        <w:rPr>
          <w:rFonts w:cs="Arial"/>
        </w:rPr>
        <w:t>Polychoric</w:t>
      </w:r>
      <w:proofErr w:type="spellEnd"/>
      <w:r w:rsidRPr="00344B45">
        <w:rPr>
          <w:rFonts w:cs="Arial"/>
        </w:rPr>
        <w:t xml:space="preserve"> </w:t>
      </w:r>
      <w:proofErr w:type="gramStart"/>
      <w:r w:rsidRPr="00344B45">
        <w:rPr>
          <w:rFonts w:cs="Arial"/>
        </w:rPr>
        <w:t>Versus</w:t>
      </w:r>
      <w:proofErr w:type="gramEnd"/>
      <w:r w:rsidRPr="00344B45">
        <w:rPr>
          <w:rFonts w:cs="Arial"/>
        </w:rPr>
        <w:t xml:space="preserve"> Pearson Correlations in Exploratory and Confirmatory Factor Analysis of Ordinal Variables', </w:t>
      </w:r>
      <w:r w:rsidRPr="00344B45">
        <w:rPr>
          <w:rFonts w:cs="Arial"/>
          <w:i/>
        </w:rPr>
        <w:t>Quality and Quantity</w:t>
      </w:r>
      <w:r w:rsidRPr="00344B45">
        <w:rPr>
          <w:rFonts w:cs="Arial"/>
        </w:rPr>
        <w:t xml:space="preserve"> 44:153-66.</w:t>
      </w:r>
    </w:p>
    <w:p w:rsidR="00177B3C" w:rsidRPr="00344B45" w:rsidRDefault="00177B3C" w:rsidP="00177B3C">
      <w:pPr>
        <w:spacing w:after="0" w:line="240" w:lineRule="auto"/>
        <w:ind w:left="720" w:hanging="720"/>
        <w:rPr>
          <w:rFonts w:cs="Arial"/>
        </w:rPr>
      </w:pPr>
      <w:r w:rsidRPr="00344B45">
        <w:rPr>
          <w:rFonts w:cs="Arial"/>
        </w:rPr>
        <w:t>Jenkins, S. P. (2010) 'The British Household Panel Survey and Its Income Data', Colchester, UK: Institute for Social &amp; Economic Research (ISER).</w:t>
      </w:r>
    </w:p>
    <w:p w:rsidR="00177B3C" w:rsidRPr="00344B45" w:rsidRDefault="00177B3C" w:rsidP="00177B3C">
      <w:pPr>
        <w:spacing w:after="0" w:line="240" w:lineRule="auto"/>
        <w:ind w:left="720" w:hanging="720"/>
        <w:rPr>
          <w:rFonts w:cs="Arial"/>
        </w:rPr>
      </w:pPr>
      <w:proofErr w:type="spellStart"/>
      <w:r w:rsidRPr="00344B45">
        <w:rPr>
          <w:rFonts w:cs="Arial"/>
        </w:rPr>
        <w:t>Kenward</w:t>
      </w:r>
      <w:proofErr w:type="spellEnd"/>
      <w:r w:rsidRPr="00344B45">
        <w:rPr>
          <w:rFonts w:cs="Arial"/>
        </w:rPr>
        <w:t xml:space="preserve">, M., and Carpenter, J. (2007) 'Multiple Imputation: Current Perspectives', </w:t>
      </w:r>
      <w:r w:rsidRPr="00344B45">
        <w:rPr>
          <w:rFonts w:cs="Arial"/>
          <w:i/>
        </w:rPr>
        <w:t>Statistical Methods in Medical Research</w:t>
      </w:r>
      <w:r w:rsidRPr="00344B45">
        <w:rPr>
          <w:rFonts w:cs="Arial"/>
        </w:rPr>
        <w:t xml:space="preserve"> 16:199-218.</w:t>
      </w:r>
    </w:p>
    <w:p w:rsidR="00177B3C" w:rsidRPr="00344B45" w:rsidRDefault="00177B3C" w:rsidP="00177B3C">
      <w:pPr>
        <w:spacing w:after="0" w:line="240" w:lineRule="auto"/>
        <w:ind w:left="720" w:hanging="720"/>
        <w:rPr>
          <w:rFonts w:cs="Arial"/>
        </w:rPr>
      </w:pPr>
      <w:proofErr w:type="spellStart"/>
      <w:r w:rsidRPr="00344B45">
        <w:rPr>
          <w:rFonts w:cs="Arial"/>
        </w:rPr>
        <w:t>Kolenikov</w:t>
      </w:r>
      <w:proofErr w:type="spellEnd"/>
      <w:r w:rsidRPr="00344B45">
        <w:rPr>
          <w:rFonts w:cs="Arial"/>
        </w:rPr>
        <w:t xml:space="preserve">, S., and Angeles, G. (2004) 'The Use of Discrete Data in Principal Component Analysis: Theory, Simulations, and Applications to Socioeconomic Indices', </w:t>
      </w:r>
      <w:r w:rsidRPr="00344B45">
        <w:rPr>
          <w:rFonts w:cs="Arial"/>
          <w:i/>
        </w:rPr>
        <w:t>Working Paper of MEASURE/Evaluation project, No. WP-04-85</w:t>
      </w:r>
      <w:r w:rsidRPr="00344B45">
        <w:rPr>
          <w:rFonts w:cs="Arial"/>
        </w:rPr>
        <w:t xml:space="preserve">: Carolina Population </w:t>
      </w:r>
      <w:proofErr w:type="spellStart"/>
      <w:r w:rsidRPr="00344B45">
        <w:rPr>
          <w:rFonts w:cs="Arial"/>
        </w:rPr>
        <w:t>Center</w:t>
      </w:r>
      <w:proofErr w:type="spellEnd"/>
      <w:r w:rsidRPr="00344B45">
        <w:rPr>
          <w:rFonts w:cs="Arial"/>
        </w:rPr>
        <w:t>, UNC.</w:t>
      </w:r>
    </w:p>
    <w:p w:rsidR="00177B3C" w:rsidRPr="00344B45" w:rsidRDefault="00177B3C" w:rsidP="00177B3C">
      <w:pPr>
        <w:spacing w:after="0" w:line="240" w:lineRule="auto"/>
        <w:ind w:left="720" w:hanging="720"/>
        <w:rPr>
          <w:rFonts w:cs="Arial"/>
        </w:rPr>
      </w:pPr>
      <w:r w:rsidRPr="00344B45">
        <w:rPr>
          <w:rFonts w:cs="Arial"/>
        </w:rPr>
        <w:t xml:space="preserve">Krause, N., Lynch, J., Kaplan, G., Cohen, R., Goldberg, D., and </w:t>
      </w:r>
      <w:proofErr w:type="spellStart"/>
      <w:r w:rsidRPr="00344B45">
        <w:rPr>
          <w:rFonts w:cs="Arial"/>
        </w:rPr>
        <w:t>Salonen</w:t>
      </w:r>
      <w:proofErr w:type="spellEnd"/>
      <w:r w:rsidRPr="00344B45">
        <w:rPr>
          <w:rFonts w:cs="Arial"/>
        </w:rPr>
        <w:t xml:space="preserve">, J. T. (1997) 'Predictors of Disability Retirement', </w:t>
      </w:r>
      <w:r w:rsidRPr="00344B45">
        <w:rPr>
          <w:rFonts w:cs="Arial"/>
          <w:i/>
        </w:rPr>
        <w:t>Scandinavian Journal of Work Environment &amp; Health</w:t>
      </w:r>
      <w:r w:rsidRPr="00344B45">
        <w:rPr>
          <w:rFonts w:cs="Arial"/>
        </w:rPr>
        <w:t xml:space="preserve"> 23:403-13.</w:t>
      </w:r>
    </w:p>
    <w:p w:rsidR="00177B3C" w:rsidRPr="00344B45" w:rsidRDefault="00177B3C" w:rsidP="00177B3C">
      <w:pPr>
        <w:spacing w:after="0" w:line="240" w:lineRule="auto"/>
        <w:ind w:left="720" w:hanging="720"/>
        <w:rPr>
          <w:rFonts w:cs="Arial"/>
        </w:rPr>
      </w:pPr>
      <w:proofErr w:type="spellStart"/>
      <w:r w:rsidRPr="00344B45">
        <w:rPr>
          <w:rFonts w:cs="Arial"/>
        </w:rPr>
        <w:t>Krokstad</w:t>
      </w:r>
      <w:proofErr w:type="spellEnd"/>
      <w:r w:rsidRPr="00344B45">
        <w:rPr>
          <w:rFonts w:cs="Arial"/>
        </w:rPr>
        <w:t xml:space="preserve">, S., </w:t>
      </w:r>
      <w:proofErr w:type="spellStart"/>
      <w:r w:rsidRPr="00344B45">
        <w:rPr>
          <w:rFonts w:cs="Arial"/>
        </w:rPr>
        <w:t>Johnsen</w:t>
      </w:r>
      <w:proofErr w:type="spellEnd"/>
      <w:r w:rsidRPr="00344B45">
        <w:rPr>
          <w:rFonts w:cs="Arial"/>
        </w:rPr>
        <w:t xml:space="preserve">, R., and Westin, S. (2002) 'Social Determinants of Disability Pension', </w:t>
      </w:r>
      <w:r w:rsidRPr="00344B45">
        <w:rPr>
          <w:rFonts w:cs="Arial"/>
          <w:i/>
        </w:rPr>
        <w:t>International Journal of Epidemiology</w:t>
      </w:r>
      <w:r w:rsidRPr="00344B45">
        <w:rPr>
          <w:rFonts w:cs="Arial"/>
        </w:rPr>
        <w:t xml:space="preserve"> 31:1183-91.</w:t>
      </w:r>
    </w:p>
    <w:p w:rsidR="00177B3C" w:rsidRPr="00344B45" w:rsidRDefault="00177B3C" w:rsidP="00177B3C">
      <w:pPr>
        <w:spacing w:after="0" w:line="240" w:lineRule="auto"/>
        <w:ind w:left="720" w:hanging="720"/>
        <w:rPr>
          <w:rFonts w:cs="Arial"/>
        </w:rPr>
      </w:pPr>
      <w:proofErr w:type="spellStart"/>
      <w:r w:rsidRPr="00344B45">
        <w:rPr>
          <w:rFonts w:cs="Arial"/>
        </w:rPr>
        <w:t>Laine</w:t>
      </w:r>
      <w:proofErr w:type="spellEnd"/>
      <w:r w:rsidRPr="00344B45">
        <w:rPr>
          <w:rFonts w:cs="Arial"/>
        </w:rPr>
        <w:t xml:space="preserve">, S., </w:t>
      </w:r>
      <w:proofErr w:type="spellStart"/>
      <w:r w:rsidRPr="00344B45">
        <w:rPr>
          <w:rFonts w:cs="Arial"/>
        </w:rPr>
        <w:t>Gimeno</w:t>
      </w:r>
      <w:proofErr w:type="spellEnd"/>
      <w:r w:rsidRPr="00344B45">
        <w:rPr>
          <w:rFonts w:cs="Arial"/>
        </w:rPr>
        <w:t xml:space="preserve">, D., Virtanen, M., </w:t>
      </w:r>
      <w:proofErr w:type="spellStart"/>
      <w:r w:rsidRPr="00344B45">
        <w:rPr>
          <w:rFonts w:cs="Arial"/>
        </w:rPr>
        <w:t>Oksanen</w:t>
      </w:r>
      <w:proofErr w:type="spellEnd"/>
      <w:r w:rsidRPr="00344B45">
        <w:rPr>
          <w:rFonts w:cs="Arial"/>
        </w:rPr>
        <w:t xml:space="preserve">, T., </w:t>
      </w:r>
      <w:proofErr w:type="spellStart"/>
      <w:r w:rsidRPr="00344B45">
        <w:rPr>
          <w:rFonts w:cs="Arial"/>
        </w:rPr>
        <w:t>Vahtera</w:t>
      </w:r>
      <w:proofErr w:type="spellEnd"/>
      <w:r w:rsidRPr="00344B45">
        <w:rPr>
          <w:rFonts w:cs="Arial"/>
        </w:rPr>
        <w:t xml:space="preserve">, J., </w:t>
      </w:r>
      <w:proofErr w:type="spellStart"/>
      <w:r w:rsidRPr="00344B45">
        <w:rPr>
          <w:rFonts w:cs="Arial"/>
        </w:rPr>
        <w:t>Elovainio</w:t>
      </w:r>
      <w:proofErr w:type="spellEnd"/>
      <w:r w:rsidRPr="00344B45">
        <w:rPr>
          <w:rFonts w:cs="Arial"/>
        </w:rPr>
        <w:t xml:space="preserve">, M., </w:t>
      </w:r>
      <w:proofErr w:type="spellStart"/>
      <w:r w:rsidRPr="00344B45">
        <w:rPr>
          <w:rFonts w:cs="Arial"/>
        </w:rPr>
        <w:t>Koskinen</w:t>
      </w:r>
      <w:proofErr w:type="spellEnd"/>
      <w:r w:rsidRPr="00344B45">
        <w:rPr>
          <w:rFonts w:cs="Arial"/>
        </w:rPr>
        <w:t xml:space="preserve">, A., </w:t>
      </w:r>
      <w:proofErr w:type="spellStart"/>
      <w:r w:rsidRPr="00344B45">
        <w:rPr>
          <w:rFonts w:cs="Arial"/>
        </w:rPr>
        <w:t>Pentti</w:t>
      </w:r>
      <w:proofErr w:type="spellEnd"/>
      <w:r w:rsidRPr="00344B45">
        <w:rPr>
          <w:rFonts w:cs="Arial"/>
        </w:rPr>
        <w:t xml:space="preserve">, J., and </w:t>
      </w:r>
      <w:proofErr w:type="spellStart"/>
      <w:r w:rsidRPr="00344B45">
        <w:rPr>
          <w:rFonts w:cs="Arial"/>
        </w:rPr>
        <w:t>Kivimäki</w:t>
      </w:r>
      <w:proofErr w:type="spellEnd"/>
      <w:r w:rsidRPr="00344B45">
        <w:rPr>
          <w:rFonts w:cs="Arial"/>
        </w:rPr>
        <w:t xml:space="preserve">, M. (2009) 'Job Strain as a Predictor of Disability Pension: The Finnish Public Sector Study', </w:t>
      </w:r>
      <w:r w:rsidRPr="00344B45">
        <w:rPr>
          <w:rFonts w:cs="Arial"/>
          <w:i/>
        </w:rPr>
        <w:t>Journal of Epidemiology and Community Health</w:t>
      </w:r>
      <w:r w:rsidRPr="00344B45">
        <w:rPr>
          <w:rFonts w:cs="Arial"/>
        </w:rPr>
        <w:t xml:space="preserve"> 63:24-30.</w:t>
      </w:r>
    </w:p>
    <w:p w:rsidR="00177B3C" w:rsidRDefault="00177B3C" w:rsidP="00177B3C">
      <w:pPr>
        <w:spacing w:after="0" w:line="240" w:lineRule="auto"/>
        <w:ind w:left="720" w:hanging="720"/>
        <w:rPr>
          <w:rFonts w:cs="Arial"/>
        </w:rPr>
      </w:pPr>
      <w:r w:rsidRPr="00344B45">
        <w:rPr>
          <w:rFonts w:cs="Arial"/>
        </w:rPr>
        <w:t xml:space="preserve">Li, Y., Pickles, A., and Savage, M. (2005) 'Social Capital and Social Trust in Britain', </w:t>
      </w:r>
      <w:r w:rsidRPr="00344B45">
        <w:rPr>
          <w:rFonts w:cs="Arial"/>
          <w:i/>
        </w:rPr>
        <w:t>European Sociological Review</w:t>
      </w:r>
      <w:r w:rsidRPr="00344B45">
        <w:rPr>
          <w:rFonts w:cs="Arial"/>
        </w:rPr>
        <w:t xml:space="preserve"> 21:109-23.</w:t>
      </w:r>
    </w:p>
    <w:p w:rsidR="00177B3C" w:rsidRPr="00177B3C" w:rsidRDefault="00177B3C" w:rsidP="00177B3C">
      <w:pPr>
        <w:spacing w:after="0" w:line="240" w:lineRule="auto"/>
        <w:ind w:left="720" w:hanging="720"/>
        <w:rPr>
          <w:rFonts w:cs="Arial"/>
        </w:rPr>
      </w:pPr>
      <w:proofErr w:type="spellStart"/>
      <w:r w:rsidRPr="00177B3C">
        <w:rPr>
          <w:rFonts w:cs="Arial"/>
        </w:rPr>
        <w:t>Lunn</w:t>
      </w:r>
      <w:proofErr w:type="spellEnd"/>
      <w:r w:rsidRPr="00177B3C">
        <w:rPr>
          <w:rFonts w:cs="Arial"/>
        </w:rPr>
        <w:t xml:space="preserve">, D., D. </w:t>
      </w:r>
      <w:proofErr w:type="spellStart"/>
      <w:r w:rsidRPr="00177B3C">
        <w:rPr>
          <w:rFonts w:cs="Arial"/>
        </w:rPr>
        <w:t>Spiegelhalter</w:t>
      </w:r>
      <w:proofErr w:type="spellEnd"/>
      <w:r w:rsidRPr="00177B3C">
        <w:rPr>
          <w:rFonts w:cs="Arial"/>
        </w:rPr>
        <w:t xml:space="preserve">, et al. (2009). "The BUGS project: Evolution, critique and future directions." </w:t>
      </w:r>
      <w:r w:rsidRPr="00177B3C">
        <w:rPr>
          <w:rFonts w:cs="Arial"/>
          <w:i/>
        </w:rPr>
        <w:t>Statistics in Medicine,</w:t>
      </w:r>
      <w:r w:rsidRPr="00177B3C">
        <w:rPr>
          <w:rFonts w:cs="Arial"/>
        </w:rPr>
        <w:t xml:space="preserve"> 28(25): 3049-3067.</w:t>
      </w:r>
    </w:p>
    <w:p w:rsidR="00177B3C" w:rsidRPr="00177B3C" w:rsidRDefault="00177B3C" w:rsidP="00177B3C">
      <w:pPr>
        <w:spacing w:after="0" w:line="240" w:lineRule="auto"/>
        <w:ind w:left="720" w:hanging="720"/>
        <w:rPr>
          <w:rFonts w:cs="Arial"/>
        </w:rPr>
      </w:pPr>
      <w:proofErr w:type="spellStart"/>
      <w:r w:rsidRPr="00177B3C">
        <w:rPr>
          <w:rFonts w:cs="Arial"/>
        </w:rPr>
        <w:t>Lunn</w:t>
      </w:r>
      <w:proofErr w:type="spellEnd"/>
      <w:r w:rsidRPr="00177B3C">
        <w:rPr>
          <w:rFonts w:cs="Arial"/>
        </w:rPr>
        <w:t>, D., A. Thomas, et al. (2000). "</w:t>
      </w:r>
      <w:proofErr w:type="spellStart"/>
      <w:r w:rsidRPr="00177B3C">
        <w:rPr>
          <w:rFonts w:cs="Arial"/>
        </w:rPr>
        <w:t>WinBUGS</w:t>
      </w:r>
      <w:proofErr w:type="spellEnd"/>
      <w:r w:rsidRPr="00177B3C">
        <w:rPr>
          <w:rFonts w:cs="Arial"/>
        </w:rPr>
        <w:t xml:space="preserve"> - a Bayesian modelling framework: concepts, structure, and extensibility</w:t>
      </w:r>
      <w:proofErr w:type="gramStart"/>
      <w:r w:rsidRPr="00177B3C">
        <w:rPr>
          <w:rFonts w:cs="Arial"/>
        </w:rPr>
        <w:t>. ."</w:t>
      </w:r>
      <w:proofErr w:type="gramEnd"/>
      <w:r w:rsidRPr="00177B3C">
        <w:rPr>
          <w:rFonts w:cs="Arial"/>
        </w:rPr>
        <w:t xml:space="preserve"> </w:t>
      </w:r>
      <w:r w:rsidRPr="00177B3C">
        <w:rPr>
          <w:rFonts w:cs="Arial"/>
          <w:i/>
        </w:rPr>
        <w:t>Statistics and Computing,</w:t>
      </w:r>
      <w:r w:rsidRPr="00177B3C">
        <w:rPr>
          <w:rFonts w:cs="Arial"/>
        </w:rPr>
        <w:t xml:space="preserve"> 10: 325-337.</w:t>
      </w:r>
    </w:p>
    <w:p w:rsidR="00177B3C" w:rsidRPr="00344B45" w:rsidRDefault="00177B3C" w:rsidP="00177B3C">
      <w:pPr>
        <w:spacing w:after="0" w:line="240" w:lineRule="auto"/>
        <w:ind w:left="720" w:hanging="720"/>
        <w:rPr>
          <w:rFonts w:cs="Arial"/>
        </w:rPr>
      </w:pPr>
      <w:r w:rsidRPr="00344B45">
        <w:rPr>
          <w:rFonts w:cs="Arial"/>
        </w:rPr>
        <w:t xml:space="preserve">Lund, T., </w:t>
      </w:r>
      <w:proofErr w:type="spellStart"/>
      <w:r w:rsidRPr="00344B45">
        <w:rPr>
          <w:rFonts w:cs="Arial"/>
        </w:rPr>
        <w:t>Iversen</w:t>
      </w:r>
      <w:proofErr w:type="spellEnd"/>
      <w:r w:rsidRPr="00344B45">
        <w:rPr>
          <w:rFonts w:cs="Arial"/>
        </w:rPr>
        <w:t xml:space="preserve">, L., and </w:t>
      </w:r>
      <w:proofErr w:type="spellStart"/>
      <w:r w:rsidRPr="00344B45">
        <w:rPr>
          <w:rFonts w:cs="Arial"/>
        </w:rPr>
        <w:t>Poulsen</w:t>
      </w:r>
      <w:proofErr w:type="spellEnd"/>
      <w:r w:rsidRPr="00344B45">
        <w:rPr>
          <w:rFonts w:cs="Arial"/>
        </w:rPr>
        <w:t xml:space="preserve">, K. B. (2001) 'Work Environment Factors, Health, Lifestyle and Marital Status as Predictors of Job Change and Early Retirement in Physically Heavy Occupations', </w:t>
      </w:r>
      <w:r w:rsidRPr="00344B45">
        <w:rPr>
          <w:rFonts w:cs="Arial"/>
          <w:i/>
        </w:rPr>
        <w:t>American Journal of Industrial Medicine</w:t>
      </w:r>
      <w:r w:rsidRPr="00344B45">
        <w:rPr>
          <w:rFonts w:cs="Arial"/>
        </w:rPr>
        <w:t xml:space="preserve"> 40:161-69.</w:t>
      </w:r>
    </w:p>
    <w:p w:rsidR="00177B3C" w:rsidRPr="00344B45" w:rsidRDefault="00177B3C" w:rsidP="00177B3C">
      <w:pPr>
        <w:spacing w:after="0" w:line="240" w:lineRule="auto"/>
        <w:ind w:left="720" w:hanging="720"/>
        <w:rPr>
          <w:rFonts w:cs="Arial"/>
        </w:rPr>
      </w:pPr>
      <w:r w:rsidRPr="00344B45">
        <w:rPr>
          <w:rFonts w:cs="Arial"/>
        </w:rPr>
        <w:t xml:space="preserve">Ng, N., </w:t>
      </w:r>
      <w:proofErr w:type="spellStart"/>
      <w:r w:rsidRPr="00344B45">
        <w:rPr>
          <w:rFonts w:cs="Arial"/>
        </w:rPr>
        <w:t>Kowal</w:t>
      </w:r>
      <w:proofErr w:type="spellEnd"/>
      <w:r w:rsidRPr="00344B45">
        <w:rPr>
          <w:rFonts w:cs="Arial"/>
        </w:rPr>
        <w:t xml:space="preserve">, P., Kahn, K., and </w:t>
      </w:r>
      <w:proofErr w:type="spellStart"/>
      <w:r w:rsidRPr="00344B45">
        <w:rPr>
          <w:rFonts w:cs="Arial"/>
        </w:rPr>
        <w:t>and</w:t>
      </w:r>
      <w:proofErr w:type="spellEnd"/>
      <w:r w:rsidRPr="00344B45">
        <w:rPr>
          <w:rFonts w:cs="Arial"/>
        </w:rPr>
        <w:t xml:space="preserve"> others. (2010) 'Health Inequalities among Older Men and Women in Africa and Asia: Evidence from Eight Health and Demographic Surveillance System Sites in the </w:t>
      </w:r>
      <w:proofErr w:type="spellStart"/>
      <w:r w:rsidRPr="00344B45">
        <w:rPr>
          <w:rFonts w:cs="Arial"/>
        </w:rPr>
        <w:t>Indepth</w:t>
      </w:r>
      <w:proofErr w:type="spellEnd"/>
      <w:r w:rsidRPr="00344B45">
        <w:rPr>
          <w:rFonts w:cs="Arial"/>
        </w:rPr>
        <w:t xml:space="preserve"> Who-Sage Study', </w:t>
      </w:r>
      <w:r w:rsidRPr="00344B45">
        <w:rPr>
          <w:rFonts w:cs="Arial"/>
          <w:i/>
        </w:rPr>
        <w:t>Global Health Action</w:t>
      </w:r>
      <w:r w:rsidRPr="00344B45">
        <w:rPr>
          <w:rFonts w:cs="Arial"/>
        </w:rPr>
        <w:t xml:space="preserve"> 3.</w:t>
      </w:r>
    </w:p>
    <w:p w:rsidR="00177B3C" w:rsidRPr="00344B45" w:rsidRDefault="00177B3C" w:rsidP="00177B3C">
      <w:pPr>
        <w:spacing w:after="0" w:line="240" w:lineRule="auto"/>
        <w:ind w:left="720" w:hanging="720"/>
        <w:rPr>
          <w:rFonts w:cs="Arial"/>
        </w:rPr>
      </w:pPr>
      <w:proofErr w:type="spellStart"/>
      <w:r w:rsidRPr="00344B45">
        <w:rPr>
          <w:rFonts w:cs="Arial"/>
        </w:rPr>
        <w:t>Ntzoufras</w:t>
      </w:r>
      <w:proofErr w:type="spellEnd"/>
      <w:r w:rsidRPr="00344B45">
        <w:rPr>
          <w:rFonts w:cs="Arial"/>
        </w:rPr>
        <w:t xml:space="preserve">, I. (2009) </w:t>
      </w:r>
      <w:r w:rsidRPr="00344B45">
        <w:rPr>
          <w:rFonts w:cs="Arial"/>
          <w:i/>
        </w:rPr>
        <w:t xml:space="preserve">Bayesian </w:t>
      </w:r>
      <w:proofErr w:type="spellStart"/>
      <w:r w:rsidRPr="00344B45">
        <w:rPr>
          <w:rFonts w:cs="Arial"/>
          <w:i/>
        </w:rPr>
        <w:t>Modeling</w:t>
      </w:r>
      <w:proofErr w:type="spellEnd"/>
      <w:r w:rsidRPr="00344B45">
        <w:rPr>
          <w:rFonts w:cs="Arial"/>
          <w:i/>
        </w:rPr>
        <w:t xml:space="preserve"> Using </w:t>
      </w:r>
      <w:proofErr w:type="spellStart"/>
      <w:r w:rsidRPr="00344B45">
        <w:rPr>
          <w:rFonts w:cs="Arial"/>
          <w:i/>
        </w:rPr>
        <w:t>Winbugs</w:t>
      </w:r>
      <w:proofErr w:type="spellEnd"/>
      <w:r w:rsidRPr="00344B45">
        <w:rPr>
          <w:rFonts w:cs="Arial"/>
        </w:rPr>
        <w:t>, Hoboken, New Jersey: John Wiley &amp; Sons.</w:t>
      </w:r>
    </w:p>
    <w:p w:rsidR="00177B3C" w:rsidRPr="00344B45" w:rsidRDefault="00177B3C" w:rsidP="00177B3C">
      <w:pPr>
        <w:spacing w:after="0" w:line="240" w:lineRule="auto"/>
        <w:ind w:left="720" w:hanging="720"/>
        <w:rPr>
          <w:rFonts w:cs="Arial"/>
        </w:rPr>
      </w:pPr>
      <w:proofErr w:type="spellStart"/>
      <w:r w:rsidRPr="00344B45">
        <w:rPr>
          <w:rFonts w:cs="Arial"/>
        </w:rPr>
        <w:t>Oesch</w:t>
      </w:r>
      <w:proofErr w:type="spellEnd"/>
      <w:r w:rsidRPr="00344B45">
        <w:rPr>
          <w:rFonts w:cs="Arial"/>
        </w:rPr>
        <w:t xml:space="preserve">, D., and Rodriguez Menes, J. (2011) 'Upgrading or Polarization? Occupational Change in Britain, Germany, Spain and Switzerland, 1990-2008', </w:t>
      </w:r>
      <w:r w:rsidRPr="00344B45">
        <w:rPr>
          <w:rFonts w:cs="Arial"/>
          <w:i/>
        </w:rPr>
        <w:t>Socio-Economic Review</w:t>
      </w:r>
      <w:r w:rsidRPr="00344B45">
        <w:rPr>
          <w:rFonts w:cs="Arial"/>
        </w:rPr>
        <w:t xml:space="preserve"> 9.</w:t>
      </w:r>
    </w:p>
    <w:p w:rsidR="00177B3C" w:rsidRPr="00344B45" w:rsidRDefault="00177B3C" w:rsidP="00177B3C">
      <w:pPr>
        <w:spacing w:after="0" w:line="240" w:lineRule="auto"/>
        <w:ind w:left="720" w:hanging="720"/>
        <w:rPr>
          <w:rFonts w:cs="Arial"/>
        </w:rPr>
      </w:pPr>
      <w:r w:rsidRPr="00344B45">
        <w:rPr>
          <w:rFonts w:cs="Arial"/>
        </w:rPr>
        <w:t xml:space="preserve">PMSU. (2005) 'Improving the Life Chances of Disabled People: Final Report', London: Prime Minister's Strategy Unit with DWP, DH, </w:t>
      </w:r>
      <w:proofErr w:type="spellStart"/>
      <w:r w:rsidRPr="00344B45">
        <w:rPr>
          <w:rFonts w:cs="Arial"/>
        </w:rPr>
        <w:t>DfES</w:t>
      </w:r>
      <w:proofErr w:type="spellEnd"/>
      <w:r w:rsidRPr="00344B45">
        <w:rPr>
          <w:rFonts w:cs="Arial"/>
        </w:rPr>
        <w:t xml:space="preserve"> and ODPM.</w:t>
      </w:r>
    </w:p>
    <w:p w:rsidR="00177B3C" w:rsidRPr="00344B45" w:rsidRDefault="00177B3C" w:rsidP="00177B3C">
      <w:pPr>
        <w:spacing w:after="0" w:line="240" w:lineRule="auto"/>
        <w:ind w:left="720" w:hanging="720"/>
        <w:rPr>
          <w:rFonts w:cs="Arial"/>
        </w:rPr>
      </w:pPr>
      <w:proofErr w:type="spellStart"/>
      <w:r w:rsidRPr="00344B45">
        <w:rPr>
          <w:rFonts w:cs="Arial"/>
        </w:rPr>
        <w:t>Raileanu</w:t>
      </w:r>
      <w:proofErr w:type="spellEnd"/>
      <w:r w:rsidRPr="00344B45">
        <w:rPr>
          <w:rFonts w:cs="Arial"/>
        </w:rPr>
        <w:t xml:space="preserve"> </w:t>
      </w:r>
      <w:proofErr w:type="spellStart"/>
      <w:r w:rsidRPr="00344B45">
        <w:rPr>
          <w:rFonts w:cs="Arial"/>
        </w:rPr>
        <w:t>Szeles</w:t>
      </w:r>
      <w:proofErr w:type="spellEnd"/>
      <w:r w:rsidRPr="00344B45">
        <w:rPr>
          <w:rFonts w:cs="Arial"/>
        </w:rPr>
        <w:t xml:space="preserve">, M., and Fusco, A. (2009) 'Item Response Theory and the Measurement of Deprivation: Evidence from Psell-3', </w:t>
      </w:r>
      <w:r w:rsidRPr="00344B45">
        <w:rPr>
          <w:rFonts w:cs="Arial"/>
          <w:i/>
        </w:rPr>
        <w:t>IRISS-C/I 2009-05</w:t>
      </w:r>
      <w:r w:rsidRPr="00344B45">
        <w:rPr>
          <w:rFonts w:cs="Arial"/>
        </w:rPr>
        <w:t xml:space="preserve">, </w:t>
      </w:r>
      <w:proofErr w:type="spellStart"/>
      <w:r w:rsidRPr="00344B45">
        <w:rPr>
          <w:rFonts w:cs="Arial"/>
        </w:rPr>
        <w:t>Luexmbourg</w:t>
      </w:r>
      <w:proofErr w:type="spellEnd"/>
      <w:r w:rsidRPr="00344B45">
        <w:rPr>
          <w:rFonts w:cs="Arial"/>
        </w:rPr>
        <w:t xml:space="preserve">: Centre </w:t>
      </w:r>
      <w:proofErr w:type="spellStart"/>
      <w:r w:rsidRPr="00344B45">
        <w:rPr>
          <w:rFonts w:cs="Arial"/>
        </w:rPr>
        <w:t>d'Etudes</w:t>
      </w:r>
      <w:proofErr w:type="spellEnd"/>
      <w:r w:rsidRPr="00344B45">
        <w:rPr>
          <w:rFonts w:cs="Arial"/>
        </w:rPr>
        <w:t xml:space="preserve"> de Populations, de </w:t>
      </w:r>
      <w:proofErr w:type="spellStart"/>
      <w:r w:rsidRPr="00344B45">
        <w:rPr>
          <w:rFonts w:cs="Arial"/>
        </w:rPr>
        <w:t>Pauvreté</w:t>
      </w:r>
      <w:proofErr w:type="spellEnd"/>
      <w:r w:rsidRPr="00344B45">
        <w:rPr>
          <w:rFonts w:cs="Arial"/>
        </w:rPr>
        <w:t xml:space="preserve"> </w:t>
      </w:r>
      <w:proofErr w:type="gramStart"/>
      <w:r w:rsidRPr="00344B45">
        <w:rPr>
          <w:rFonts w:cs="Arial"/>
        </w:rPr>
        <w:t>et</w:t>
      </w:r>
      <w:proofErr w:type="gramEnd"/>
      <w:r w:rsidRPr="00344B45">
        <w:rPr>
          <w:rFonts w:cs="Arial"/>
        </w:rPr>
        <w:t xml:space="preserve"> de </w:t>
      </w:r>
      <w:proofErr w:type="spellStart"/>
      <w:r w:rsidRPr="00344B45">
        <w:rPr>
          <w:rFonts w:cs="Arial"/>
        </w:rPr>
        <w:t>Politiques</w:t>
      </w:r>
      <w:proofErr w:type="spellEnd"/>
      <w:r w:rsidRPr="00344B45">
        <w:rPr>
          <w:rFonts w:cs="Arial"/>
        </w:rPr>
        <w:t xml:space="preserve"> Socio-</w:t>
      </w:r>
      <w:proofErr w:type="spellStart"/>
      <w:r w:rsidRPr="00344B45">
        <w:rPr>
          <w:rFonts w:cs="Arial"/>
        </w:rPr>
        <w:t>Economiques</w:t>
      </w:r>
      <w:proofErr w:type="spellEnd"/>
      <w:r w:rsidRPr="00344B45">
        <w:rPr>
          <w:rFonts w:cs="Arial"/>
        </w:rPr>
        <w:t xml:space="preserve"> / International Network for Studies in Technology, Environment, Alternatives, Development (CEPS/INSTEAD).</w:t>
      </w:r>
    </w:p>
    <w:p w:rsidR="00177B3C" w:rsidRPr="00344B45" w:rsidRDefault="00177B3C" w:rsidP="00177B3C">
      <w:pPr>
        <w:spacing w:after="0" w:line="240" w:lineRule="auto"/>
        <w:ind w:left="720" w:hanging="720"/>
        <w:rPr>
          <w:rFonts w:cs="Arial"/>
        </w:rPr>
      </w:pPr>
      <w:r w:rsidRPr="00344B45">
        <w:rPr>
          <w:rFonts w:cs="Arial"/>
        </w:rPr>
        <w:t xml:space="preserve">Royston, P. (2009) 'Multiple Imputation of Missing Values: Further Update of Ice, with an Emphasis on Categorical Variables', </w:t>
      </w:r>
      <w:r w:rsidRPr="00344B45">
        <w:rPr>
          <w:rFonts w:cs="Arial"/>
          <w:i/>
        </w:rPr>
        <w:t xml:space="preserve">The </w:t>
      </w:r>
      <w:proofErr w:type="spellStart"/>
      <w:r w:rsidRPr="00344B45">
        <w:rPr>
          <w:rFonts w:cs="Arial"/>
          <w:i/>
        </w:rPr>
        <w:t>Stata</w:t>
      </w:r>
      <w:proofErr w:type="spellEnd"/>
      <w:r w:rsidRPr="00344B45">
        <w:rPr>
          <w:rFonts w:cs="Arial"/>
          <w:i/>
        </w:rPr>
        <w:t xml:space="preserve"> Journal</w:t>
      </w:r>
      <w:r w:rsidRPr="00344B45">
        <w:rPr>
          <w:rFonts w:cs="Arial"/>
        </w:rPr>
        <w:t xml:space="preserve"> 9:466-77.</w:t>
      </w:r>
    </w:p>
    <w:p w:rsidR="00177B3C" w:rsidRPr="00344B45" w:rsidRDefault="00177B3C" w:rsidP="00177B3C">
      <w:pPr>
        <w:spacing w:after="0" w:line="240" w:lineRule="auto"/>
        <w:ind w:left="720" w:hanging="720"/>
        <w:rPr>
          <w:rFonts w:cs="Arial"/>
        </w:rPr>
      </w:pPr>
      <w:r w:rsidRPr="00344B45">
        <w:rPr>
          <w:rFonts w:cs="Arial"/>
        </w:rPr>
        <w:t xml:space="preserve">Royston, P., Altman, D. G., and </w:t>
      </w:r>
      <w:proofErr w:type="spellStart"/>
      <w:r w:rsidRPr="00344B45">
        <w:rPr>
          <w:rFonts w:cs="Arial"/>
        </w:rPr>
        <w:t>Sauerbrei</w:t>
      </w:r>
      <w:proofErr w:type="spellEnd"/>
      <w:r w:rsidRPr="00344B45">
        <w:rPr>
          <w:rFonts w:cs="Arial"/>
        </w:rPr>
        <w:t xml:space="preserve">, W. (2006) 'Dichotomizing Continuous Predictors in Multiple Regression: A Bad Idea', </w:t>
      </w:r>
      <w:r w:rsidRPr="00344B45">
        <w:rPr>
          <w:rFonts w:cs="Arial"/>
          <w:i/>
        </w:rPr>
        <w:t>Statistics in Medicine</w:t>
      </w:r>
      <w:r w:rsidRPr="00344B45">
        <w:rPr>
          <w:rFonts w:cs="Arial"/>
        </w:rPr>
        <w:t xml:space="preserve"> 25:127-41.</w:t>
      </w:r>
    </w:p>
    <w:p w:rsidR="00177B3C" w:rsidRPr="00344B45" w:rsidRDefault="00177B3C" w:rsidP="00177B3C">
      <w:pPr>
        <w:spacing w:after="0" w:line="240" w:lineRule="auto"/>
        <w:ind w:left="720" w:hanging="720"/>
        <w:rPr>
          <w:rFonts w:cs="Arial"/>
        </w:rPr>
      </w:pPr>
      <w:r w:rsidRPr="00344B45">
        <w:rPr>
          <w:rFonts w:cs="Arial"/>
        </w:rPr>
        <w:lastRenderedPageBreak/>
        <w:t xml:space="preserve">Royston, P., Carlin, J., and White, I. (2009) 'Multiple Imputation of Missing Values: New Features for </w:t>
      </w:r>
      <w:proofErr w:type="spellStart"/>
      <w:r w:rsidRPr="00344B45">
        <w:rPr>
          <w:rFonts w:cs="Arial"/>
        </w:rPr>
        <w:t>Mim</w:t>
      </w:r>
      <w:proofErr w:type="spellEnd"/>
      <w:r w:rsidRPr="00344B45">
        <w:rPr>
          <w:rFonts w:cs="Arial"/>
        </w:rPr>
        <w:t xml:space="preserve">', </w:t>
      </w:r>
      <w:r w:rsidRPr="00344B45">
        <w:rPr>
          <w:rFonts w:cs="Arial"/>
          <w:i/>
        </w:rPr>
        <w:t xml:space="preserve">The </w:t>
      </w:r>
      <w:proofErr w:type="spellStart"/>
      <w:r w:rsidRPr="00344B45">
        <w:rPr>
          <w:rFonts w:cs="Arial"/>
          <w:i/>
        </w:rPr>
        <w:t>Stata</w:t>
      </w:r>
      <w:proofErr w:type="spellEnd"/>
      <w:r w:rsidRPr="00344B45">
        <w:rPr>
          <w:rFonts w:cs="Arial"/>
          <w:i/>
        </w:rPr>
        <w:t xml:space="preserve"> Journal</w:t>
      </w:r>
      <w:r w:rsidRPr="00344B45">
        <w:rPr>
          <w:rFonts w:cs="Arial"/>
        </w:rPr>
        <w:t xml:space="preserve"> 9:252-64.</w:t>
      </w:r>
    </w:p>
    <w:p w:rsidR="00177B3C" w:rsidRPr="00344B45" w:rsidRDefault="00177B3C" w:rsidP="00177B3C">
      <w:pPr>
        <w:spacing w:after="0" w:line="240" w:lineRule="auto"/>
        <w:ind w:left="720" w:hanging="720"/>
        <w:rPr>
          <w:rFonts w:cs="Arial"/>
        </w:rPr>
      </w:pPr>
      <w:r w:rsidRPr="00344B45">
        <w:rPr>
          <w:rFonts w:cs="Arial"/>
        </w:rPr>
        <w:t xml:space="preserve">Royston, P., and </w:t>
      </w:r>
      <w:proofErr w:type="spellStart"/>
      <w:r w:rsidRPr="00344B45">
        <w:rPr>
          <w:rFonts w:cs="Arial"/>
        </w:rPr>
        <w:t>Sauerbrei</w:t>
      </w:r>
      <w:proofErr w:type="spellEnd"/>
      <w:r w:rsidRPr="00344B45">
        <w:rPr>
          <w:rFonts w:cs="Arial"/>
        </w:rPr>
        <w:t xml:space="preserve">, W. (2008) </w:t>
      </w:r>
      <w:r w:rsidRPr="00344B45">
        <w:rPr>
          <w:rFonts w:cs="Arial"/>
          <w:i/>
        </w:rPr>
        <w:t>Multivariable Modelling: A Pragmatic Approach Based on Fractional Polynomials for Continuous Variables</w:t>
      </w:r>
      <w:r w:rsidRPr="00344B45">
        <w:rPr>
          <w:rFonts w:cs="Arial"/>
        </w:rPr>
        <w:t>: Wiley.</w:t>
      </w:r>
    </w:p>
    <w:p w:rsidR="00177B3C" w:rsidRPr="00344B45" w:rsidRDefault="00177B3C" w:rsidP="00177B3C">
      <w:pPr>
        <w:spacing w:after="0" w:line="240" w:lineRule="auto"/>
        <w:ind w:left="720" w:hanging="720"/>
        <w:rPr>
          <w:rFonts w:cs="Arial"/>
        </w:rPr>
      </w:pPr>
      <w:proofErr w:type="spellStart"/>
      <w:r w:rsidRPr="00344B45">
        <w:rPr>
          <w:rFonts w:cs="Arial"/>
        </w:rPr>
        <w:t>Schenker</w:t>
      </w:r>
      <w:proofErr w:type="spellEnd"/>
      <w:r w:rsidRPr="00344B45">
        <w:rPr>
          <w:rFonts w:cs="Arial"/>
        </w:rPr>
        <w:t xml:space="preserve">, N., </w:t>
      </w:r>
      <w:proofErr w:type="spellStart"/>
      <w:r w:rsidRPr="00344B45">
        <w:rPr>
          <w:rFonts w:cs="Arial"/>
        </w:rPr>
        <w:t>Treiman</w:t>
      </w:r>
      <w:proofErr w:type="spellEnd"/>
      <w:r w:rsidRPr="00344B45">
        <w:rPr>
          <w:rFonts w:cs="Arial"/>
        </w:rPr>
        <w:t xml:space="preserve">, D. J., and Weidman, L. (1993) 'Analyses of Public Use Decennial Census Data with Multiply Imputed Industry and Occupation Codes', </w:t>
      </w:r>
      <w:r w:rsidRPr="00344B45">
        <w:rPr>
          <w:rFonts w:cs="Arial"/>
          <w:i/>
        </w:rPr>
        <w:t>Journal of the Royal Statistical Society. Series C (Applied Statistics)</w:t>
      </w:r>
      <w:r w:rsidRPr="00344B45">
        <w:rPr>
          <w:rFonts w:cs="Arial"/>
        </w:rPr>
        <w:t xml:space="preserve"> 42:545-56.</w:t>
      </w:r>
    </w:p>
    <w:p w:rsidR="00177B3C" w:rsidRPr="00344B45" w:rsidRDefault="00177B3C" w:rsidP="00177B3C">
      <w:pPr>
        <w:spacing w:after="0" w:line="240" w:lineRule="auto"/>
        <w:ind w:left="720" w:hanging="720"/>
        <w:rPr>
          <w:rFonts w:cs="Arial"/>
        </w:rPr>
      </w:pPr>
      <w:proofErr w:type="spellStart"/>
      <w:r w:rsidRPr="00344B45">
        <w:rPr>
          <w:rFonts w:cs="Arial"/>
        </w:rPr>
        <w:t>Skrondal</w:t>
      </w:r>
      <w:proofErr w:type="spellEnd"/>
      <w:r w:rsidRPr="00344B45">
        <w:rPr>
          <w:rFonts w:cs="Arial"/>
        </w:rPr>
        <w:t xml:space="preserve">, A., and </w:t>
      </w:r>
      <w:proofErr w:type="spellStart"/>
      <w:r w:rsidRPr="00344B45">
        <w:rPr>
          <w:rFonts w:cs="Arial"/>
        </w:rPr>
        <w:t>Rabe-Hesketh</w:t>
      </w:r>
      <w:proofErr w:type="spellEnd"/>
      <w:r w:rsidRPr="00344B45">
        <w:rPr>
          <w:rFonts w:cs="Arial"/>
        </w:rPr>
        <w:t xml:space="preserve">, S. (2004) </w:t>
      </w:r>
      <w:r w:rsidRPr="00344B45">
        <w:rPr>
          <w:rFonts w:cs="Arial"/>
          <w:i/>
        </w:rPr>
        <w:t xml:space="preserve">Generalized Latent Variable </w:t>
      </w:r>
      <w:proofErr w:type="spellStart"/>
      <w:r w:rsidRPr="00344B45">
        <w:rPr>
          <w:rFonts w:cs="Arial"/>
          <w:i/>
        </w:rPr>
        <w:t>Modeling</w:t>
      </w:r>
      <w:proofErr w:type="spellEnd"/>
      <w:r w:rsidRPr="00344B45">
        <w:rPr>
          <w:rFonts w:cs="Arial"/>
          <w:i/>
        </w:rPr>
        <w:t>: Multilevel, Longitudinal and Structural Equation Models</w:t>
      </w:r>
      <w:r w:rsidRPr="00344B45">
        <w:rPr>
          <w:rFonts w:cs="Arial"/>
        </w:rPr>
        <w:t>, Boca Raton, FL: Chapman &amp; Hall/CRC.</w:t>
      </w:r>
    </w:p>
    <w:p w:rsidR="00177B3C" w:rsidRPr="00344B45" w:rsidRDefault="00177B3C" w:rsidP="00177B3C">
      <w:pPr>
        <w:spacing w:after="0" w:line="240" w:lineRule="auto"/>
        <w:ind w:left="720" w:hanging="720"/>
        <w:rPr>
          <w:rFonts w:cs="Arial"/>
        </w:rPr>
      </w:pPr>
      <w:r w:rsidRPr="00344B45">
        <w:rPr>
          <w:rFonts w:cs="Arial"/>
        </w:rPr>
        <w:t xml:space="preserve">Smith, A., Wadsworth, E., Shaw, C., </w:t>
      </w:r>
      <w:proofErr w:type="spellStart"/>
      <w:r w:rsidRPr="00344B45">
        <w:rPr>
          <w:rFonts w:cs="Arial"/>
        </w:rPr>
        <w:t>Stansfeld</w:t>
      </w:r>
      <w:proofErr w:type="spellEnd"/>
      <w:r w:rsidRPr="00344B45">
        <w:rPr>
          <w:rFonts w:cs="Arial"/>
        </w:rPr>
        <w:t xml:space="preserve">, S., </w:t>
      </w:r>
      <w:proofErr w:type="spellStart"/>
      <w:r w:rsidRPr="00344B45">
        <w:rPr>
          <w:rFonts w:cs="Arial"/>
        </w:rPr>
        <w:t>Bhui</w:t>
      </w:r>
      <w:proofErr w:type="spellEnd"/>
      <w:r w:rsidRPr="00344B45">
        <w:rPr>
          <w:rFonts w:cs="Arial"/>
        </w:rPr>
        <w:t xml:space="preserve">, K., and </w:t>
      </w:r>
      <w:proofErr w:type="spellStart"/>
      <w:r w:rsidRPr="00344B45">
        <w:rPr>
          <w:rFonts w:cs="Arial"/>
        </w:rPr>
        <w:t>Dhillon</w:t>
      </w:r>
      <w:proofErr w:type="spellEnd"/>
      <w:r w:rsidRPr="00344B45">
        <w:rPr>
          <w:rFonts w:cs="Arial"/>
        </w:rPr>
        <w:t>, K. (2005) 'Ethnicity, Work Characteristics, Stress and Health', Cardiff: Cardiff University and Queen Mary, University of London for the Health and Safety Executive.</w:t>
      </w:r>
    </w:p>
    <w:p w:rsidR="00177B3C" w:rsidRPr="00344B45" w:rsidRDefault="00177B3C" w:rsidP="00177B3C">
      <w:pPr>
        <w:spacing w:after="0" w:line="240" w:lineRule="auto"/>
        <w:ind w:left="720" w:hanging="720"/>
        <w:rPr>
          <w:rFonts w:cs="Arial"/>
        </w:rPr>
      </w:pPr>
      <w:proofErr w:type="spellStart"/>
      <w:r w:rsidRPr="00344B45">
        <w:rPr>
          <w:rFonts w:cs="Arial"/>
        </w:rPr>
        <w:t>Stattin</w:t>
      </w:r>
      <w:proofErr w:type="spellEnd"/>
      <w:r w:rsidRPr="00344B45">
        <w:rPr>
          <w:rFonts w:cs="Arial"/>
        </w:rPr>
        <w:t xml:space="preserve">, M., and </w:t>
      </w:r>
      <w:proofErr w:type="spellStart"/>
      <w:r w:rsidRPr="00344B45">
        <w:rPr>
          <w:rFonts w:cs="Arial"/>
        </w:rPr>
        <w:t>Jarvholm</w:t>
      </w:r>
      <w:proofErr w:type="spellEnd"/>
      <w:r w:rsidRPr="00344B45">
        <w:rPr>
          <w:rFonts w:cs="Arial"/>
        </w:rPr>
        <w:t xml:space="preserve">, B. (2005) 'Occupation, Work Environment and Disability Pension: A Prospective Study of Construction Workers', </w:t>
      </w:r>
      <w:r w:rsidRPr="00344B45">
        <w:rPr>
          <w:rFonts w:cs="Arial"/>
          <w:i/>
        </w:rPr>
        <w:t>Scandinavian Journal of Public Health</w:t>
      </w:r>
      <w:r w:rsidRPr="00344B45">
        <w:rPr>
          <w:rFonts w:cs="Arial"/>
        </w:rPr>
        <w:t xml:space="preserve"> 33:84-90.</w:t>
      </w:r>
    </w:p>
    <w:p w:rsidR="00177B3C" w:rsidRPr="00344B45" w:rsidRDefault="00177B3C" w:rsidP="00177B3C">
      <w:pPr>
        <w:spacing w:after="0" w:line="240" w:lineRule="auto"/>
        <w:ind w:left="720" w:hanging="720"/>
        <w:rPr>
          <w:rFonts w:cs="Arial"/>
        </w:rPr>
      </w:pPr>
      <w:proofErr w:type="spellStart"/>
      <w:r w:rsidRPr="00344B45">
        <w:rPr>
          <w:rFonts w:cs="Arial"/>
        </w:rPr>
        <w:t>Vahtera</w:t>
      </w:r>
      <w:proofErr w:type="spellEnd"/>
      <w:r w:rsidRPr="00344B45">
        <w:rPr>
          <w:rFonts w:cs="Arial"/>
        </w:rPr>
        <w:t xml:space="preserve">, J., </w:t>
      </w:r>
      <w:proofErr w:type="spellStart"/>
      <w:r w:rsidRPr="00344B45">
        <w:rPr>
          <w:rFonts w:cs="Arial"/>
        </w:rPr>
        <w:t>Laine</w:t>
      </w:r>
      <w:proofErr w:type="spellEnd"/>
      <w:r w:rsidRPr="00344B45">
        <w:rPr>
          <w:rFonts w:cs="Arial"/>
        </w:rPr>
        <w:t xml:space="preserve">, S., Virtanen, M., </w:t>
      </w:r>
      <w:proofErr w:type="spellStart"/>
      <w:r w:rsidRPr="00344B45">
        <w:rPr>
          <w:rFonts w:cs="Arial"/>
        </w:rPr>
        <w:t>Oksanen</w:t>
      </w:r>
      <w:proofErr w:type="spellEnd"/>
      <w:r w:rsidRPr="00344B45">
        <w:rPr>
          <w:rFonts w:cs="Arial"/>
        </w:rPr>
        <w:t xml:space="preserve">, T., </w:t>
      </w:r>
      <w:proofErr w:type="spellStart"/>
      <w:r w:rsidRPr="00344B45">
        <w:rPr>
          <w:rFonts w:cs="Arial"/>
        </w:rPr>
        <w:t>Koskinen</w:t>
      </w:r>
      <w:proofErr w:type="spellEnd"/>
      <w:r w:rsidRPr="00344B45">
        <w:rPr>
          <w:rFonts w:cs="Arial"/>
        </w:rPr>
        <w:t xml:space="preserve">, A., </w:t>
      </w:r>
      <w:proofErr w:type="spellStart"/>
      <w:r w:rsidRPr="00344B45">
        <w:rPr>
          <w:rFonts w:cs="Arial"/>
        </w:rPr>
        <w:t>Pentti</w:t>
      </w:r>
      <w:proofErr w:type="spellEnd"/>
      <w:r w:rsidRPr="00344B45">
        <w:rPr>
          <w:rFonts w:cs="Arial"/>
        </w:rPr>
        <w:t xml:space="preserve">, J., and </w:t>
      </w:r>
      <w:proofErr w:type="spellStart"/>
      <w:r w:rsidRPr="00344B45">
        <w:rPr>
          <w:rFonts w:cs="Arial"/>
        </w:rPr>
        <w:t>Kivimaki</w:t>
      </w:r>
      <w:proofErr w:type="spellEnd"/>
      <w:r w:rsidRPr="00344B45">
        <w:rPr>
          <w:rFonts w:cs="Arial"/>
        </w:rPr>
        <w:t xml:space="preserve">, M. (2010) 'Employee Control over Working Times and Risk of Cause-Specific Disability Pension: The Finnish Public Sector Study', </w:t>
      </w:r>
      <w:r w:rsidRPr="00344B45">
        <w:rPr>
          <w:rFonts w:cs="Arial"/>
          <w:i/>
        </w:rPr>
        <w:t>Occupational and Environmental Medicine</w:t>
      </w:r>
      <w:r w:rsidRPr="00344B45">
        <w:rPr>
          <w:rFonts w:cs="Arial"/>
        </w:rPr>
        <w:t xml:space="preserve"> 67:479-85.</w:t>
      </w:r>
    </w:p>
    <w:p w:rsidR="00177B3C" w:rsidRPr="00344B45" w:rsidRDefault="00177B3C" w:rsidP="00177B3C">
      <w:pPr>
        <w:spacing w:after="0" w:line="240" w:lineRule="auto"/>
        <w:ind w:left="720" w:hanging="720"/>
        <w:rPr>
          <w:rFonts w:cs="Arial"/>
        </w:rPr>
      </w:pPr>
      <w:proofErr w:type="spellStart"/>
      <w:r w:rsidRPr="00344B45">
        <w:rPr>
          <w:rFonts w:cs="Arial"/>
        </w:rPr>
        <w:t>Weeden</w:t>
      </w:r>
      <w:proofErr w:type="spellEnd"/>
      <w:r w:rsidRPr="00344B45">
        <w:rPr>
          <w:rFonts w:cs="Arial"/>
        </w:rPr>
        <w:t>, K. A. (2005) '</w:t>
      </w:r>
      <w:proofErr w:type="spellStart"/>
      <w:r w:rsidRPr="00344B45">
        <w:rPr>
          <w:rFonts w:cs="Arial"/>
        </w:rPr>
        <w:t>Stata</w:t>
      </w:r>
      <w:proofErr w:type="spellEnd"/>
      <w:r w:rsidRPr="00344B45">
        <w:rPr>
          <w:rFonts w:cs="Arial"/>
        </w:rPr>
        <w:t xml:space="preserve"> Algorithm for </w:t>
      </w:r>
      <w:proofErr w:type="spellStart"/>
      <w:r w:rsidRPr="00344B45">
        <w:rPr>
          <w:rFonts w:cs="Arial"/>
        </w:rPr>
        <w:t>Backcoding</w:t>
      </w:r>
      <w:proofErr w:type="spellEnd"/>
      <w:r w:rsidRPr="00344B45">
        <w:rPr>
          <w:rFonts w:cs="Arial"/>
        </w:rPr>
        <w:t xml:space="preserve"> 2000 Census Occupation Codes into 1990 Census Occupation Codes': Department of Sociology, Cornell University.</w:t>
      </w:r>
    </w:p>
    <w:p w:rsidR="00177B3C" w:rsidRPr="00344B45" w:rsidRDefault="00177B3C" w:rsidP="00177B3C">
      <w:pPr>
        <w:spacing w:after="0" w:line="240" w:lineRule="auto"/>
        <w:ind w:left="720" w:hanging="720"/>
        <w:rPr>
          <w:rFonts w:cs="Arial"/>
        </w:rPr>
      </w:pPr>
      <w:proofErr w:type="spellStart"/>
      <w:r w:rsidRPr="00344B45">
        <w:rPr>
          <w:rFonts w:cs="Arial"/>
        </w:rPr>
        <w:t>Weeden</w:t>
      </w:r>
      <w:proofErr w:type="spellEnd"/>
      <w:r w:rsidRPr="00344B45">
        <w:rPr>
          <w:rFonts w:cs="Arial"/>
        </w:rPr>
        <w:t xml:space="preserve">, K. A., and </w:t>
      </w:r>
      <w:proofErr w:type="spellStart"/>
      <w:r w:rsidRPr="00344B45">
        <w:rPr>
          <w:rFonts w:cs="Arial"/>
        </w:rPr>
        <w:t>Grusky</w:t>
      </w:r>
      <w:proofErr w:type="spellEnd"/>
      <w:r w:rsidRPr="00344B45">
        <w:rPr>
          <w:rFonts w:cs="Arial"/>
        </w:rPr>
        <w:t xml:space="preserve">, D. B. (2005) 'The Case for a New Class Map', </w:t>
      </w:r>
      <w:r w:rsidRPr="00344B45">
        <w:rPr>
          <w:rFonts w:cs="Arial"/>
          <w:i/>
        </w:rPr>
        <w:t>American Journal of Sociology</w:t>
      </w:r>
      <w:r w:rsidRPr="00344B45">
        <w:rPr>
          <w:rFonts w:cs="Arial"/>
        </w:rPr>
        <w:t xml:space="preserve"> 111:141-212.</w:t>
      </w:r>
    </w:p>
    <w:p w:rsidR="00177B3C" w:rsidRPr="00344B45" w:rsidRDefault="00177B3C" w:rsidP="00177B3C">
      <w:pPr>
        <w:spacing w:after="0" w:line="240" w:lineRule="auto"/>
        <w:ind w:left="720" w:hanging="720"/>
        <w:rPr>
          <w:rFonts w:cs="Arial"/>
        </w:rPr>
      </w:pPr>
      <w:r w:rsidRPr="00344B45">
        <w:rPr>
          <w:rFonts w:cs="Arial"/>
        </w:rPr>
        <w:t xml:space="preserve">Williams, M. T. (2011) 'The Changing Structure of Occupations and Wage Inequality, 1970s-2000s', </w:t>
      </w:r>
      <w:r w:rsidRPr="00344B45">
        <w:rPr>
          <w:rFonts w:cs="Arial"/>
          <w:i/>
        </w:rPr>
        <w:t>DPhil thesis</w:t>
      </w:r>
      <w:r w:rsidRPr="00344B45">
        <w:rPr>
          <w:rFonts w:cs="Arial"/>
        </w:rPr>
        <w:t>, Oxford: University of Oxford.</w:t>
      </w:r>
    </w:p>
    <w:p w:rsidR="00177B3C" w:rsidRPr="00344B45" w:rsidRDefault="00177B3C" w:rsidP="00177B3C">
      <w:pPr>
        <w:spacing w:after="0" w:line="240" w:lineRule="auto"/>
        <w:ind w:left="720" w:hanging="720"/>
        <w:rPr>
          <w:rFonts w:cs="Arial"/>
        </w:rPr>
      </w:pPr>
      <w:proofErr w:type="spellStart"/>
      <w:r w:rsidRPr="00344B45">
        <w:rPr>
          <w:rFonts w:cs="Arial"/>
        </w:rPr>
        <w:t>Winship</w:t>
      </w:r>
      <w:proofErr w:type="spellEnd"/>
      <w:r w:rsidRPr="00344B45">
        <w:rPr>
          <w:rFonts w:cs="Arial"/>
        </w:rPr>
        <w:t xml:space="preserve">, C., and </w:t>
      </w:r>
      <w:proofErr w:type="spellStart"/>
      <w:r w:rsidRPr="00344B45">
        <w:rPr>
          <w:rFonts w:cs="Arial"/>
        </w:rPr>
        <w:t>Radbill</w:t>
      </w:r>
      <w:proofErr w:type="spellEnd"/>
      <w:r w:rsidRPr="00344B45">
        <w:rPr>
          <w:rFonts w:cs="Arial"/>
        </w:rPr>
        <w:t xml:space="preserve">, L. (1994) 'Sampling Weights and Regression Analysis', </w:t>
      </w:r>
      <w:r w:rsidRPr="00344B45">
        <w:rPr>
          <w:rFonts w:cs="Arial"/>
          <w:i/>
        </w:rPr>
        <w:t>Sociological Methods &amp; Research</w:t>
      </w:r>
      <w:r w:rsidRPr="00344B45">
        <w:rPr>
          <w:rFonts w:cs="Arial"/>
        </w:rPr>
        <w:t xml:space="preserve"> 23:230-57.</w:t>
      </w:r>
    </w:p>
    <w:p w:rsidR="00177B3C" w:rsidRPr="00344B45" w:rsidRDefault="00177B3C" w:rsidP="00177B3C">
      <w:pPr>
        <w:spacing w:after="0" w:line="240" w:lineRule="auto"/>
        <w:ind w:left="720" w:hanging="720"/>
        <w:rPr>
          <w:rFonts w:cs="Arial"/>
        </w:rPr>
      </w:pPr>
      <w:proofErr w:type="spellStart"/>
      <w:r w:rsidRPr="00344B45">
        <w:rPr>
          <w:rFonts w:cs="Arial"/>
        </w:rPr>
        <w:t>Zheng</w:t>
      </w:r>
      <w:proofErr w:type="spellEnd"/>
      <w:r w:rsidRPr="00344B45">
        <w:rPr>
          <w:rFonts w:cs="Arial"/>
        </w:rPr>
        <w:t xml:space="preserve">, X., and </w:t>
      </w:r>
      <w:proofErr w:type="spellStart"/>
      <w:r w:rsidRPr="00344B45">
        <w:rPr>
          <w:rFonts w:cs="Arial"/>
        </w:rPr>
        <w:t>Rabe-Hesketh</w:t>
      </w:r>
      <w:proofErr w:type="spellEnd"/>
      <w:r w:rsidRPr="00344B45">
        <w:rPr>
          <w:rFonts w:cs="Arial"/>
        </w:rPr>
        <w:t xml:space="preserve">, S. (2007) 'Estimating Parameters of Dichotomous and Ordinal Item Response Models with </w:t>
      </w:r>
      <w:proofErr w:type="spellStart"/>
      <w:r w:rsidRPr="00344B45">
        <w:rPr>
          <w:rFonts w:cs="Arial"/>
        </w:rPr>
        <w:t>Gllamm</w:t>
      </w:r>
      <w:proofErr w:type="spellEnd"/>
      <w:r w:rsidRPr="00344B45">
        <w:rPr>
          <w:rFonts w:cs="Arial"/>
        </w:rPr>
        <w:t xml:space="preserve">', </w:t>
      </w:r>
      <w:r w:rsidRPr="00344B45">
        <w:rPr>
          <w:rFonts w:cs="Arial"/>
          <w:i/>
        </w:rPr>
        <w:t xml:space="preserve">The </w:t>
      </w:r>
      <w:proofErr w:type="spellStart"/>
      <w:r w:rsidRPr="00344B45">
        <w:rPr>
          <w:rFonts w:cs="Arial"/>
          <w:i/>
        </w:rPr>
        <w:t>Stata</w:t>
      </w:r>
      <w:proofErr w:type="spellEnd"/>
      <w:r w:rsidRPr="00344B45">
        <w:rPr>
          <w:rFonts w:cs="Arial"/>
          <w:i/>
        </w:rPr>
        <w:t xml:space="preserve"> Journal</w:t>
      </w:r>
      <w:r w:rsidRPr="00344B45">
        <w:rPr>
          <w:rFonts w:cs="Arial"/>
        </w:rPr>
        <w:t xml:space="preserve"> 7:313-33.</w:t>
      </w:r>
    </w:p>
    <w:p w:rsidR="00177B3C" w:rsidRPr="00344B45" w:rsidRDefault="00177B3C" w:rsidP="00177B3C">
      <w:pPr>
        <w:spacing w:after="0" w:line="240" w:lineRule="auto"/>
        <w:ind w:left="720" w:hanging="720"/>
        <w:rPr>
          <w:rFonts w:cs="Arial"/>
        </w:rPr>
      </w:pPr>
      <w:r w:rsidRPr="00344B45">
        <w:rPr>
          <w:rFonts w:cs="Arial"/>
        </w:rPr>
        <w:t xml:space="preserve">Ziegler, A., and </w:t>
      </w:r>
      <w:proofErr w:type="spellStart"/>
      <w:r w:rsidRPr="00344B45">
        <w:rPr>
          <w:rFonts w:cs="Arial"/>
        </w:rPr>
        <w:t>Vens</w:t>
      </w:r>
      <w:proofErr w:type="spellEnd"/>
      <w:r w:rsidRPr="00344B45">
        <w:rPr>
          <w:rFonts w:cs="Arial"/>
        </w:rPr>
        <w:t xml:space="preserve">, M. (2010) 'Generalized Estimating Equations: Notes on the Choice of the Working Correlation Matrix', </w:t>
      </w:r>
      <w:r w:rsidRPr="00344B45">
        <w:rPr>
          <w:rFonts w:cs="Arial"/>
          <w:i/>
        </w:rPr>
        <w:t>Methods of Information in Medicine</w:t>
      </w:r>
      <w:r w:rsidRPr="00344B45">
        <w:rPr>
          <w:rFonts w:cs="Arial"/>
        </w:rPr>
        <w:t xml:space="preserve"> 49:421-25.</w:t>
      </w:r>
    </w:p>
    <w:sectPr w:rsidR="00177B3C" w:rsidRPr="00344B45" w:rsidSect="00F57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5D" w:rsidRDefault="0039405D" w:rsidP="002F41F0">
      <w:pPr>
        <w:spacing w:after="0" w:line="240" w:lineRule="auto"/>
      </w:pPr>
      <w:r>
        <w:separator/>
      </w:r>
    </w:p>
  </w:endnote>
  <w:endnote w:type="continuationSeparator" w:id="0">
    <w:p w:rsidR="0039405D" w:rsidRDefault="0039405D" w:rsidP="002F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5D" w:rsidRDefault="0039405D" w:rsidP="002F41F0">
      <w:pPr>
        <w:spacing w:after="0" w:line="240" w:lineRule="auto"/>
      </w:pPr>
      <w:r>
        <w:separator/>
      </w:r>
    </w:p>
  </w:footnote>
  <w:footnote w:type="continuationSeparator" w:id="0">
    <w:p w:rsidR="0039405D" w:rsidRDefault="0039405D" w:rsidP="002F41F0">
      <w:pPr>
        <w:spacing w:after="0" w:line="240" w:lineRule="auto"/>
      </w:pPr>
      <w:r>
        <w:continuationSeparator/>
      </w:r>
    </w:p>
  </w:footnote>
  <w:footnote w:id="1">
    <w:p w:rsidR="00177B3C" w:rsidRPr="00E351D2" w:rsidRDefault="00177B3C" w:rsidP="00177B3C">
      <w:pPr>
        <w:pStyle w:val="FootnoteText"/>
      </w:pPr>
      <w:r w:rsidRPr="00E351D2">
        <w:rPr>
          <w:rStyle w:val="FootnoteReference"/>
        </w:rPr>
        <w:footnoteRef/>
      </w:r>
      <w:r w:rsidRPr="00E351D2">
        <w:t xml:space="preserve"> All of these surveys include both design weights and non-response weights.  However, </w:t>
      </w:r>
      <w:proofErr w:type="spellStart"/>
      <w:r w:rsidRPr="00E351D2">
        <w:t>EiB</w:t>
      </w:r>
      <w:proofErr w:type="spellEnd"/>
      <w:r w:rsidRPr="00E351D2">
        <w:t xml:space="preserve"> includes two different sets of non-response weights.  I have used the weights that are most likely to be comparable to the Skills Surveys (adjusting for non-response by gender), rather than the weights that account for further forms of non-response (adjusted for full-time vs. part-time, sex, age, and socio-economic group, compared to the Labour Force Survey from the same period, cf. the weights for </w:t>
      </w:r>
      <w:proofErr w:type="spellStart"/>
      <w:r w:rsidRPr="00E351D2">
        <w:t>WiB</w:t>
      </w:r>
      <w:proofErr w:type="spellEnd"/>
      <w:r w:rsidRPr="00E351D2">
        <w:t xml:space="preserve">).  </w:t>
      </w:r>
    </w:p>
  </w:footnote>
  <w:footnote w:id="2">
    <w:p w:rsidR="00F27B62" w:rsidRDefault="00F27B62">
      <w:pPr>
        <w:pStyle w:val="FootnoteText"/>
      </w:pPr>
      <w:r>
        <w:rPr>
          <w:rStyle w:val="FootnoteReference"/>
        </w:rPr>
        <w:footnoteRef/>
      </w:r>
      <w:r>
        <w:t xml:space="preserve"> </w:t>
      </w:r>
      <w:r w:rsidRPr="00F27B62">
        <w:rPr>
          <w:vertAlign w:val="superscript"/>
        </w:rPr>
        <w:t>3</w:t>
      </w:r>
      <w:r w:rsidRPr="00F27B62">
        <w:t xml:space="preserve"> The analysis linearly imputes between survey years (1992/1997/2001/2006), and assume no change 1991-1992 and 2006-2007 (in the case </w:t>
      </w:r>
      <w:proofErr w:type="gramStart"/>
      <w:r w:rsidRPr="00F27B62">
        <w:t>of  physicality</w:t>
      </w:r>
      <w:proofErr w:type="gramEnd"/>
      <w:r w:rsidRPr="00F27B62">
        <w:t>, the weak 1997-2001 trend is extrapolated to earlier years).</w:t>
      </w:r>
    </w:p>
  </w:footnote>
  <w:footnote w:id="3">
    <w:p w:rsidR="00177B3C" w:rsidRPr="00E351D2" w:rsidRDefault="00177B3C" w:rsidP="00177B3C">
      <w:pPr>
        <w:pStyle w:val="FootnoteText"/>
      </w:pPr>
      <w:r w:rsidRPr="00E351D2">
        <w:rPr>
          <w:rStyle w:val="FootnoteReference"/>
        </w:rPr>
        <w:footnoteRef/>
      </w:r>
      <w:r w:rsidRPr="00E351D2">
        <w:t xml:space="preserve"> Job demands was non-significant, while job control (p&lt;0.05)</w:t>
      </w:r>
      <w:r>
        <w:t xml:space="preserve"> and job physicality (p&lt;0.01) were significant.  Also </w:t>
      </w:r>
      <w:r w:rsidRPr="00E351D2">
        <w:t xml:space="preserve">the estimated AME for the change from the average control in the lowest-control </w:t>
      </w:r>
      <w:proofErr w:type="spellStart"/>
      <w:r w:rsidRPr="00E351D2">
        <w:t>tertile</w:t>
      </w:r>
      <w:proofErr w:type="spellEnd"/>
      <w:r w:rsidRPr="00E351D2">
        <w:t xml:space="preserve"> to the average control in the highest-control </w:t>
      </w:r>
      <w:proofErr w:type="spellStart"/>
      <w:r w:rsidRPr="00E351D2">
        <w:t>tertile</w:t>
      </w:r>
      <w:proofErr w:type="spellEnd"/>
      <w:r w:rsidRPr="00E351D2">
        <w:t xml:space="preserve"> was also virtually identical to the AMEs reported </w:t>
      </w:r>
      <w:r>
        <w:t>in the main text</w:t>
      </w:r>
      <w:r w:rsidRPr="00E351D2">
        <w:t>.</w:t>
      </w:r>
    </w:p>
  </w:footnote>
  <w:footnote w:id="4">
    <w:p w:rsidR="00177B3C" w:rsidRPr="00E351D2" w:rsidRDefault="00177B3C" w:rsidP="00177B3C">
      <w:pPr>
        <w:pStyle w:val="FootnoteText"/>
      </w:pPr>
      <w:r w:rsidRPr="00E351D2">
        <w:rPr>
          <w:rStyle w:val="FootnoteReference"/>
        </w:rPr>
        <w:footnoteRef/>
      </w:r>
      <w:r w:rsidRPr="00E351D2">
        <w:t xml:space="preserve"> </w:t>
      </w:r>
      <w:proofErr w:type="spellStart"/>
      <w:r w:rsidRPr="00E351D2">
        <w:t>AME</w:t>
      </w:r>
      <w:r w:rsidRPr="00E351D2">
        <w:rPr>
          <w:vertAlign w:val="subscript"/>
        </w:rPr>
        <w:t>control</w:t>
      </w:r>
      <w:proofErr w:type="spellEnd"/>
      <w:r w:rsidRPr="00E351D2">
        <w:t>=0.49% against an incidence of transitions to incapacity benefits of 1.4%.</w:t>
      </w:r>
    </w:p>
  </w:footnote>
  <w:footnote w:id="5">
    <w:p w:rsidR="00177B3C" w:rsidRPr="00E351D2" w:rsidRDefault="00177B3C" w:rsidP="00177B3C">
      <w:pPr>
        <w:pStyle w:val="FootnoteText"/>
      </w:pPr>
      <w:r w:rsidRPr="00E351D2">
        <w:rPr>
          <w:rStyle w:val="FootnoteReference"/>
        </w:rPr>
        <w:footnoteRef/>
      </w:r>
      <w:r w:rsidRPr="00E351D2">
        <w:t xml:space="preserve"> In the subsample for the autoregressive(1) model that excludes the 1991 wave, the effect of control was slightly weaker and non-significant, but still strong; however, the AR(1) model produced identical results to the exchangeable correlation matrix.  </w:t>
      </w:r>
    </w:p>
  </w:footnote>
  <w:footnote w:id="6">
    <w:p w:rsidR="00177B3C" w:rsidRPr="000F5805" w:rsidRDefault="00177B3C" w:rsidP="00177B3C">
      <w:pPr>
        <w:pStyle w:val="FootnoteText"/>
      </w:pPr>
      <w:r w:rsidRPr="000F5805">
        <w:rPr>
          <w:rStyle w:val="FootnoteReference"/>
        </w:rPr>
        <w:footnoteRef/>
      </w:r>
      <w:r w:rsidRPr="000F5805">
        <w:t xml:space="preserve"> The </w:t>
      </w:r>
      <w:proofErr w:type="spellStart"/>
      <w:r w:rsidRPr="000F5805">
        <w:t>Hosmer-Lemeshow</w:t>
      </w:r>
      <w:proofErr w:type="spellEnd"/>
      <w:r w:rsidRPr="000F5805">
        <w:t xml:space="preserve"> test cannot be run after GEE models, but it is possible to create a similar version by creating dummies for each </w:t>
      </w:r>
      <w:proofErr w:type="spellStart"/>
      <w:r w:rsidRPr="000F5805">
        <w:t>decile</w:t>
      </w:r>
      <w:proofErr w:type="spellEnd"/>
      <w:r w:rsidRPr="000F5805">
        <w:t xml:space="preserve"> of predicted probabilities, and testing their joint significance in a model that contains a continuous linear version of the predicted score on the </w:t>
      </w:r>
      <w:proofErr w:type="spellStart"/>
      <w:r w:rsidRPr="000F5805">
        <w:t>logit</w:t>
      </w:r>
      <w:proofErr w:type="spellEnd"/>
      <w:r w:rsidRPr="000F5805">
        <w:t xml:space="preserve"> scale </w:t>
      </w:r>
      <w:r>
        <w:t xml:space="preserve">Hardin, J., and </w:t>
      </w:r>
      <w:proofErr w:type="spellStart"/>
      <w:r>
        <w:t>Hilbe</w:t>
      </w:r>
      <w:proofErr w:type="spellEnd"/>
      <w:r>
        <w:t xml:space="preserve">, H. (2003) </w:t>
      </w:r>
      <w:r w:rsidRPr="006542EF">
        <w:rPr>
          <w:i/>
        </w:rPr>
        <w:t>Generalized Estimating Equations</w:t>
      </w:r>
      <w:r>
        <w:t>, Boca Raton, Florida: Chapman &amp; Hall/CRC.</w:t>
      </w:r>
      <w:r w:rsidRPr="000F5805">
        <w:t xml:space="preserve">.  </w:t>
      </w:r>
    </w:p>
  </w:footnote>
  <w:footnote w:id="7">
    <w:p w:rsidR="00177B3C" w:rsidRPr="00E351D2" w:rsidRDefault="00177B3C" w:rsidP="00177B3C">
      <w:pPr>
        <w:pStyle w:val="FootnoteText"/>
      </w:pPr>
      <w:r w:rsidRPr="00E351D2">
        <w:rPr>
          <w:rStyle w:val="FootnoteReference"/>
        </w:rPr>
        <w:footnoteRef/>
      </w:r>
      <w:r w:rsidRPr="00E351D2">
        <w:t xml:space="preserve"> The main model (containing controls for individual-level SES and physicality) was poorly-fitting (adapted </w:t>
      </w:r>
      <w:proofErr w:type="spellStart"/>
      <w:r w:rsidRPr="00E351D2">
        <w:t>Hosmer-Lemeshow</w:t>
      </w:r>
      <w:proofErr w:type="spellEnd"/>
      <w:r w:rsidRPr="00E351D2">
        <w:t xml:space="preserve"> </w:t>
      </w:r>
      <w:proofErr w:type="gramStart"/>
      <w:r w:rsidRPr="00E351D2">
        <w:t>chi</w:t>
      </w:r>
      <w:r w:rsidRPr="00E351D2">
        <w:rPr>
          <w:vertAlign w:val="superscript"/>
        </w:rPr>
        <w:t>2</w:t>
      </w:r>
      <w:r w:rsidRPr="00E351D2">
        <w:t>(</w:t>
      </w:r>
      <w:proofErr w:type="gramEnd"/>
      <w:r w:rsidRPr="00E351D2">
        <w:t>9)=17.</w:t>
      </w:r>
      <w:r>
        <w:t>2</w:t>
      </w:r>
      <w:r w:rsidRPr="00E351D2">
        <w:t>, p</w:t>
      </w:r>
      <w:r>
        <w:t>&lt;</w:t>
      </w:r>
      <w:r w:rsidRPr="00E351D2">
        <w:t>0.0</w:t>
      </w:r>
      <w:r>
        <w:t>5</w:t>
      </w:r>
      <w:r w:rsidRPr="00E351D2">
        <w:t xml:space="preserve">), primarily because it overestimated the probability of claiming incapacity benefits among those with the very lowest predicted probabilities.  I therefore created a latent health scale by regressing the specific health measures on self-reported general health, and </w:t>
      </w:r>
      <w:r>
        <w:t xml:space="preserve">used </w:t>
      </w:r>
      <w:r w:rsidRPr="00E351D2">
        <w:t>a multivariate fractional polynomial model to find the best-fitting form of this latent health scale (alongside the non-health controls and a dummy for zero health problems).  This revised model fitted the data acceptably (</w:t>
      </w:r>
      <w:proofErr w:type="gramStart"/>
      <w:r w:rsidRPr="00E351D2">
        <w:t>chi</w:t>
      </w:r>
      <w:r w:rsidRPr="00E351D2">
        <w:rPr>
          <w:vertAlign w:val="superscript"/>
        </w:rPr>
        <w:t>2</w:t>
      </w:r>
      <w:r w:rsidRPr="00E351D2">
        <w:t>(</w:t>
      </w:r>
      <w:proofErr w:type="gramEnd"/>
      <w:r w:rsidRPr="00E351D2">
        <w:t>9)=1</w:t>
      </w:r>
      <w:r>
        <w:t>3</w:t>
      </w:r>
      <w:r w:rsidRPr="00E351D2">
        <w:t>.</w:t>
      </w:r>
      <w:r>
        <w:t>6</w:t>
      </w:r>
      <w:r w:rsidRPr="00E351D2">
        <w:t>, p=0.</w:t>
      </w:r>
      <w:r>
        <w:t>14</w:t>
      </w:r>
      <w:r w:rsidRPr="00E351D2">
        <w:t>), and produced similar results (</w:t>
      </w:r>
      <w:proofErr w:type="spellStart"/>
      <w:r w:rsidRPr="00E351D2">
        <w:t>AME</w:t>
      </w:r>
      <w:r w:rsidRPr="00E351D2">
        <w:rPr>
          <w:vertAlign w:val="subscript"/>
        </w:rPr>
        <w:t>control</w:t>
      </w:r>
      <w:proofErr w:type="spellEnd"/>
      <w:r w:rsidRPr="00E351D2">
        <w:t>=0.3</w:t>
      </w:r>
      <w:r>
        <w:t>3</w:t>
      </w:r>
      <w:r w:rsidRPr="00E351D2">
        <w:t>% vs. 0.3</w:t>
      </w:r>
      <w:r>
        <w:t>4</w:t>
      </w:r>
      <w:r w:rsidRPr="00E351D2">
        <w:t>% in the main model).</w:t>
      </w:r>
    </w:p>
  </w:footnote>
  <w:footnote w:id="8">
    <w:p w:rsidR="00177B3C" w:rsidRPr="00E351D2" w:rsidRDefault="00177B3C" w:rsidP="00177B3C">
      <w:pPr>
        <w:pStyle w:val="FootnoteText"/>
      </w:pPr>
      <w:r w:rsidRPr="00E351D2">
        <w:rPr>
          <w:rStyle w:val="FootnoteReference"/>
        </w:rPr>
        <w:footnoteRef/>
      </w:r>
      <w:r w:rsidRPr="00E351D2">
        <w:t xml:space="preserve"> For the 1991 wave, the coefficients and standard errors for high control, high demands and high physicality were -0.90 (se=0.60), 1.21 (0.48) and 1.71 (0.61) respectively.  When the clustering within occupations was incorporated, this changed to -0.90 (se=0.62), 1.21 (0.55) and 1.71 (0.57) respectively. </w:t>
      </w:r>
    </w:p>
    <w:p w:rsidR="00177B3C" w:rsidRPr="00E351D2" w:rsidRDefault="00177B3C" w:rsidP="00177B3C">
      <w:pPr>
        <w:pStyle w:val="FootnoteText"/>
      </w:pPr>
      <w:r w:rsidRPr="00E351D2">
        <w:t>For the linear panel model on the full sample, the coefficients accounting for the clustering of observations within people were for high control, high demands and high physicality were -0.0019 (se=0.0016), -0.0007 (0.0015) and 0.0054 (0.0015) respectively.  When the clustering within occupations was additionally incorporated in a crossed-effects model, the coefficients were -0.0017 (se=0.0017), -</w:t>
      </w:r>
      <w:proofErr w:type="gramStart"/>
      <w:r w:rsidRPr="00E351D2">
        <w:t>0.0013  (</w:t>
      </w:r>
      <w:proofErr w:type="gramEnd"/>
      <w:r w:rsidRPr="00E351D2">
        <w:t>0.0016) and 0.0054 (0.0017).</w:t>
      </w:r>
    </w:p>
    <w:p w:rsidR="00177B3C" w:rsidRDefault="00177B3C" w:rsidP="00177B3C">
      <w:pPr>
        <w:pStyle w:val="FootnoteText"/>
      </w:pPr>
      <w:r w:rsidRPr="00E351D2">
        <w:t>For these analyses, I used the version of the JEM that imputed based only on occupations (rather than occupations + years).  Random effects rather than GEE models were used in both cases (the XTLOGIT command for the 1991 wave, and the XTMIXED command for the linear crossed model).</w:t>
      </w:r>
    </w:p>
  </w:footnote>
  <w:footnote w:id="9">
    <w:p w:rsidR="00177B3C" w:rsidRPr="000F5805" w:rsidRDefault="00177B3C" w:rsidP="00177B3C">
      <w:pPr>
        <w:pStyle w:val="FootnoteText"/>
      </w:pPr>
      <w:r w:rsidRPr="000F5805">
        <w:rPr>
          <w:rStyle w:val="FootnoteReference"/>
        </w:rPr>
        <w:footnoteRef/>
      </w:r>
      <w:r w:rsidRPr="000F5805">
        <w:t xml:space="preserve"> I do this in two ways: (i) using the longitudinal weights from 2006 for all individuals that respond at every wave 1991-6, excluding the booster samples; and (ii) using the longitudinal weights that incorporate the Scottish and Welsh booster </w:t>
      </w:r>
      <w:proofErr w:type="gramStart"/>
      <w:r w:rsidRPr="000F5805">
        <w:t>samples, that</w:t>
      </w:r>
      <w:proofErr w:type="gramEnd"/>
      <w:r w:rsidRPr="000F5805">
        <w:t xml:space="preserve"> exclude responses 1991-1998.</w:t>
      </w:r>
    </w:p>
  </w:footnote>
  <w:footnote w:id="10">
    <w:p w:rsidR="00177B3C" w:rsidRPr="00AC7C1A" w:rsidRDefault="00177B3C" w:rsidP="00177B3C">
      <w:pPr>
        <w:pStyle w:val="FootnoteText"/>
        <w:rPr>
          <w:lang w:val="en-US"/>
        </w:rPr>
      </w:pPr>
      <w:r>
        <w:rPr>
          <w:rStyle w:val="FootnoteReference"/>
        </w:rPr>
        <w:footnoteRef/>
      </w:r>
      <w:r>
        <w:t xml:space="preserve"> Ideally data would be </w:t>
      </w:r>
      <w:r w:rsidRPr="00E351D2">
        <w:t xml:space="preserve">imputed in ‘wide’ format to reflect the longitudinal structure of the data </w:t>
      </w:r>
      <w:r>
        <w:t xml:space="preserve">Rose, R. A., and Fraser, M. W. (2008) 'A Simplified Framework </w:t>
      </w:r>
      <w:proofErr w:type="spellStart"/>
      <w:r>
        <w:t>Fo</w:t>
      </w:r>
      <w:proofErr w:type="spellEnd"/>
      <w:r>
        <w:t xml:space="preserve"> </w:t>
      </w:r>
      <w:proofErr w:type="spellStart"/>
      <w:r>
        <w:t>Rusing</w:t>
      </w:r>
      <w:proofErr w:type="spellEnd"/>
      <w:r>
        <w:t xml:space="preserve"> Multiple Imputation in Social Work Research', </w:t>
      </w:r>
      <w:r w:rsidRPr="006542EF">
        <w:rPr>
          <w:i/>
        </w:rPr>
        <w:t>Social Work Research</w:t>
      </w:r>
      <w:r>
        <w:t xml:space="preserve"> 32:171-78.; </w:t>
      </w:r>
      <w:r w:rsidRPr="00E351D2">
        <w:t xml:space="preserve">that is, job demands at </w:t>
      </w:r>
      <w:r>
        <w:t xml:space="preserve">each wave are considered entirely different variables.  However, we are not quite </w:t>
      </w:r>
      <w:proofErr w:type="gramStart"/>
      <w:r>
        <w:t>a the</w:t>
      </w:r>
      <w:proofErr w:type="gramEnd"/>
      <w:r>
        <w:t xml:space="preserve"> stage that this type of imputation is practicable, and data were therefore imputed in ‘long’ format.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932FF"/>
    <w:multiLevelType w:val="hybridMultilevel"/>
    <w:tmpl w:val="3ECEBF72"/>
    <w:lvl w:ilvl="0" w:tplc="A6EEA39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37002"/>
    <w:multiLevelType w:val="multilevel"/>
    <w:tmpl w:val="D4568274"/>
    <w:styleLink w:val="Style3"/>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47"/>
      </w:pPr>
      <w:rPr>
        <w:rFonts w:ascii="Symbol" w:hAnsi="Symbol" w:hint="default"/>
      </w:rPr>
    </w:lvl>
    <w:lvl w:ilvl="2">
      <w:start w:val="1"/>
      <w:numFmt w:val="bullet"/>
      <w:lvlText w:val="o"/>
      <w:lvlJc w:val="left"/>
      <w:pPr>
        <w:tabs>
          <w:tab w:val="num" w:pos="1440"/>
        </w:tabs>
        <w:ind w:left="1191" w:hanging="284"/>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32151D3"/>
    <w:multiLevelType w:val="hybridMultilevel"/>
    <w:tmpl w:val="8E304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208DD"/>
    <w:multiLevelType w:val="hybridMultilevel"/>
    <w:tmpl w:val="BD8E7D6E"/>
    <w:lvl w:ilvl="0" w:tplc="C69CE59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4C7D66"/>
    <w:multiLevelType w:val="hybridMultilevel"/>
    <w:tmpl w:val="9B80FF90"/>
    <w:lvl w:ilvl="0" w:tplc="680627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4C40749B"/>
    <w:multiLevelType w:val="hybridMultilevel"/>
    <w:tmpl w:val="55BEB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C61215"/>
    <w:multiLevelType w:val="hybridMultilevel"/>
    <w:tmpl w:val="2ED6423A"/>
    <w:lvl w:ilvl="0" w:tplc="CD42EABE">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D0C43"/>
    <w:multiLevelType w:val="hybridMultilevel"/>
    <w:tmpl w:val="4AC6F2D4"/>
    <w:lvl w:ilvl="0" w:tplc="B52E586C">
      <w:start w:val="1"/>
      <w:numFmt w:val="decimal"/>
      <w:lvlText w:val="Web 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BF36C9"/>
    <w:multiLevelType w:val="multilevel"/>
    <w:tmpl w:val="15269CD4"/>
    <w:styleLink w:val="Styl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07"/>
        </w:tabs>
        <w:ind w:left="907" w:hanging="550"/>
      </w:pPr>
      <w:rPr>
        <w:rFonts w:ascii="Symbol" w:hAnsi="Symbol" w:hint="default"/>
      </w:rPr>
    </w:lvl>
    <w:lvl w:ilvl="2">
      <w:start w:val="1"/>
      <w:numFmt w:val="bullet"/>
      <w:lvlText w:val="o"/>
      <w:lvlJc w:val="left"/>
      <w:pPr>
        <w:ind w:left="0" w:firstLine="3402"/>
      </w:pPr>
      <w:rPr>
        <w:rFonts w:ascii="Courier New" w:hAnsi="Courier New"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C9143AD"/>
    <w:multiLevelType w:val="hybridMultilevel"/>
    <w:tmpl w:val="67C0CF98"/>
    <w:lvl w:ilvl="0" w:tplc="FC40CD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E6F2F"/>
    <w:multiLevelType w:val="hybridMultilevel"/>
    <w:tmpl w:val="5EC42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7E4F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3"/>
  </w:num>
  <w:num w:numId="3">
    <w:abstractNumId w:val="4"/>
  </w:num>
  <w:num w:numId="4">
    <w:abstractNumId w:val="0"/>
  </w:num>
  <w:num w:numId="5">
    <w:abstractNumId w:val="11"/>
  </w:num>
  <w:num w:numId="6">
    <w:abstractNumId w:val="5"/>
  </w:num>
  <w:num w:numId="7">
    <w:abstractNumId w:val="9"/>
  </w:num>
  <w:num w:numId="8">
    <w:abstractNumId w:val="1"/>
  </w:num>
  <w:num w:numId="9">
    <w:abstractNumId w:val="6"/>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PhD updated.enl&lt;/item&gt;&lt;/Libraries&gt;&lt;/ENLibraries&gt;"/>
  </w:docVars>
  <w:rsids>
    <w:rsidRoot w:val="002F41F0"/>
    <w:rsid w:val="000E6626"/>
    <w:rsid w:val="00132093"/>
    <w:rsid w:val="00177B3C"/>
    <w:rsid w:val="001C7CC1"/>
    <w:rsid w:val="0027656B"/>
    <w:rsid w:val="002F41F0"/>
    <w:rsid w:val="00335D4C"/>
    <w:rsid w:val="0039405D"/>
    <w:rsid w:val="003D7A5E"/>
    <w:rsid w:val="00414251"/>
    <w:rsid w:val="00473B1D"/>
    <w:rsid w:val="00512F69"/>
    <w:rsid w:val="005545CA"/>
    <w:rsid w:val="007250D9"/>
    <w:rsid w:val="007E6491"/>
    <w:rsid w:val="007F56F8"/>
    <w:rsid w:val="00872449"/>
    <w:rsid w:val="00872BE0"/>
    <w:rsid w:val="00875F56"/>
    <w:rsid w:val="008807AD"/>
    <w:rsid w:val="00936090"/>
    <w:rsid w:val="00997EFD"/>
    <w:rsid w:val="00A34F49"/>
    <w:rsid w:val="00A37AB9"/>
    <w:rsid w:val="00A73321"/>
    <w:rsid w:val="00B50BFD"/>
    <w:rsid w:val="00BF0140"/>
    <w:rsid w:val="00C977BA"/>
    <w:rsid w:val="00D61443"/>
    <w:rsid w:val="00EF161C"/>
    <w:rsid w:val="00F2123B"/>
    <w:rsid w:val="00F27B62"/>
    <w:rsid w:val="00F5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26CE7-09B0-48A5-BFB3-A643D6CC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F0"/>
    <w:rPr>
      <w:rFonts w:ascii="Arial" w:hAnsi="Arial"/>
    </w:rPr>
  </w:style>
  <w:style w:type="paragraph" w:styleId="Heading1">
    <w:name w:val="heading 1"/>
    <w:basedOn w:val="Normal"/>
    <w:next w:val="Normal"/>
    <w:link w:val="Heading1Char"/>
    <w:qFormat/>
    <w:rsid w:val="002F41F0"/>
    <w:pPr>
      <w:keepNext/>
      <w:keepLines/>
      <w:spacing w:before="480" w:after="0"/>
      <w:outlineLvl w:val="0"/>
    </w:pPr>
    <w:rPr>
      <w:rFonts w:eastAsiaTheme="majorEastAsia"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2F41F0"/>
    <w:pPr>
      <w:keepNext/>
      <w:keepLines/>
      <w:spacing w:before="200" w:after="0"/>
      <w:outlineLvl w:val="1"/>
    </w:pPr>
    <w:rPr>
      <w:rFonts w:eastAsiaTheme="majorEastAsia" w:cstheme="majorBidi"/>
      <w:b/>
      <w:bCs/>
      <w:color w:val="4F81BD" w:themeColor="accent1"/>
      <w:sz w:val="26"/>
      <w:szCs w:val="26"/>
      <w:u w:val="single"/>
    </w:rPr>
  </w:style>
  <w:style w:type="paragraph" w:styleId="Heading3">
    <w:name w:val="heading 3"/>
    <w:basedOn w:val="Normal"/>
    <w:next w:val="Normal"/>
    <w:link w:val="Heading3Char"/>
    <w:unhideWhenUsed/>
    <w:qFormat/>
    <w:rsid w:val="002F41F0"/>
    <w:pPr>
      <w:keepNext/>
      <w:keepLines/>
      <w:spacing w:before="200" w:after="0"/>
      <w:outlineLvl w:val="2"/>
    </w:pPr>
    <w:rPr>
      <w:rFonts w:eastAsiaTheme="majorEastAsia" w:cstheme="majorBidi"/>
      <w:b/>
      <w:bCs/>
      <w:color w:val="4F81BD" w:themeColor="accent1"/>
    </w:rPr>
  </w:style>
  <w:style w:type="paragraph" w:styleId="Heading4">
    <w:name w:val="heading 4"/>
    <w:basedOn w:val="Heading3"/>
    <w:next w:val="Normal"/>
    <w:link w:val="Heading4Char"/>
    <w:unhideWhenUsed/>
    <w:qFormat/>
    <w:rsid w:val="002F41F0"/>
    <w:pPr>
      <w:outlineLvl w:val="3"/>
    </w:pPr>
    <w:rPr>
      <w:b w:val="0"/>
      <w:bCs w:val="0"/>
      <w:i/>
      <w:iCs/>
    </w:rPr>
  </w:style>
  <w:style w:type="paragraph" w:styleId="Heading5">
    <w:name w:val="heading 5"/>
    <w:basedOn w:val="Normal"/>
    <w:next w:val="Normal"/>
    <w:link w:val="Heading5Char"/>
    <w:uiPriority w:val="9"/>
    <w:qFormat/>
    <w:rsid w:val="002F41F0"/>
    <w:pPr>
      <w:spacing w:before="240" w:after="60" w:line="240" w:lineRule="auto"/>
      <w:jc w:val="both"/>
      <w:outlineLvl w:val="4"/>
    </w:pPr>
    <w:rPr>
      <w:rFonts w:ascii="Calibri" w:eastAsia="SimSun" w:hAnsi="Calibri" w:cs="Times New Roman"/>
      <w:b/>
      <w:bCs/>
      <w:i/>
      <w:iCs/>
      <w:sz w:val="26"/>
      <w:szCs w:val="26"/>
    </w:rPr>
  </w:style>
  <w:style w:type="paragraph" w:styleId="Heading6">
    <w:name w:val="heading 6"/>
    <w:basedOn w:val="Normal"/>
    <w:next w:val="Normal"/>
    <w:link w:val="Heading6Char"/>
    <w:qFormat/>
    <w:rsid w:val="002F41F0"/>
    <w:pPr>
      <w:spacing w:before="240" w:after="60" w:line="240" w:lineRule="auto"/>
      <w:jc w:val="both"/>
      <w:outlineLvl w:val="5"/>
    </w:pPr>
    <w:rPr>
      <w:rFonts w:ascii="Times New Roman" w:eastAsia="SimSun" w:hAnsi="Times New Roman" w:cs="Times New Roman"/>
      <w:b/>
    </w:rPr>
  </w:style>
  <w:style w:type="paragraph" w:styleId="Heading7">
    <w:name w:val="heading 7"/>
    <w:basedOn w:val="Normal"/>
    <w:next w:val="Normal"/>
    <w:link w:val="Heading7Char"/>
    <w:uiPriority w:val="9"/>
    <w:semiHidden/>
    <w:unhideWhenUsed/>
    <w:qFormat/>
    <w:rsid w:val="00177B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B3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77B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41F0"/>
    <w:rPr>
      <w:rFonts w:ascii="Arial" w:eastAsiaTheme="majorEastAsia" w:hAnsi="Arial" w:cstheme="majorBidi"/>
      <w:b/>
      <w:bCs/>
      <w:color w:val="4F81BD" w:themeColor="accent1"/>
      <w:sz w:val="26"/>
      <w:szCs w:val="26"/>
      <w:u w:val="single"/>
    </w:rPr>
  </w:style>
  <w:style w:type="character" w:customStyle="1" w:styleId="Heading1Char">
    <w:name w:val="Heading 1 Char"/>
    <w:basedOn w:val="DefaultParagraphFont"/>
    <w:link w:val="Heading1"/>
    <w:rsid w:val="002F41F0"/>
    <w:rPr>
      <w:rFonts w:ascii="Arial" w:eastAsiaTheme="majorEastAsia" w:hAnsi="Arial" w:cstheme="majorBidi"/>
      <w:b/>
      <w:bCs/>
      <w:color w:val="365F91" w:themeColor="accent1" w:themeShade="BF"/>
      <w:sz w:val="28"/>
      <w:szCs w:val="28"/>
      <w:u w:val="single"/>
    </w:rPr>
  </w:style>
  <w:style w:type="character" w:customStyle="1" w:styleId="Heading3Char">
    <w:name w:val="Heading 3 Char"/>
    <w:basedOn w:val="DefaultParagraphFont"/>
    <w:link w:val="Heading3"/>
    <w:rsid w:val="002F41F0"/>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2F41F0"/>
    <w:rPr>
      <w:rFonts w:ascii="Arial" w:eastAsiaTheme="majorEastAsia" w:hAnsi="Arial" w:cstheme="majorBidi"/>
      <w:i/>
      <w:iCs/>
      <w:color w:val="4F81BD" w:themeColor="accent1"/>
    </w:rPr>
  </w:style>
  <w:style w:type="character" w:customStyle="1" w:styleId="Heading5Char">
    <w:name w:val="Heading 5 Char"/>
    <w:basedOn w:val="DefaultParagraphFont"/>
    <w:link w:val="Heading5"/>
    <w:uiPriority w:val="9"/>
    <w:rsid w:val="002F41F0"/>
    <w:rPr>
      <w:rFonts w:ascii="Calibri" w:eastAsia="SimSun" w:hAnsi="Calibri" w:cs="Times New Roman"/>
      <w:b/>
      <w:bCs/>
      <w:i/>
      <w:iCs/>
      <w:sz w:val="26"/>
      <w:szCs w:val="26"/>
    </w:rPr>
  </w:style>
  <w:style w:type="character" w:customStyle="1" w:styleId="Heading6Char">
    <w:name w:val="Heading 6 Char"/>
    <w:basedOn w:val="DefaultParagraphFont"/>
    <w:link w:val="Heading6"/>
    <w:rsid w:val="002F41F0"/>
    <w:rPr>
      <w:rFonts w:ascii="Times New Roman" w:eastAsia="SimSun" w:hAnsi="Times New Roman" w:cs="Times New Roman"/>
      <w:b/>
    </w:rPr>
  </w:style>
  <w:style w:type="paragraph" w:styleId="Caption">
    <w:name w:val="caption"/>
    <w:basedOn w:val="Normal"/>
    <w:next w:val="Normal"/>
    <w:uiPriority w:val="35"/>
    <w:qFormat/>
    <w:rsid w:val="002F41F0"/>
    <w:pPr>
      <w:spacing w:before="120" w:after="280" w:line="240" w:lineRule="auto"/>
      <w:jc w:val="center"/>
    </w:pPr>
    <w:rPr>
      <w:rFonts w:eastAsia="SimSun" w:cs="Times New Roman"/>
      <w:b/>
      <w:bCs/>
      <w:szCs w:val="20"/>
    </w:rPr>
  </w:style>
  <w:style w:type="paragraph" w:customStyle="1" w:styleId="BelowTable">
    <w:name w:val="Below_Table"/>
    <w:basedOn w:val="Normal"/>
    <w:link w:val="BelowTableChar"/>
    <w:qFormat/>
    <w:rsid w:val="002F41F0"/>
    <w:pPr>
      <w:spacing w:before="60" w:after="0" w:line="240" w:lineRule="auto"/>
      <w:ind w:left="1843" w:right="1230"/>
      <w:jc w:val="both"/>
    </w:pPr>
    <w:rPr>
      <w:rFonts w:eastAsia="SimSun" w:cs="Times New Roman"/>
      <w:i/>
      <w:iCs/>
      <w:color w:val="000000"/>
      <w:sz w:val="18"/>
      <w:szCs w:val="18"/>
      <w:lang w:val="en-US"/>
    </w:rPr>
  </w:style>
  <w:style w:type="character" w:customStyle="1" w:styleId="BelowTableChar">
    <w:name w:val="Below_Table Char"/>
    <w:basedOn w:val="DefaultParagraphFont"/>
    <w:link w:val="BelowTable"/>
    <w:rsid w:val="002F41F0"/>
    <w:rPr>
      <w:rFonts w:ascii="Arial" w:eastAsia="SimSun" w:hAnsi="Arial" w:cs="Times New Roman"/>
      <w:i/>
      <w:iCs/>
      <w:color w:val="000000"/>
      <w:sz w:val="18"/>
      <w:szCs w:val="18"/>
      <w:lang w:val="en-US"/>
    </w:rPr>
  </w:style>
  <w:style w:type="paragraph" w:styleId="BalloonText">
    <w:name w:val="Balloon Text"/>
    <w:basedOn w:val="Normal"/>
    <w:link w:val="BalloonTextChar"/>
    <w:uiPriority w:val="99"/>
    <w:semiHidden/>
    <w:unhideWhenUsed/>
    <w:rsid w:val="002F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F0"/>
    <w:rPr>
      <w:rFonts w:ascii="Tahoma" w:hAnsi="Tahoma" w:cs="Tahoma"/>
      <w:sz w:val="16"/>
      <w:szCs w:val="16"/>
    </w:rPr>
  </w:style>
  <w:style w:type="paragraph" w:styleId="ListParagraph">
    <w:name w:val="List Paragraph"/>
    <w:basedOn w:val="Normal"/>
    <w:uiPriority w:val="34"/>
    <w:qFormat/>
    <w:rsid w:val="002F41F0"/>
    <w:pPr>
      <w:ind w:left="720"/>
      <w:contextualSpacing/>
    </w:pPr>
  </w:style>
  <w:style w:type="character" w:styleId="Hyperlink">
    <w:name w:val="Hyperlink"/>
    <w:basedOn w:val="DefaultParagraphFont"/>
    <w:uiPriority w:val="99"/>
    <w:unhideWhenUsed/>
    <w:rsid w:val="002F41F0"/>
    <w:rPr>
      <w:color w:val="0000FF" w:themeColor="hyperlink"/>
      <w:u w:val="single"/>
    </w:rPr>
  </w:style>
  <w:style w:type="paragraph" w:styleId="FootnoteText">
    <w:name w:val="footnote text"/>
    <w:basedOn w:val="Normal"/>
    <w:link w:val="FootnoteTextChar"/>
    <w:rsid w:val="002F41F0"/>
    <w:pPr>
      <w:spacing w:after="60" w:line="240" w:lineRule="auto"/>
      <w:jc w:val="both"/>
    </w:pPr>
    <w:rPr>
      <w:rFonts w:eastAsia="SimSun" w:cs="Times New Roman"/>
      <w:sz w:val="18"/>
      <w:szCs w:val="24"/>
    </w:rPr>
  </w:style>
  <w:style w:type="character" w:customStyle="1" w:styleId="FootnoteTextChar">
    <w:name w:val="Footnote Text Char"/>
    <w:basedOn w:val="DefaultParagraphFont"/>
    <w:link w:val="FootnoteText"/>
    <w:rsid w:val="002F41F0"/>
    <w:rPr>
      <w:rFonts w:ascii="Arial" w:eastAsia="SimSun" w:hAnsi="Arial" w:cs="Times New Roman"/>
      <w:sz w:val="18"/>
      <w:szCs w:val="24"/>
    </w:rPr>
  </w:style>
  <w:style w:type="character" w:styleId="FootnoteReference">
    <w:name w:val="footnote reference"/>
    <w:basedOn w:val="DefaultParagraphFont"/>
    <w:uiPriority w:val="99"/>
    <w:unhideWhenUsed/>
    <w:rsid w:val="002F41F0"/>
    <w:rPr>
      <w:vertAlign w:val="superscript"/>
    </w:rPr>
  </w:style>
  <w:style w:type="paragraph" w:styleId="NormalWeb">
    <w:name w:val="Normal (Web)"/>
    <w:basedOn w:val="Normal"/>
    <w:uiPriority w:val="99"/>
    <w:unhideWhenUsed/>
    <w:rsid w:val="002F41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Shading1">
    <w:name w:val="Light Shading1"/>
    <w:basedOn w:val="TableNormal"/>
    <w:uiPriority w:val="60"/>
    <w:rsid w:val="002F41F0"/>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2F41F0"/>
    <w:rPr>
      <w:b/>
      <w:iCs/>
      <w:color w:val="5F5F5F"/>
    </w:rPr>
  </w:style>
  <w:style w:type="paragraph" w:styleId="TOC1">
    <w:name w:val="toc 1"/>
    <w:basedOn w:val="Normal"/>
    <w:next w:val="Normal"/>
    <w:autoRedefine/>
    <w:uiPriority w:val="39"/>
    <w:unhideWhenUsed/>
    <w:qFormat/>
    <w:rsid w:val="002F41F0"/>
    <w:pPr>
      <w:spacing w:after="0" w:line="240" w:lineRule="auto"/>
    </w:pPr>
    <w:rPr>
      <w:i/>
    </w:rPr>
  </w:style>
  <w:style w:type="paragraph" w:customStyle="1" w:styleId="Quotes">
    <w:name w:val="Quotes"/>
    <w:basedOn w:val="Normal"/>
    <w:rsid w:val="002F41F0"/>
    <w:pPr>
      <w:spacing w:after="180" w:line="288" w:lineRule="auto"/>
      <w:ind w:left="720"/>
      <w:jc w:val="both"/>
    </w:pPr>
    <w:rPr>
      <w:rFonts w:eastAsia="SimSun" w:cs="Times New Roman"/>
      <w:i/>
      <w:sz w:val="24"/>
      <w:szCs w:val="24"/>
    </w:rPr>
  </w:style>
  <w:style w:type="paragraph" w:styleId="Header">
    <w:name w:val="header"/>
    <w:basedOn w:val="Normal"/>
    <w:link w:val="HeaderChar"/>
    <w:rsid w:val="002F41F0"/>
    <w:pPr>
      <w:tabs>
        <w:tab w:val="center" w:pos="4320"/>
        <w:tab w:val="right" w:pos="8640"/>
      </w:tabs>
      <w:spacing w:after="120" w:line="240" w:lineRule="auto"/>
      <w:jc w:val="both"/>
    </w:pPr>
    <w:rPr>
      <w:rFonts w:eastAsia="SimSun" w:cs="Times New Roman"/>
      <w:szCs w:val="24"/>
    </w:rPr>
  </w:style>
  <w:style w:type="character" w:customStyle="1" w:styleId="HeaderChar">
    <w:name w:val="Header Char"/>
    <w:basedOn w:val="DefaultParagraphFont"/>
    <w:link w:val="Header"/>
    <w:rsid w:val="002F41F0"/>
    <w:rPr>
      <w:rFonts w:ascii="Arial" w:eastAsia="SimSun" w:hAnsi="Arial" w:cs="Times New Roman"/>
      <w:szCs w:val="24"/>
    </w:rPr>
  </w:style>
  <w:style w:type="paragraph" w:styleId="Footer">
    <w:name w:val="footer"/>
    <w:basedOn w:val="Normal"/>
    <w:link w:val="FooterChar"/>
    <w:rsid w:val="002F41F0"/>
    <w:pPr>
      <w:tabs>
        <w:tab w:val="center" w:pos="4320"/>
        <w:tab w:val="right" w:pos="8640"/>
      </w:tabs>
      <w:spacing w:after="120" w:line="240" w:lineRule="auto"/>
      <w:jc w:val="both"/>
    </w:pPr>
    <w:rPr>
      <w:rFonts w:eastAsia="SimSun" w:cs="Times New Roman"/>
      <w:sz w:val="18"/>
      <w:szCs w:val="24"/>
    </w:rPr>
  </w:style>
  <w:style w:type="character" w:customStyle="1" w:styleId="FooterChar">
    <w:name w:val="Footer Char"/>
    <w:basedOn w:val="DefaultParagraphFont"/>
    <w:link w:val="Footer"/>
    <w:rsid w:val="002F41F0"/>
    <w:rPr>
      <w:rFonts w:ascii="Arial" w:eastAsia="SimSun" w:hAnsi="Arial" w:cs="Times New Roman"/>
      <w:sz w:val="18"/>
      <w:szCs w:val="24"/>
    </w:rPr>
  </w:style>
  <w:style w:type="character" w:styleId="PageNumber">
    <w:name w:val="page number"/>
    <w:basedOn w:val="DefaultParagraphFont"/>
    <w:rsid w:val="002F41F0"/>
  </w:style>
  <w:style w:type="paragraph" w:styleId="EndnoteText">
    <w:name w:val="endnote text"/>
    <w:basedOn w:val="Normal"/>
    <w:link w:val="EndnoteTextChar"/>
    <w:uiPriority w:val="99"/>
    <w:unhideWhenUsed/>
    <w:rsid w:val="002F41F0"/>
    <w:pPr>
      <w:spacing w:after="120" w:line="240" w:lineRule="auto"/>
      <w:jc w:val="both"/>
    </w:pPr>
    <w:rPr>
      <w:rFonts w:eastAsia="SimSun" w:cs="Times New Roman"/>
      <w:sz w:val="20"/>
      <w:szCs w:val="20"/>
    </w:rPr>
  </w:style>
  <w:style w:type="character" w:customStyle="1" w:styleId="EndnoteTextChar">
    <w:name w:val="Endnote Text Char"/>
    <w:basedOn w:val="DefaultParagraphFont"/>
    <w:link w:val="EndnoteText"/>
    <w:uiPriority w:val="99"/>
    <w:rsid w:val="002F41F0"/>
    <w:rPr>
      <w:rFonts w:ascii="Arial" w:eastAsia="SimSun" w:hAnsi="Arial" w:cs="Times New Roman"/>
      <w:sz w:val="20"/>
      <w:szCs w:val="20"/>
    </w:rPr>
  </w:style>
  <w:style w:type="character" w:styleId="EndnoteReference">
    <w:name w:val="endnote reference"/>
    <w:basedOn w:val="DefaultParagraphFont"/>
    <w:uiPriority w:val="99"/>
    <w:semiHidden/>
    <w:unhideWhenUsed/>
    <w:rsid w:val="002F41F0"/>
    <w:rPr>
      <w:vertAlign w:val="superscript"/>
    </w:rPr>
  </w:style>
  <w:style w:type="paragraph" w:customStyle="1" w:styleId="Annoying">
    <w:name w:val="Annoying"/>
    <w:basedOn w:val="Normal"/>
    <w:rsid w:val="002F41F0"/>
    <w:pPr>
      <w:spacing w:after="0" w:line="240" w:lineRule="auto"/>
      <w:jc w:val="both"/>
    </w:pPr>
    <w:rPr>
      <w:rFonts w:eastAsia="SimSun" w:cs="Times New Roman"/>
      <w:sz w:val="4"/>
      <w:szCs w:val="24"/>
    </w:rPr>
  </w:style>
  <w:style w:type="character" w:styleId="FollowedHyperlink">
    <w:name w:val="FollowedHyperlink"/>
    <w:basedOn w:val="DefaultParagraphFont"/>
    <w:uiPriority w:val="99"/>
    <w:semiHidden/>
    <w:unhideWhenUsed/>
    <w:rsid w:val="002F41F0"/>
    <w:rPr>
      <w:color w:val="800080"/>
      <w:u w:val="single"/>
    </w:rPr>
  </w:style>
  <w:style w:type="paragraph" w:styleId="TOCHeading">
    <w:name w:val="TOC Heading"/>
    <w:basedOn w:val="Heading1"/>
    <w:next w:val="Normal"/>
    <w:uiPriority w:val="39"/>
    <w:qFormat/>
    <w:rsid w:val="002F41F0"/>
    <w:pPr>
      <w:outlineLvl w:val="9"/>
    </w:pPr>
    <w:rPr>
      <w:rFonts w:ascii="Cambria" w:eastAsia="SimSun" w:hAnsi="Cambria" w:cs="Times New Roman"/>
      <w:color w:val="365F91"/>
      <w:u w:val="none"/>
      <w:lang w:val="en-US"/>
    </w:rPr>
  </w:style>
  <w:style w:type="paragraph" w:styleId="TOC3">
    <w:name w:val="toc 3"/>
    <w:basedOn w:val="Normal"/>
    <w:next w:val="Normal"/>
    <w:autoRedefine/>
    <w:uiPriority w:val="39"/>
    <w:qFormat/>
    <w:rsid w:val="002F41F0"/>
    <w:pPr>
      <w:spacing w:after="120" w:line="240" w:lineRule="auto"/>
      <w:ind w:left="440"/>
      <w:jc w:val="both"/>
    </w:pPr>
    <w:rPr>
      <w:rFonts w:eastAsia="SimSun" w:cs="Times New Roman"/>
      <w:szCs w:val="24"/>
    </w:rPr>
  </w:style>
  <w:style w:type="paragraph" w:styleId="TOC2">
    <w:name w:val="toc 2"/>
    <w:basedOn w:val="Normal"/>
    <w:next w:val="Normal"/>
    <w:autoRedefine/>
    <w:uiPriority w:val="39"/>
    <w:qFormat/>
    <w:rsid w:val="002F41F0"/>
    <w:pPr>
      <w:spacing w:after="0" w:line="240" w:lineRule="auto"/>
      <w:ind w:left="284"/>
      <w:jc w:val="both"/>
    </w:pPr>
    <w:rPr>
      <w:rFonts w:eastAsia="SimSun" w:cs="Times New Roman"/>
      <w:szCs w:val="24"/>
    </w:rPr>
  </w:style>
  <w:style w:type="character" w:styleId="CommentReference">
    <w:name w:val="annotation reference"/>
    <w:basedOn w:val="DefaultParagraphFont"/>
    <w:uiPriority w:val="99"/>
    <w:semiHidden/>
    <w:unhideWhenUsed/>
    <w:rsid w:val="002F41F0"/>
    <w:rPr>
      <w:sz w:val="16"/>
      <w:szCs w:val="16"/>
    </w:rPr>
  </w:style>
  <w:style w:type="paragraph" w:styleId="CommentText">
    <w:name w:val="annotation text"/>
    <w:basedOn w:val="Normal"/>
    <w:link w:val="CommentTextChar"/>
    <w:uiPriority w:val="99"/>
    <w:unhideWhenUsed/>
    <w:rsid w:val="002F41F0"/>
    <w:pPr>
      <w:spacing w:after="120" w:line="240" w:lineRule="auto"/>
      <w:jc w:val="both"/>
    </w:pPr>
    <w:rPr>
      <w:rFonts w:eastAsia="SimSun" w:cs="Times New Roman"/>
      <w:sz w:val="20"/>
      <w:szCs w:val="20"/>
    </w:rPr>
  </w:style>
  <w:style w:type="character" w:customStyle="1" w:styleId="CommentTextChar">
    <w:name w:val="Comment Text Char"/>
    <w:basedOn w:val="DefaultParagraphFont"/>
    <w:link w:val="CommentText"/>
    <w:uiPriority w:val="99"/>
    <w:rsid w:val="002F41F0"/>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41F0"/>
    <w:rPr>
      <w:b/>
      <w:bCs/>
    </w:rPr>
  </w:style>
  <w:style w:type="character" w:customStyle="1" w:styleId="CommentSubjectChar">
    <w:name w:val="Comment Subject Char"/>
    <w:basedOn w:val="CommentTextChar"/>
    <w:link w:val="CommentSubject"/>
    <w:uiPriority w:val="99"/>
    <w:semiHidden/>
    <w:rsid w:val="002F41F0"/>
    <w:rPr>
      <w:rFonts w:ascii="Arial" w:eastAsia="SimSun" w:hAnsi="Arial" w:cs="Times New Roman"/>
      <w:b/>
      <w:bCs/>
      <w:sz w:val="20"/>
      <w:szCs w:val="20"/>
    </w:rPr>
  </w:style>
  <w:style w:type="table" w:styleId="LightShading-Accent2">
    <w:name w:val="Light Shading Accent 2"/>
    <w:basedOn w:val="TableNormal"/>
    <w:uiPriority w:val="60"/>
    <w:rsid w:val="002F41F0"/>
    <w:pPr>
      <w:spacing w:after="0" w:line="240" w:lineRule="auto"/>
    </w:pPr>
    <w:rPr>
      <w:rFonts w:ascii="Arial" w:eastAsia="SimSun" w:hAnsi="Arial"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eGrid">
    <w:name w:val="Table Grid"/>
    <w:basedOn w:val="TableNormal"/>
    <w:uiPriority w:val="59"/>
    <w:rsid w:val="002F41F0"/>
    <w:pPr>
      <w:spacing w:after="0" w:line="240" w:lineRule="auto"/>
    </w:pPr>
    <w:rPr>
      <w:rFonts w:ascii="Times New Roman" w:eastAsia="SimSu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F41F0"/>
    <w:pPr>
      <w:spacing w:after="0" w:line="240" w:lineRule="auto"/>
    </w:pPr>
    <w:rPr>
      <w:rFonts w:ascii="Times New Roman" w:eastAsia="SimSu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2">
    <w:name w:val="Style2"/>
    <w:rsid w:val="002F41F0"/>
    <w:pPr>
      <w:numPr>
        <w:numId w:val="7"/>
      </w:numPr>
    </w:pPr>
  </w:style>
  <w:style w:type="paragraph" w:customStyle="1" w:styleId="Style1">
    <w:name w:val="Style1"/>
    <w:basedOn w:val="Normal"/>
    <w:link w:val="Style1Char"/>
    <w:qFormat/>
    <w:rsid w:val="002F41F0"/>
    <w:pPr>
      <w:spacing w:after="120" w:line="240" w:lineRule="auto"/>
      <w:jc w:val="both"/>
    </w:pPr>
    <w:rPr>
      <w:rFonts w:eastAsia="SimSun" w:cs="Times New Roman"/>
      <w:szCs w:val="24"/>
    </w:rPr>
  </w:style>
  <w:style w:type="character" w:customStyle="1" w:styleId="Style1Char">
    <w:name w:val="Style1 Char"/>
    <w:basedOn w:val="DefaultParagraphFont"/>
    <w:link w:val="Style1"/>
    <w:rsid w:val="002F41F0"/>
    <w:rPr>
      <w:rFonts w:ascii="Arial" w:eastAsia="SimSun" w:hAnsi="Arial" w:cs="Times New Roman"/>
      <w:szCs w:val="24"/>
    </w:rPr>
  </w:style>
  <w:style w:type="numbering" w:customStyle="1" w:styleId="Style3">
    <w:name w:val="Style3"/>
    <w:rsid w:val="002F41F0"/>
    <w:pPr>
      <w:numPr>
        <w:numId w:val="8"/>
      </w:numPr>
    </w:pPr>
  </w:style>
  <w:style w:type="paragraph" w:customStyle="1" w:styleId="NoteLevel2">
    <w:name w:val="Note Level 2"/>
    <w:link w:val="NoSpacingChar"/>
    <w:uiPriority w:val="1"/>
    <w:qFormat/>
    <w:rsid w:val="002F41F0"/>
    <w:pPr>
      <w:spacing w:after="0" w:line="240" w:lineRule="auto"/>
    </w:pPr>
    <w:rPr>
      <w:rFonts w:ascii="Calibri" w:eastAsia="SimSun" w:hAnsi="Calibri" w:cs="Times New Roman"/>
      <w:lang w:val="en-US"/>
    </w:rPr>
  </w:style>
  <w:style w:type="character" w:customStyle="1" w:styleId="NoSpacingChar">
    <w:name w:val="No Spacing Char"/>
    <w:basedOn w:val="DefaultParagraphFont"/>
    <w:link w:val="NoteLevel2"/>
    <w:uiPriority w:val="1"/>
    <w:rsid w:val="002F41F0"/>
    <w:rPr>
      <w:rFonts w:ascii="Calibri" w:eastAsia="SimSun" w:hAnsi="Calibri" w:cs="Times New Roman"/>
      <w:lang w:val="en-US"/>
    </w:rPr>
  </w:style>
  <w:style w:type="paragraph" w:styleId="DocumentMap">
    <w:name w:val="Document Map"/>
    <w:basedOn w:val="Normal"/>
    <w:link w:val="DocumentMapChar"/>
    <w:semiHidden/>
    <w:rsid w:val="002F41F0"/>
    <w:pPr>
      <w:shd w:val="clear" w:color="auto" w:fill="C6D5EC"/>
      <w:spacing w:after="120" w:line="240" w:lineRule="auto"/>
      <w:jc w:val="both"/>
    </w:pPr>
    <w:rPr>
      <w:rFonts w:ascii="Lucida Grande" w:eastAsia="SimSun" w:hAnsi="Lucida Grande" w:cs="Times New Roman"/>
      <w:sz w:val="24"/>
      <w:szCs w:val="24"/>
    </w:rPr>
  </w:style>
  <w:style w:type="character" w:customStyle="1" w:styleId="DocumentMapChar">
    <w:name w:val="Document Map Char"/>
    <w:basedOn w:val="DefaultParagraphFont"/>
    <w:link w:val="DocumentMap"/>
    <w:semiHidden/>
    <w:rsid w:val="002F41F0"/>
    <w:rPr>
      <w:rFonts w:ascii="Lucida Grande" w:eastAsia="SimSun" w:hAnsi="Lucida Grande" w:cs="Times New Roman"/>
      <w:sz w:val="24"/>
      <w:szCs w:val="24"/>
      <w:shd w:val="clear" w:color="auto" w:fill="C6D5EC"/>
    </w:rPr>
  </w:style>
  <w:style w:type="paragraph" w:styleId="TOC4">
    <w:name w:val="toc 4"/>
    <w:basedOn w:val="Normal"/>
    <w:next w:val="Normal"/>
    <w:autoRedefine/>
    <w:semiHidden/>
    <w:rsid w:val="002F41F0"/>
    <w:pPr>
      <w:spacing w:after="0" w:line="240" w:lineRule="auto"/>
      <w:ind w:left="720"/>
      <w:jc w:val="both"/>
    </w:pPr>
    <w:rPr>
      <w:rFonts w:ascii="Times New Roman" w:eastAsia="SimSun" w:hAnsi="Times New Roman" w:cs="Times New Roman"/>
      <w:sz w:val="24"/>
      <w:szCs w:val="24"/>
    </w:rPr>
  </w:style>
  <w:style w:type="paragraph" w:styleId="TOC5">
    <w:name w:val="toc 5"/>
    <w:basedOn w:val="Normal"/>
    <w:next w:val="Normal"/>
    <w:autoRedefine/>
    <w:semiHidden/>
    <w:rsid w:val="002F41F0"/>
    <w:pPr>
      <w:spacing w:after="0" w:line="240" w:lineRule="auto"/>
      <w:ind w:left="960"/>
      <w:jc w:val="both"/>
    </w:pPr>
    <w:rPr>
      <w:rFonts w:ascii="Times New Roman" w:eastAsia="SimSun" w:hAnsi="Times New Roman" w:cs="Times New Roman"/>
      <w:sz w:val="24"/>
      <w:szCs w:val="24"/>
    </w:rPr>
  </w:style>
  <w:style w:type="paragraph" w:styleId="TOC6">
    <w:name w:val="toc 6"/>
    <w:basedOn w:val="Normal"/>
    <w:next w:val="Normal"/>
    <w:autoRedefine/>
    <w:semiHidden/>
    <w:rsid w:val="002F41F0"/>
    <w:pPr>
      <w:spacing w:after="0" w:line="240" w:lineRule="auto"/>
      <w:ind w:left="1200"/>
      <w:jc w:val="both"/>
    </w:pPr>
    <w:rPr>
      <w:rFonts w:ascii="Times New Roman" w:eastAsia="SimSun" w:hAnsi="Times New Roman" w:cs="Times New Roman"/>
      <w:sz w:val="24"/>
      <w:szCs w:val="24"/>
    </w:rPr>
  </w:style>
  <w:style w:type="paragraph" w:styleId="TOC7">
    <w:name w:val="toc 7"/>
    <w:basedOn w:val="Normal"/>
    <w:next w:val="Normal"/>
    <w:autoRedefine/>
    <w:semiHidden/>
    <w:rsid w:val="002F41F0"/>
    <w:pPr>
      <w:spacing w:after="0" w:line="240" w:lineRule="auto"/>
      <w:ind w:left="1440"/>
      <w:jc w:val="both"/>
    </w:pPr>
    <w:rPr>
      <w:rFonts w:ascii="Times New Roman" w:eastAsia="SimSun" w:hAnsi="Times New Roman" w:cs="Times New Roman"/>
      <w:sz w:val="24"/>
      <w:szCs w:val="24"/>
    </w:rPr>
  </w:style>
  <w:style w:type="paragraph" w:styleId="TOC8">
    <w:name w:val="toc 8"/>
    <w:basedOn w:val="Normal"/>
    <w:next w:val="Normal"/>
    <w:autoRedefine/>
    <w:semiHidden/>
    <w:rsid w:val="002F41F0"/>
    <w:pPr>
      <w:spacing w:after="0" w:line="240" w:lineRule="auto"/>
      <w:ind w:left="1680"/>
      <w:jc w:val="both"/>
    </w:pPr>
    <w:rPr>
      <w:rFonts w:ascii="Times New Roman" w:eastAsia="SimSun" w:hAnsi="Times New Roman" w:cs="Times New Roman"/>
      <w:sz w:val="24"/>
      <w:szCs w:val="24"/>
    </w:rPr>
  </w:style>
  <w:style w:type="paragraph" w:styleId="TOC9">
    <w:name w:val="toc 9"/>
    <w:basedOn w:val="Normal"/>
    <w:next w:val="Normal"/>
    <w:autoRedefine/>
    <w:semiHidden/>
    <w:rsid w:val="002F41F0"/>
    <w:pPr>
      <w:spacing w:after="0" w:line="240" w:lineRule="auto"/>
      <w:ind w:left="1920"/>
      <w:jc w:val="both"/>
    </w:pPr>
    <w:rPr>
      <w:rFonts w:ascii="Times New Roman" w:eastAsia="SimSun" w:hAnsi="Times New Roman" w:cs="Times New Roman"/>
      <w:sz w:val="24"/>
      <w:szCs w:val="24"/>
    </w:rPr>
  </w:style>
  <w:style w:type="character" w:customStyle="1" w:styleId="odataformanswertextstyle">
    <w:name w:val="odataformanswertextstyle"/>
    <w:basedOn w:val="DefaultParagraphFont"/>
    <w:rsid w:val="002F41F0"/>
  </w:style>
  <w:style w:type="table" w:styleId="LightList-Accent2">
    <w:name w:val="Light List Accent 2"/>
    <w:basedOn w:val="TableNormal"/>
    <w:uiPriority w:val="61"/>
    <w:rsid w:val="002F41F0"/>
    <w:pPr>
      <w:spacing w:after="0" w:line="240" w:lineRule="auto"/>
    </w:pPr>
    <w:rPr>
      <w:rFonts w:ascii="Times New Roman" w:eastAsia="SimSun" w:hAnsi="Times New Roman" w:cs="Times New Roman"/>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12">
    <w:name w:val="Light Shading - Accent 12"/>
    <w:basedOn w:val="TableNormal"/>
    <w:uiPriority w:val="60"/>
    <w:rsid w:val="002F41F0"/>
    <w:pPr>
      <w:spacing w:after="0" w:line="240" w:lineRule="auto"/>
    </w:pPr>
    <w:rPr>
      <w:rFonts w:ascii="Times New Roman" w:eastAsia="SimSu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2F41F0"/>
    <w:pPr>
      <w:spacing w:after="0" w:line="240" w:lineRule="auto"/>
    </w:pPr>
    <w:rPr>
      <w:rFonts w:ascii="Times New Roman" w:eastAsia="SimSu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2F41F0"/>
    <w:pPr>
      <w:spacing w:after="0" w:line="240" w:lineRule="auto"/>
    </w:pPr>
    <w:rPr>
      <w:rFonts w:ascii="Times New Roman" w:eastAsia="SimSun" w:hAnsi="Times New Roman" w:cs="Times New Roman"/>
      <w:sz w:val="20"/>
      <w:szCs w:val="20"/>
      <w:lang w:val="en-US"/>
    </w:rPr>
    <w:tblPr>
      <w:tblStyleRowBandSize w:val="1"/>
      <w:tblStyleColBandSize w:val="1"/>
      <w:jc w:val="cente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jc w:val="center"/>
    </w:tr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extHighlight">
    <w:name w:val="TextHighlight"/>
    <w:basedOn w:val="Normal"/>
    <w:link w:val="TextHighlightChar"/>
    <w:qFormat/>
    <w:rsid w:val="002F41F0"/>
    <w:pPr>
      <w:spacing w:after="0" w:line="240" w:lineRule="auto"/>
      <w:jc w:val="both"/>
    </w:pPr>
    <w:rPr>
      <w:rFonts w:eastAsia="SimSun" w:cs="Times New Roman"/>
      <w:b/>
      <w:color w:val="008000"/>
      <w:szCs w:val="24"/>
    </w:rPr>
  </w:style>
  <w:style w:type="character" w:customStyle="1" w:styleId="TextHighlightChar">
    <w:name w:val="TextHighlight Char"/>
    <w:basedOn w:val="DefaultParagraphFont"/>
    <w:link w:val="TextHighlight"/>
    <w:rsid w:val="002F41F0"/>
    <w:rPr>
      <w:rFonts w:ascii="Arial" w:eastAsia="SimSun" w:hAnsi="Arial" w:cs="Times New Roman"/>
      <w:b/>
      <w:color w:val="008000"/>
      <w:szCs w:val="24"/>
    </w:rPr>
  </w:style>
  <w:style w:type="character" w:styleId="PlaceholderText">
    <w:name w:val="Placeholder Text"/>
    <w:basedOn w:val="DefaultParagraphFont"/>
    <w:uiPriority w:val="99"/>
    <w:semiHidden/>
    <w:rsid w:val="002F41F0"/>
    <w:rPr>
      <w:color w:val="808080"/>
    </w:rPr>
  </w:style>
  <w:style w:type="table" w:customStyle="1" w:styleId="LightShading-Accent14">
    <w:name w:val="Light Shading - Accent 14"/>
    <w:basedOn w:val="TableNormal"/>
    <w:uiPriority w:val="60"/>
    <w:rsid w:val="002F41F0"/>
    <w:pPr>
      <w:spacing w:after="0" w:line="240" w:lineRule="auto"/>
    </w:pPr>
    <w:rPr>
      <w:rFonts w:ascii="Times New Roman" w:eastAsia="SimSun" w:hAnsi="Times New Roman" w:cs="Times New Roman"/>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nt5">
    <w:name w:val="font5"/>
    <w:basedOn w:val="Normal"/>
    <w:rsid w:val="002F41F0"/>
    <w:pPr>
      <w:spacing w:before="100" w:beforeAutospacing="1" w:after="100" w:afterAutospacing="1" w:line="240" w:lineRule="auto"/>
      <w:jc w:val="both"/>
    </w:pPr>
    <w:rPr>
      <w:rFonts w:ascii="Tahoma" w:eastAsia="SimSun" w:hAnsi="Tahoma" w:cs="Tahoma"/>
      <w:color w:val="000000"/>
      <w:sz w:val="16"/>
      <w:szCs w:val="16"/>
      <w:lang w:eastAsia="en-GB"/>
    </w:rPr>
  </w:style>
  <w:style w:type="paragraph" w:customStyle="1" w:styleId="font6">
    <w:name w:val="font6"/>
    <w:basedOn w:val="Normal"/>
    <w:rsid w:val="002F41F0"/>
    <w:pPr>
      <w:spacing w:before="100" w:beforeAutospacing="1" w:after="100" w:afterAutospacing="1" w:line="240" w:lineRule="auto"/>
      <w:jc w:val="both"/>
    </w:pPr>
    <w:rPr>
      <w:rFonts w:ascii="Tahoma" w:eastAsia="SimSun" w:hAnsi="Tahoma" w:cs="Tahoma"/>
      <w:b/>
      <w:bCs/>
      <w:color w:val="000000"/>
      <w:sz w:val="16"/>
      <w:szCs w:val="16"/>
      <w:lang w:eastAsia="en-GB"/>
    </w:rPr>
  </w:style>
  <w:style w:type="paragraph" w:customStyle="1" w:styleId="font7">
    <w:name w:val="font7"/>
    <w:basedOn w:val="Normal"/>
    <w:rsid w:val="002F41F0"/>
    <w:pPr>
      <w:spacing w:before="100" w:beforeAutospacing="1" w:after="100" w:afterAutospacing="1" w:line="240" w:lineRule="auto"/>
      <w:jc w:val="both"/>
    </w:pPr>
    <w:rPr>
      <w:rFonts w:ascii="Tahoma" w:eastAsia="SimSun" w:hAnsi="Tahoma" w:cs="Tahoma"/>
      <w:color w:val="000000"/>
      <w:sz w:val="16"/>
      <w:szCs w:val="16"/>
      <w:lang w:eastAsia="en-GB"/>
    </w:rPr>
  </w:style>
  <w:style w:type="paragraph" w:customStyle="1" w:styleId="font8">
    <w:name w:val="font8"/>
    <w:basedOn w:val="Normal"/>
    <w:rsid w:val="002F41F0"/>
    <w:pPr>
      <w:spacing w:before="100" w:beforeAutospacing="1" w:after="100" w:afterAutospacing="1" w:line="240" w:lineRule="auto"/>
      <w:jc w:val="both"/>
    </w:pPr>
    <w:rPr>
      <w:rFonts w:ascii="Tahoma" w:eastAsia="SimSun" w:hAnsi="Tahoma" w:cs="Tahoma"/>
      <w:b/>
      <w:bCs/>
      <w:color w:val="000000"/>
      <w:sz w:val="16"/>
      <w:szCs w:val="16"/>
      <w:lang w:eastAsia="en-GB"/>
    </w:rPr>
  </w:style>
  <w:style w:type="paragraph" w:customStyle="1" w:styleId="xl77">
    <w:name w:val="xl77"/>
    <w:basedOn w:val="Normal"/>
    <w:rsid w:val="002F41F0"/>
    <w:pPr>
      <w:pBdr>
        <w:bottom w:val="single" w:sz="4" w:space="0" w:color="auto"/>
      </w:pBdr>
      <w:spacing w:before="100" w:beforeAutospacing="1" w:after="100" w:afterAutospacing="1" w:line="240" w:lineRule="auto"/>
      <w:jc w:val="both"/>
    </w:pPr>
    <w:rPr>
      <w:rFonts w:ascii="Times New Roman" w:eastAsia="SimSun" w:hAnsi="Times New Roman" w:cs="Times New Roman"/>
      <w:sz w:val="24"/>
      <w:szCs w:val="24"/>
      <w:lang w:eastAsia="en-GB"/>
    </w:rPr>
  </w:style>
  <w:style w:type="paragraph" w:customStyle="1" w:styleId="xl78">
    <w:name w:val="xl78"/>
    <w:basedOn w:val="Normal"/>
    <w:rsid w:val="002F41F0"/>
    <w:pPr>
      <w:pBdr>
        <w:bottom w:val="double" w:sz="6" w:space="0" w:color="auto"/>
      </w:pBdr>
      <w:spacing w:before="100" w:beforeAutospacing="1" w:after="100" w:afterAutospacing="1" w:line="240" w:lineRule="auto"/>
      <w:jc w:val="both"/>
    </w:pPr>
    <w:rPr>
      <w:rFonts w:ascii="Times New Roman" w:eastAsia="SimSun" w:hAnsi="Times New Roman" w:cs="Times New Roman"/>
      <w:sz w:val="24"/>
      <w:szCs w:val="24"/>
      <w:lang w:eastAsia="en-GB"/>
    </w:rPr>
  </w:style>
  <w:style w:type="paragraph" w:customStyle="1" w:styleId="xl80">
    <w:name w:val="xl80"/>
    <w:basedOn w:val="Normal"/>
    <w:rsid w:val="002F41F0"/>
    <w:pPr>
      <w:pBdr>
        <w:bottom w:val="single" w:sz="4" w:space="0" w:color="auto"/>
      </w:pBdr>
      <w:spacing w:before="100" w:beforeAutospacing="1" w:after="100" w:afterAutospacing="1" w:line="240" w:lineRule="auto"/>
      <w:jc w:val="both"/>
    </w:pPr>
    <w:rPr>
      <w:rFonts w:ascii="Times New Roman" w:eastAsia="SimSun" w:hAnsi="Times New Roman" w:cs="Times New Roman"/>
      <w:sz w:val="24"/>
      <w:szCs w:val="24"/>
      <w:lang w:eastAsia="en-GB"/>
    </w:rPr>
  </w:style>
  <w:style w:type="paragraph" w:customStyle="1" w:styleId="xl81">
    <w:name w:val="xl81"/>
    <w:basedOn w:val="Normal"/>
    <w:rsid w:val="002F41F0"/>
    <w:pPr>
      <w:pBdr>
        <w:bottom w:val="double" w:sz="6" w:space="0" w:color="auto"/>
      </w:pBdr>
      <w:spacing w:before="100" w:beforeAutospacing="1" w:after="100" w:afterAutospacing="1" w:line="240" w:lineRule="auto"/>
      <w:jc w:val="both"/>
    </w:pPr>
    <w:rPr>
      <w:rFonts w:ascii="Times New Roman" w:eastAsia="SimSun" w:hAnsi="Times New Roman" w:cs="Times New Roman"/>
      <w:sz w:val="24"/>
      <w:szCs w:val="24"/>
      <w:lang w:eastAsia="en-GB"/>
    </w:rPr>
  </w:style>
  <w:style w:type="paragraph" w:styleId="Quote">
    <w:name w:val="Quote"/>
    <w:basedOn w:val="Normal"/>
    <w:next w:val="Normal"/>
    <w:link w:val="QuoteChar"/>
    <w:uiPriority w:val="29"/>
    <w:qFormat/>
    <w:rsid w:val="002F41F0"/>
    <w:pPr>
      <w:spacing w:after="120" w:line="240" w:lineRule="auto"/>
      <w:ind w:left="851"/>
      <w:jc w:val="both"/>
    </w:pPr>
    <w:rPr>
      <w:rFonts w:eastAsia="SimSun" w:cs="Times New Roman"/>
      <w:i/>
      <w:iCs/>
      <w:color w:val="000000" w:themeColor="text1"/>
      <w:szCs w:val="24"/>
    </w:rPr>
  </w:style>
  <w:style w:type="character" w:customStyle="1" w:styleId="QuoteChar">
    <w:name w:val="Quote Char"/>
    <w:basedOn w:val="DefaultParagraphFont"/>
    <w:link w:val="Quote"/>
    <w:uiPriority w:val="29"/>
    <w:rsid w:val="002F41F0"/>
    <w:rPr>
      <w:rFonts w:ascii="Arial" w:eastAsia="SimSun" w:hAnsi="Arial" w:cs="Times New Roman"/>
      <w:i/>
      <w:iCs/>
      <w:color w:val="000000" w:themeColor="text1"/>
      <w:szCs w:val="24"/>
    </w:rPr>
  </w:style>
  <w:style w:type="paragraph" w:styleId="Revision">
    <w:name w:val="Revision"/>
    <w:hidden/>
    <w:uiPriority w:val="99"/>
    <w:semiHidden/>
    <w:rsid w:val="002F41F0"/>
    <w:pPr>
      <w:spacing w:after="0" w:line="240" w:lineRule="auto"/>
    </w:pPr>
    <w:rPr>
      <w:rFonts w:ascii="Arial" w:eastAsia="SimSun" w:hAnsi="Arial" w:cs="Times New Roman"/>
      <w:szCs w:val="24"/>
    </w:rPr>
  </w:style>
  <w:style w:type="character" w:styleId="SubtleEmphasis">
    <w:name w:val="Subtle Emphasis"/>
    <w:basedOn w:val="DefaultParagraphFont"/>
    <w:uiPriority w:val="19"/>
    <w:qFormat/>
    <w:rsid w:val="002F41F0"/>
    <w:rPr>
      <w:i/>
      <w:iCs/>
      <w:color w:val="808080" w:themeColor="text1" w:themeTint="7F"/>
    </w:rPr>
  </w:style>
  <w:style w:type="character" w:customStyle="1" w:styleId="Heading7Char">
    <w:name w:val="Heading 7 Char"/>
    <w:basedOn w:val="DefaultParagraphFont"/>
    <w:link w:val="Heading7"/>
    <w:uiPriority w:val="9"/>
    <w:semiHidden/>
    <w:rsid w:val="00177B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7B3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77B3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77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7B3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77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7B3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77B3C"/>
    <w:rPr>
      <w:b/>
      <w:bCs/>
    </w:rPr>
  </w:style>
  <w:style w:type="paragraph" w:styleId="NoSpacing">
    <w:name w:val="No Spacing"/>
    <w:uiPriority w:val="1"/>
    <w:qFormat/>
    <w:rsid w:val="00177B3C"/>
    <w:pPr>
      <w:spacing w:after="0" w:line="240" w:lineRule="auto"/>
    </w:pPr>
    <w:rPr>
      <w:lang w:val="en-US" w:bidi="en-US"/>
    </w:rPr>
  </w:style>
  <w:style w:type="paragraph" w:styleId="IntenseQuote">
    <w:name w:val="Intense Quote"/>
    <w:basedOn w:val="Normal"/>
    <w:next w:val="Normal"/>
    <w:link w:val="IntenseQuoteChar"/>
    <w:uiPriority w:val="30"/>
    <w:qFormat/>
    <w:rsid w:val="00177B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B3C"/>
    <w:rPr>
      <w:rFonts w:ascii="Arial" w:hAnsi="Arial"/>
      <w:b/>
      <w:bCs/>
      <w:i/>
      <w:iCs/>
      <w:color w:val="4F81BD" w:themeColor="accent1"/>
    </w:rPr>
  </w:style>
  <w:style w:type="character" w:styleId="IntenseEmphasis">
    <w:name w:val="Intense Emphasis"/>
    <w:basedOn w:val="DefaultParagraphFont"/>
    <w:uiPriority w:val="21"/>
    <w:qFormat/>
    <w:rsid w:val="00177B3C"/>
    <w:rPr>
      <w:b/>
      <w:bCs/>
      <w:i/>
      <w:iCs/>
      <w:color w:val="4F81BD" w:themeColor="accent1"/>
    </w:rPr>
  </w:style>
  <w:style w:type="character" w:styleId="SubtleReference">
    <w:name w:val="Subtle Reference"/>
    <w:basedOn w:val="DefaultParagraphFont"/>
    <w:uiPriority w:val="31"/>
    <w:qFormat/>
    <w:rsid w:val="00177B3C"/>
    <w:rPr>
      <w:smallCaps/>
      <w:color w:val="C0504D" w:themeColor="accent2"/>
      <w:u w:val="single"/>
    </w:rPr>
  </w:style>
  <w:style w:type="character" w:styleId="IntenseReference">
    <w:name w:val="Intense Reference"/>
    <w:basedOn w:val="DefaultParagraphFont"/>
    <w:uiPriority w:val="32"/>
    <w:qFormat/>
    <w:rsid w:val="00177B3C"/>
    <w:rPr>
      <w:b/>
      <w:bCs/>
      <w:smallCaps/>
      <w:color w:val="C0504D" w:themeColor="accent2"/>
      <w:spacing w:val="5"/>
      <w:u w:val="single"/>
    </w:rPr>
  </w:style>
  <w:style w:type="character" w:styleId="BookTitle">
    <w:name w:val="Book Title"/>
    <w:basedOn w:val="DefaultParagraphFont"/>
    <w:uiPriority w:val="33"/>
    <w:qFormat/>
    <w:rsid w:val="00177B3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10664</Words>
  <Characters>60787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bpb</dc:creator>
  <cp:keywords/>
  <dc:description/>
  <cp:lastModifiedBy>Ben Baumberg</cp:lastModifiedBy>
  <cp:revision>3</cp:revision>
  <dcterms:created xsi:type="dcterms:W3CDTF">2013-07-06T17:54:00Z</dcterms:created>
  <dcterms:modified xsi:type="dcterms:W3CDTF">2013-07-06T17:56:00Z</dcterms:modified>
</cp:coreProperties>
</file>