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3A" w:rsidRPr="00BB6308" w:rsidRDefault="00A37C3A" w:rsidP="00A37C3A">
      <w:pPr>
        <w:keepNext/>
        <w:widowControl w:val="0"/>
        <w:spacing w:after="0" w:line="480" w:lineRule="auto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val="en-CA"/>
        </w:rPr>
      </w:pPr>
      <w:r w:rsidRPr="00BB6308">
        <w:rPr>
          <w:rFonts w:ascii="Times New Roman" w:eastAsia="SimSun" w:hAnsi="Times New Roman" w:cs="Times New Roman"/>
          <w:b/>
          <w:bCs/>
          <w:sz w:val="24"/>
          <w:szCs w:val="24"/>
          <w:lang w:val="en-CA"/>
        </w:rPr>
        <w:t xml:space="preserve">Supporting Information </w:t>
      </w:r>
    </w:p>
    <w:p w:rsidR="00A37C3A" w:rsidRPr="00BB6308" w:rsidRDefault="00A37C3A" w:rsidP="00875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308">
        <w:rPr>
          <w:rFonts w:ascii="Times New Roman" w:hAnsi="Times New Roman" w:cs="Times New Roman"/>
          <w:b/>
          <w:bCs/>
          <w:sz w:val="24"/>
          <w:szCs w:val="24"/>
        </w:rPr>
        <w:t>Article</w:t>
      </w:r>
      <w:proofErr w:type="spellEnd"/>
      <w:r w:rsidRPr="00BB6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6308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BB6308">
        <w:rPr>
          <w:rFonts w:ascii="Times New Roman" w:hAnsi="Times New Roman" w:cs="Times New Roman"/>
          <w:sz w:val="24"/>
          <w:szCs w:val="24"/>
        </w:rPr>
        <w:t xml:space="preserve">: </w:t>
      </w:r>
      <w:r w:rsidRPr="00BB6308">
        <w:rPr>
          <w:rFonts w:ascii="Times New Roman" w:hAnsi="Times New Roman" w:cs="Times New Roman"/>
          <w:sz w:val="24"/>
          <w:szCs w:val="24"/>
          <w:lang w:val="en-US"/>
        </w:rPr>
        <w:t xml:space="preserve">Limited induction of ethylene and cyanide synthesis </w:t>
      </w:r>
      <w:r w:rsidR="00815D7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B6308">
        <w:rPr>
          <w:rFonts w:ascii="Times New Roman" w:hAnsi="Times New Roman" w:cs="Times New Roman"/>
          <w:sz w:val="24"/>
          <w:szCs w:val="24"/>
          <w:lang w:val="en-US"/>
        </w:rPr>
        <w:t xml:space="preserve"> observed in quinclorac</w:t>
      </w:r>
      <w:r w:rsidR="00815D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308">
        <w:rPr>
          <w:rFonts w:ascii="Times New Roman" w:hAnsi="Times New Roman" w:cs="Times New Roman"/>
          <w:sz w:val="24"/>
          <w:szCs w:val="24"/>
          <w:lang w:val="en-US"/>
        </w:rPr>
        <w:t>resistan</w:t>
      </w:r>
      <w:r w:rsidR="00815D7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B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308">
        <w:rPr>
          <w:rFonts w:ascii="Times New Roman" w:hAnsi="Times New Roman" w:cs="Times New Roman"/>
          <w:i/>
          <w:sz w:val="24"/>
          <w:szCs w:val="24"/>
          <w:lang w:val="en-US"/>
        </w:rPr>
        <w:t>Echinochloa</w:t>
      </w:r>
      <w:proofErr w:type="spellEnd"/>
      <w:r w:rsidRPr="00BB6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crus-</w:t>
      </w:r>
      <w:proofErr w:type="spellStart"/>
      <w:r w:rsidRPr="00BB6308">
        <w:rPr>
          <w:rFonts w:ascii="Times New Roman" w:hAnsi="Times New Roman" w:cs="Times New Roman"/>
          <w:i/>
          <w:sz w:val="24"/>
          <w:szCs w:val="24"/>
          <w:lang w:val="en-US"/>
        </w:rPr>
        <w:t>galli</w:t>
      </w:r>
      <w:proofErr w:type="spellEnd"/>
      <w:r w:rsidR="00815D75">
        <w:rPr>
          <w:rFonts w:ascii="Times New Roman" w:hAnsi="Times New Roman" w:cs="Times New Roman"/>
          <w:sz w:val="24"/>
          <w:szCs w:val="24"/>
          <w:lang w:val="en-US"/>
        </w:rPr>
        <w:t xml:space="preserve"> in Uruguay.</w:t>
      </w:r>
    </w:p>
    <w:p w:rsidR="00A37C3A" w:rsidRPr="00BB6308" w:rsidRDefault="00A37C3A" w:rsidP="00875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B6308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BB6308">
        <w:rPr>
          <w:rFonts w:ascii="Times New Roman" w:hAnsi="Times New Roman" w:cs="Times New Roman"/>
          <w:sz w:val="24"/>
          <w:szCs w:val="24"/>
        </w:rPr>
        <w:t xml:space="preserve">: </w:t>
      </w:r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Manuel Diez </w:t>
      </w:r>
      <w:proofErr w:type="spellStart"/>
      <w:r w:rsidRPr="00BB6308">
        <w:rPr>
          <w:rFonts w:ascii="Times New Roman" w:hAnsi="Times New Roman" w:cs="Times New Roman"/>
          <w:sz w:val="24"/>
          <w:szCs w:val="24"/>
          <w:lang w:val="es-ES"/>
        </w:rPr>
        <w:t>Vignola</w:t>
      </w:r>
      <w:proofErr w:type="spellEnd"/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, Martha Sainz, Néstor E. </w:t>
      </w:r>
      <w:proofErr w:type="spellStart"/>
      <w:r w:rsidRPr="00BB6308">
        <w:rPr>
          <w:rFonts w:ascii="Times New Roman" w:hAnsi="Times New Roman" w:cs="Times New Roman"/>
          <w:sz w:val="24"/>
          <w:szCs w:val="24"/>
          <w:lang w:val="es-ES"/>
        </w:rPr>
        <w:t>Saldain</w:t>
      </w:r>
      <w:proofErr w:type="spellEnd"/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, Claudia </w:t>
      </w:r>
      <w:proofErr w:type="spellStart"/>
      <w:r w:rsidRPr="00BB6308">
        <w:rPr>
          <w:rFonts w:ascii="Times New Roman" w:hAnsi="Times New Roman" w:cs="Times New Roman"/>
          <w:sz w:val="24"/>
          <w:szCs w:val="24"/>
          <w:lang w:val="es-ES"/>
        </w:rPr>
        <w:t>Marchesi</w:t>
      </w:r>
      <w:proofErr w:type="spellEnd"/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, Victoria </w:t>
      </w:r>
      <w:proofErr w:type="spellStart"/>
      <w:r w:rsidRPr="00BB6308">
        <w:rPr>
          <w:rFonts w:ascii="Times New Roman" w:hAnsi="Times New Roman" w:cs="Times New Roman"/>
          <w:sz w:val="24"/>
          <w:szCs w:val="24"/>
          <w:lang w:val="es-ES"/>
        </w:rPr>
        <w:t>Bonnecarrère</w:t>
      </w:r>
      <w:proofErr w:type="spellEnd"/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, Pedro Díaz Gadea. </w:t>
      </w:r>
    </w:p>
    <w:p w:rsidR="00B36492" w:rsidRDefault="00B36492"/>
    <w:p w:rsidR="0087532F" w:rsidRDefault="00815D75">
      <w:r w:rsidRPr="00815D75">
        <w:rPr>
          <w:noProof/>
          <w:lang w:val="en-US"/>
        </w:rPr>
        <w:drawing>
          <wp:inline distT="0" distB="0" distL="0" distR="0">
            <wp:extent cx="5400040" cy="2356068"/>
            <wp:effectExtent l="0" t="0" r="0" b="6350"/>
            <wp:docPr id="1" name="Picture 1" descr="C:\Users\MariaMartha\Documents\Paper Manu\Weed Science\correcciones\version revisada\para enviar\Diez 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Martha\Documents\Paper Manu\Weed Science\correcciones\version revisada\para enviar\Diez Fig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2F" w:rsidRDefault="0087532F" w:rsidP="0087532F"/>
    <w:p w:rsidR="0087532F" w:rsidRPr="0087532F" w:rsidRDefault="0087532F" w:rsidP="0087532F">
      <w:pPr>
        <w:pStyle w:val="NormalWeb"/>
        <w:spacing w:before="0" w:beforeAutospacing="0" w:after="0" w:afterAutospacing="0" w:line="480" w:lineRule="auto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89B1" wp14:editId="3C9322BE">
                <wp:simplePos x="0" y="0"/>
                <wp:positionH relativeFrom="column">
                  <wp:posOffset>3758785</wp:posOffset>
                </wp:positionH>
                <wp:positionV relativeFrom="paragraph">
                  <wp:posOffset>54932</wp:posOffset>
                </wp:positionV>
                <wp:extent cx="81926" cy="69216"/>
                <wp:effectExtent l="19050" t="0" r="32385" b="45085"/>
                <wp:wrapNone/>
                <wp:docPr id="21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26" cy="6921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25A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295.95pt;margin-top:4.35pt;width:6.45pt;height:5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" filled="f" strokecolor="black [3213]" strokeweight="1pt"/>
            </w:pict>
          </mc:Fallback>
        </mc:AlternateContent>
      </w:r>
      <w:r w:rsidRPr="0087532F">
        <w:rPr>
          <w:rFonts w:eastAsiaTheme="minorEastAsia"/>
          <w:b/>
          <w:bCs/>
          <w:color w:val="000000" w:themeColor="text1"/>
          <w:kern w:val="24"/>
          <w:szCs w:val="28"/>
          <w:lang w:val="es-UY"/>
        </w:rPr>
        <w:t xml:space="preserve">Figure S1. </w:t>
      </w:r>
      <w:r w:rsidRPr="0087532F">
        <w:rPr>
          <w:rFonts w:eastAsiaTheme="minorEastAsia"/>
          <w:color w:val="000000" w:themeColor="text1"/>
          <w:kern w:val="24"/>
          <w:szCs w:val="28"/>
        </w:rPr>
        <w:t>Dose-response experiments of susceptible (LM</w:t>
      </w:r>
      <w:proofErr w:type="gramStart"/>
      <w:r w:rsidRPr="0087532F">
        <w:rPr>
          <w:rFonts w:eastAsiaTheme="minorEastAsia"/>
          <w:color w:val="000000" w:themeColor="text1"/>
          <w:kern w:val="24"/>
          <w:szCs w:val="28"/>
        </w:rPr>
        <w:t>04,</w:t>
      </w:r>
      <w:r>
        <w:rPr>
          <w:rFonts w:eastAsiaTheme="minorEastAsia"/>
          <w:color w:val="000000" w:themeColor="text1"/>
          <w:kern w:val="24"/>
          <w:szCs w:val="28"/>
        </w:rPr>
        <w:t xml:space="preserve">  </w:t>
      </w:r>
      <w:r w:rsidRPr="0087532F">
        <w:rPr>
          <w:rFonts w:eastAsiaTheme="minorEastAsia"/>
          <w:color w:val="000000" w:themeColor="text1"/>
          <w:kern w:val="24"/>
          <w:szCs w:val="28"/>
        </w:rPr>
        <w:t xml:space="preserve"> </w:t>
      </w:r>
      <w:proofErr w:type="gramEnd"/>
      <w:r w:rsidRPr="0087532F">
        <w:rPr>
          <w:rFonts w:eastAsiaTheme="minorEastAsia"/>
          <w:color w:val="000000" w:themeColor="text1"/>
          <w:kern w:val="24"/>
          <w:szCs w:val="28"/>
        </w:rPr>
        <w:t xml:space="preserve"> ; CL44, o ; CB01, ◊ ) and resistant (E7, </w:t>
      </w:r>
      <w:r w:rsidRPr="0087532F">
        <w:rPr>
          <w:rFonts w:eastAsiaTheme="minorEastAsia"/>
          <w:color w:val="000000" w:themeColor="text1"/>
          <w:kern w:val="24"/>
          <w:szCs w:val="28"/>
          <w:lang w:val="el-GR"/>
        </w:rPr>
        <w:t>Δ</w:t>
      </w:r>
      <w:r w:rsidRPr="0087532F">
        <w:rPr>
          <w:rFonts w:eastAsiaTheme="minorEastAsia"/>
          <w:color w:val="000000" w:themeColor="text1"/>
          <w:kern w:val="24"/>
          <w:szCs w:val="28"/>
        </w:rPr>
        <w:t xml:space="preserve"> ; RB282, *; ZA01, +) </w:t>
      </w:r>
      <w:proofErr w:type="spellStart"/>
      <w:r w:rsidRPr="0087532F">
        <w:rPr>
          <w:rFonts w:eastAsiaTheme="minorEastAsia"/>
          <w:i/>
          <w:iCs/>
          <w:color w:val="000000" w:themeColor="text1"/>
          <w:kern w:val="24"/>
          <w:szCs w:val="28"/>
          <w:lang w:val="es-UY"/>
        </w:rPr>
        <w:t>Echinochloa</w:t>
      </w:r>
      <w:proofErr w:type="spellEnd"/>
      <w:r w:rsidRPr="0087532F">
        <w:rPr>
          <w:rFonts w:eastAsiaTheme="minorEastAsia"/>
          <w:i/>
          <w:iCs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i/>
          <w:iCs/>
          <w:color w:val="000000" w:themeColor="text1"/>
          <w:kern w:val="24"/>
          <w:szCs w:val="28"/>
          <w:lang w:val="es-UY"/>
        </w:rPr>
        <w:t>crus-galli</w:t>
      </w:r>
      <w:proofErr w:type="spellEnd"/>
      <w:r w:rsidRPr="0087532F">
        <w:rPr>
          <w:rFonts w:eastAsiaTheme="minorEastAsia"/>
          <w:i/>
          <w:iCs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genotypes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. </w:t>
      </w:r>
      <w:r w:rsidRPr="0087532F">
        <w:rPr>
          <w:rFonts w:eastAsiaTheme="minorEastAsia"/>
          <w:b/>
          <w:bCs/>
          <w:color w:val="000000" w:themeColor="text1"/>
          <w:kern w:val="24"/>
          <w:szCs w:val="28"/>
          <w:lang w:val="es-UY"/>
        </w:rPr>
        <w:t>A</w:t>
      </w:r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)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Root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growth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seven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days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after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herbicide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treatment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with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0, 0.6, 1.2, 2.4, 4.8, 10, 20, 40, 80 µM of quinclorac.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Results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from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three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separate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experiments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were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combined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, and data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were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expressed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as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percent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of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mean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root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growth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of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nontreated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control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seedlings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. </w:t>
      </w:r>
      <w:r w:rsidRPr="0087532F">
        <w:rPr>
          <w:rFonts w:eastAsiaTheme="minorEastAsia"/>
          <w:b/>
          <w:bCs/>
          <w:color w:val="000000" w:themeColor="text1"/>
          <w:kern w:val="24"/>
          <w:szCs w:val="28"/>
          <w:lang w:val="es-UY"/>
        </w:rPr>
        <w:t>B</w:t>
      </w:r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)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Aboveground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fresh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weight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three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weeks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after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herbicide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treatment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with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0, 80, 160, 320, 640, 1280, 2560 g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ha</w:t>
      </w:r>
      <w:proofErr w:type="spellEnd"/>
      <w:r w:rsidRPr="0087532F">
        <w:rPr>
          <w:rFonts w:eastAsiaTheme="minorEastAsia"/>
          <w:color w:val="000000" w:themeColor="text1"/>
          <w:kern w:val="24"/>
          <w:position w:val="8"/>
          <w:szCs w:val="28"/>
          <w:vertAlign w:val="superscript"/>
          <w:lang w:val="es-UY"/>
        </w:rPr>
        <w:t xml:space="preserve">-1 </w:t>
      </w:r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of quinclorac at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three-leaf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stage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of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growth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.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For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this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experiment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,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only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LM04 (</w:t>
      </w:r>
      <w:r w:rsidRPr="0087532F">
        <w:rPr>
          <w:rFonts w:eastAsiaTheme="minorEastAsia"/>
          <w:color w:val="000000" w:themeColor="text1"/>
          <w:kern w:val="24"/>
          <w:szCs w:val="28"/>
          <w:lang w:val="el-GR"/>
        </w:rPr>
        <w:t>Δ</w:t>
      </w:r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)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genotype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was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used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as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susceptible control.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Results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from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two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separate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experiments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were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combined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, and data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were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expressed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as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percent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of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the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mean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fresh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weight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of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nontreated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 control </w:t>
      </w:r>
      <w:proofErr w:type="spellStart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>plants</w:t>
      </w:r>
      <w:proofErr w:type="spellEnd"/>
      <w:r w:rsidRPr="0087532F">
        <w:rPr>
          <w:rFonts w:eastAsiaTheme="minorEastAsia"/>
          <w:color w:val="000000" w:themeColor="text1"/>
          <w:kern w:val="24"/>
          <w:szCs w:val="28"/>
          <w:lang w:val="es-UY"/>
        </w:rPr>
        <w:t xml:space="preserve">.  </w:t>
      </w:r>
    </w:p>
    <w:p w:rsidR="0087532F" w:rsidRPr="0087532F" w:rsidRDefault="0087532F" w:rsidP="009C0FFA">
      <w:pPr>
        <w:pStyle w:val="NormalWeb"/>
        <w:spacing w:before="0" w:beforeAutospacing="0" w:after="0" w:afterAutospacing="0" w:line="480" w:lineRule="auto"/>
        <w:jc w:val="both"/>
      </w:pPr>
      <w:proofErr w:type="spellStart"/>
      <w:r w:rsidRPr="00106BDD">
        <w:rPr>
          <w:rFonts w:eastAsiaTheme="minorEastAsia"/>
          <w:kern w:val="24"/>
          <w:szCs w:val="28"/>
          <w:lang w:val="es-UY"/>
        </w:rPr>
        <w:t>Calculated</w:t>
      </w:r>
      <w:proofErr w:type="spellEnd"/>
      <w:r w:rsidRPr="00106BDD">
        <w:rPr>
          <w:rFonts w:eastAsiaTheme="minorEastAsia"/>
          <w:kern w:val="24"/>
          <w:szCs w:val="28"/>
          <w:lang w:val="es-UY"/>
        </w:rPr>
        <w:t xml:space="preserve"> GR</w:t>
      </w:r>
      <w:r w:rsidRPr="00106BDD">
        <w:rPr>
          <w:rFonts w:eastAsiaTheme="minorEastAsia"/>
          <w:kern w:val="24"/>
          <w:position w:val="-7"/>
          <w:szCs w:val="28"/>
          <w:vertAlign w:val="subscript"/>
          <w:lang w:val="es-UY"/>
        </w:rPr>
        <w:t>50</w:t>
      </w:r>
      <w:r w:rsidRPr="00106BDD">
        <w:rPr>
          <w:rFonts w:eastAsiaTheme="minorEastAsia"/>
          <w:kern w:val="24"/>
          <w:szCs w:val="28"/>
          <w:lang w:val="es-UY"/>
        </w:rPr>
        <w:t xml:space="preserve"> and RF </w:t>
      </w:r>
      <w:proofErr w:type="spellStart"/>
      <w:r w:rsidRPr="00106BDD">
        <w:rPr>
          <w:rFonts w:eastAsiaTheme="minorEastAsia"/>
          <w:kern w:val="24"/>
          <w:szCs w:val="28"/>
          <w:lang w:val="es-UY"/>
        </w:rPr>
        <w:t>values</w:t>
      </w:r>
      <w:proofErr w:type="spellEnd"/>
      <w:r w:rsidRPr="00106BDD">
        <w:rPr>
          <w:rFonts w:eastAsiaTheme="minorEastAsia"/>
          <w:kern w:val="24"/>
          <w:szCs w:val="28"/>
          <w:lang w:val="es-UY"/>
        </w:rPr>
        <w:t xml:space="preserve"> are </w:t>
      </w:r>
      <w:proofErr w:type="spellStart"/>
      <w:r w:rsidRPr="00106BDD">
        <w:rPr>
          <w:rFonts w:eastAsiaTheme="minorEastAsia"/>
          <w:kern w:val="24"/>
          <w:szCs w:val="28"/>
          <w:lang w:val="es-UY"/>
        </w:rPr>
        <w:t>presented</w:t>
      </w:r>
      <w:proofErr w:type="spellEnd"/>
      <w:r w:rsidRPr="00106BDD">
        <w:rPr>
          <w:rFonts w:eastAsiaTheme="minorEastAsia"/>
          <w:kern w:val="24"/>
          <w:szCs w:val="28"/>
          <w:lang w:val="es-UY"/>
        </w:rPr>
        <w:t xml:space="preserve"> in </w:t>
      </w:r>
      <w:proofErr w:type="spellStart"/>
      <w:r w:rsidRPr="00106BDD">
        <w:rPr>
          <w:rFonts w:eastAsiaTheme="minorEastAsia"/>
          <w:kern w:val="24"/>
          <w:szCs w:val="28"/>
          <w:lang w:val="es-UY"/>
        </w:rPr>
        <w:t>Table</w:t>
      </w:r>
      <w:proofErr w:type="spellEnd"/>
      <w:r w:rsidRPr="00106BDD">
        <w:rPr>
          <w:rFonts w:eastAsiaTheme="minorEastAsia"/>
          <w:kern w:val="24"/>
          <w:szCs w:val="28"/>
          <w:lang w:val="es-UY"/>
        </w:rPr>
        <w:t xml:space="preserve"> 1. </w:t>
      </w:r>
      <w:bookmarkStart w:id="0" w:name="_GoBack"/>
      <w:bookmarkEnd w:id="0"/>
    </w:p>
    <w:sectPr w:rsidR="0087532F" w:rsidRPr="00875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NzA2NzcyNLI0MzVX0lEKTi0uzszPAykwrgUAhK1cDiwAAAA="/>
  </w:docVars>
  <w:rsids>
    <w:rsidRoot w:val="00A206F0"/>
    <w:rsid w:val="00106BDD"/>
    <w:rsid w:val="00815D75"/>
    <w:rsid w:val="0087532F"/>
    <w:rsid w:val="009C0FFA"/>
    <w:rsid w:val="00A206F0"/>
    <w:rsid w:val="00A37C3A"/>
    <w:rsid w:val="00B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A15A"/>
  <w15:chartTrackingRefBased/>
  <w15:docId w15:val="{E8DFA45D-83DC-4B03-9696-01C8E2B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Martha Sainz</dc:creator>
  <cp:keywords/>
  <dc:description/>
  <cp:lastModifiedBy>Maria Martha Sainz</cp:lastModifiedBy>
  <cp:revision>6</cp:revision>
  <dcterms:created xsi:type="dcterms:W3CDTF">2020-02-08T21:19:00Z</dcterms:created>
  <dcterms:modified xsi:type="dcterms:W3CDTF">2020-02-19T01:43:00Z</dcterms:modified>
</cp:coreProperties>
</file>